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E6879">
      <w:pPr>
        <w:keepNext w:val="0"/>
        <w:keepLines w:val="0"/>
        <w:pageBreakBefore w:val="0"/>
        <w:tabs>
          <w:tab w:val="left" w:pos="5670"/>
        </w:tabs>
        <w:kinsoku/>
        <w:wordWrap/>
        <w:overflowPunct/>
        <w:topLinePunct w:val="0"/>
        <w:autoSpaceDE/>
        <w:autoSpaceDN/>
        <w:bidi w:val="0"/>
        <w:adjustRightInd w:val="0"/>
        <w:snapToGrid w:val="0"/>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共和县</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财政</w:t>
      </w:r>
      <w:r>
        <w:rPr>
          <w:rFonts w:hint="eastAsia" w:ascii="方正小标宋简体" w:hAnsi="方正小标宋简体" w:eastAsia="方正小标宋简体" w:cs="方正小标宋简体"/>
          <w:sz w:val="44"/>
          <w:szCs w:val="44"/>
        </w:rPr>
        <w:t>预算执行情况和</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p>
    <w:p w14:paraId="75467FC7">
      <w:pPr>
        <w:keepNext w:val="0"/>
        <w:keepLines w:val="0"/>
        <w:pageBreakBefore w:val="0"/>
        <w:tabs>
          <w:tab w:val="left" w:pos="5670"/>
        </w:tabs>
        <w:kinsoku/>
        <w:wordWrap/>
        <w:overflowPunct/>
        <w:topLinePunct w:val="0"/>
        <w:autoSpaceDE/>
        <w:autoSpaceDN/>
        <w:bidi w:val="0"/>
        <w:adjustRightInd w:val="0"/>
        <w:snapToGrid w:val="0"/>
        <w:spacing w:line="576"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财政预算（草案）的</w:t>
      </w:r>
      <w:r>
        <w:rPr>
          <w:rFonts w:hint="eastAsia" w:ascii="方正小标宋简体" w:hAnsi="方正小标宋简体" w:eastAsia="方正小标宋简体" w:cs="方正小标宋简体"/>
          <w:sz w:val="44"/>
          <w:szCs w:val="44"/>
        </w:rPr>
        <w:t>报告</w:t>
      </w:r>
    </w:p>
    <w:p w14:paraId="14D58FEC">
      <w:pPr>
        <w:keepNext w:val="0"/>
        <w:keepLines w:val="0"/>
        <w:pageBreakBefore w:val="0"/>
        <w:tabs>
          <w:tab w:val="left" w:pos="5670"/>
        </w:tabs>
        <w:kinsoku/>
        <w:wordWrap/>
        <w:overflowPunct/>
        <w:topLinePunct w:val="0"/>
        <w:autoSpaceDE/>
        <w:autoSpaceDN/>
        <w:bidi w:val="0"/>
        <w:adjustRightInd w:val="0"/>
        <w:snapToGrid w:val="0"/>
        <w:spacing w:line="576" w:lineRule="exact"/>
        <w:ind w:firstLine="643" w:firstLineChars="200"/>
        <w:jc w:val="center"/>
        <w:rPr>
          <w:rFonts w:hint="eastAsia" w:ascii="楷体_GB2312" w:hAnsi="方正小标宋简体" w:eastAsia="楷体_GB2312" w:cs="方正小标宋简体"/>
          <w:b/>
          <w:sz w:val="32"/>
          <w:szCs w:val="32"/>
          <w:highlight w:val="none"/>
          <w:lang w:val="en-US" w:eastAsia="zh-CN"/>
        </w:rPr>
      </w:pPr>
      <w:r>
        <w:rPr>
          <w:rFonts w:hint="eastAsia" w:ascii="楷体_GB2312" w:hAnsi="方正小标宋简体" w:eastAsia="楷体_GB2312" w:cs="方正小标宋简体"/>
          <w:b/>
          <w:sz w:val="32"/>
          <w:szCs w:val="32"/>
          <w:highlight w:val="none"/>
          <w:lang w:eastAsia="zh-CN"/>
        </w:rPr>
        <w:t>——在</w:t>
      </w:r>
      <w:r>
        <w:rPr>
          <w:rFonts w:hint="eastAsia" w:ascii="楷体_GB2312" w:hAnsi="方正小标宋简体" w:eastAsia="楷体_GB2312" w:cs="方正小标宋简体"/>
          <w:b/>
          <w:sz w:val="32"/>
          <w:szCs w:val="32"/>
          <w:highlight w:val="none"/>
          <w:lang w:val="en-US" w:eastAsia="zh-CN"/>
        </w:rPr>
        <w:t>2025年2月24日在共和县第十六届</w:t>
      </w:r>
    </w:p>
    <w:p w14:paraId="6D9CBAB9">
      <w:pPr>
        <w:keepNext w:val="0"/>
        <w:keepLines w:val="0"/>
        <w:pageBreakBefore w:val="0"/>
        <w:tabs>
          <w:tab w:val="left" w:pos="5670"/>
        </w:tabs>
        <w:kinsoku/>
        <w:wordWrap/>
        <w:overflowPunct/>
        <w:topLinePunct w:val="0"/>
        <w:autoSpaceDE/>
        <w:autoSpaceDN/>
        <w:bidi w:val="0"/>
        <w:adjustRightInd w:val="0"/>
        <w:snapToGrid w:val="0"/>
        <w:spacing w:line="576" w:lineRule="exact"/>
        <w:ind w:firstLine="643" w:firstLineChars="200"/>
        <w:jc w:val="center"/>
        <w:rPr>
          <w:rFonts w:hint="default" w:ascii="楷体_GB2312" w:hAnsi="方正小标宋简体" w:eastAsia="楷体_GB2312" w:cs="方正小标宋简体"/>
          <w:b/>
          <w:sz w:val="32"/>
          <w:szCs w:val="32"/>
          <w:highlight w:val="none"/>
          <w:lang w:val="en-US" w:eastAsia="zh-CN"/>
        </w:rPr>
      </w:pPr>
      <w:r>
        <w:rPr>
          <w:rFonts w:hint="eastAsia" w:ascii="楷体_GB2312" w:hAnsi="方正小标宋简体" w:eastAsia="楷体_GB2312" w:cs="方正小标宋简体"/>
          <w:b/>
          <w:sz w:val="32"/>
          <w:szCs w:val="32"/>
          <w:highlight w:val="none"/>
          <w:lang w:val="en-US" w:eastAsia="zh-CN"/>
        </w:rPr>
        <w:t>人民代表大会第五次会议上</w:t>
      </w:r>
    </w:p>
    <w:p w14:paraId="1EE6DC7F">
      <w:pPr>
        <w:keepNext w:val="0"/>
        <w:keepLines w:val="0"/>
        <w:pageBreakBefore w:val="0"/>
        <w:tabs>
          <w:tab w:val="left" w:pos="5670"/>
        </w:tabs>
        <w:kinsoku/>
        <w:wordWrap/>
        <w:overflowPunct/>
        <w:topLinePunct w:val="0"/>
        <w:autoSpaceDE/>
        <w:autoSpaceDN/>
        <w:bidi w:val="0"/>
        <w:adjustRightInd w:val="0"/>
        <w:snapToGrid w:val="0"/>
        <w:spacing w:line="576" w:lineRule="exact"/>
        <w:ind w:firstLine="643" w:firstLineChars="200"/>
        <w:jc w:val="center"/>
        <w:rPr>
          <w:rFonts w:hint="eastAsia" w:ascii="楷体_GB2312" w:hAnsi="方正小标宋简体" w:eastAsia="楷体_GB2312" w:cs="方正小标宋简体"/>
          <w:b/>
          <w:sz w:val="32"/>
          <w:szCs w:val="32"/>
          <w:highlight w:val="none"/>
        </w:rPr>
      </w:pPr>
      <w:r>
        <w:rPr>
          <w:rFonts w:hint="eastAsia" w:ascii="楷体_GB2312" w:hAnsi="方正小标宋简体" w:eastAsia="楷体_GB2312" w:cs="方正小标宋简体"/>
          <w:b/>
          <w:sz w:val="32"/>
          <w:szCs w:val="32"/>
          <w:highlight w:val="none"/>
        </w:rPr>
        <w:t>共和县财政局</w:t>
      </w:r>
    </w:p>
    <w:p w14:paraId="6326DD2D">
      <w:pPr>
        <w:keepNext w:val="0"/>
        <w:keepLines w:val="0"/>
        <w:pageBreakBefore w:val="0"/>
        <w:tabs>
          <w:tab w:val="left" w:pos="5670"/>
        </w:tabs>
        <w:kinsoku/>
        <w:wordWrap/>
        <w:overflowPunct/>
        <w:topLinePunct w:val="0"/>
        <w:autoSpaceDE/>
        <w:autoSpaceDN/>
        <w:bidi w:val="0"/>
        <w:adjustRightInd w:val="0"/>
        <w:snapToGrid w:val="0"/>
        <w:spacing w:line="576" w:lineRule="exact"/>
        <w:ind w:firstLine="643" w:firstLineChars="200"/>
        <w:jc w:val="center"/>
        <w:rPr>
          <w:rFonts w:hint="eastAsia" w:ascii="楷体_GB2312" w:hAnsi="方正小标宋简体" w:eastAsia="楷体_GB2312" w:cs="方正小标宋简体"/>
          <w:b/>
          <w:sz w:val="32"/>
          <w:szCs w:val="32"/>
          <w:highlight w:val="none"/>
        </w:rPr>
      </w:pPr>
    </w:p>
    <w:p w14:paraId="3737B438">
      <w:pPr>
        <w:keepNext w:val="0"/>
        <w:keepLines w:val="0"/>
        <w:pageBreakBefore w:val="0"/>
        <w:tabs>
          <w:tab w:val="left" w:pos="5670"/>
        </w:tabs>
        <w:kinsoku/>
        <w:wordWrap/>
        <w:overflowPunct/>
        <w:topLinePunct w:val="0"/>
        <w:autoSpaceDE/>
        <w:autoSpaceDN/>
        <w:bidi w:val="0"/>
        <w:adjustRightInd w:val="0"/>
        <w:snapToGrid w:val="0"/>
        <w:spacing w:line="576" w:lineRule="exact"/>
        <w:jc w:val="both"/>
        <w:rPr>
          <w:rFonts w:hint="eastAsia" w:ascii="楷体_GB2312" w:hAnsi="方正小标宋简体" w:eastAsia="楷体_GB2312" w:cs="方正小标宋简体"/>
          <w:b/>
          <w:sz w:val="32"/>
          <w:szCs w:val="32"/>
          <w:highlight w:val="none"/>
          <w:lang w:val="en-US" w:eastAsia="zh-CN"/>
        </w:rPr>
      </w:pPr>
      <w:r>
        <w:rPr>
          <w:rFonts w:hint="eastAsia" w:ascii="楷体_GB2312" w:hAnsi="方正小标宋简体" w:eastAsia="楷体_GB2312" w:cs="方正小标宋简体"/>
          <w:b/>
          <w:sz w:val="32"/>
          <w:szCs w:val="32"/>
          <w:highlight w:val="none"/>
          <w:lang w:val="en-US" w:eastAsia="zh-CN"/>
        </w:rPr>
        <w:t>各位代表：</w:t>
      </w:r>
    </w:p>
    <w:p w14:paraId="6D9563C5">
      <w:pPr>
        <w:keepNext w:val="0"/>
        <w:keepLines w:val="0"/>
        <w:pageBreakBefore w:val="0"/>
        <w:kinsoku/>
        <w:wordWrap/>
        <w:overflowPunct/>
        <w:topLinePunct w:val="0"/>
        <w:autoSpaceDE/>
        <w:autoSpaceDN/>
        <w:bidi w:val="0"/>
        <w:adjustRightInd w:val="0"/>
        <w:snapToGrid w:val="0"/>
        <w:spacing w:line="576" w:lineRule="exact"/>
        <w:ind w:firstLine="664" w:firstLineChars="200"/>
        <w:rPr>
          <w:rFonts w:hint="eastAsia" w:ascii="仿宋_GB2312" w:hAnsi="宋体" w:eastAsia="仿宋_GB2312"/>
          <w:spacing w:val="6"/>
          <w:sz w:val="32"/>
          <w:szCs w:val="32"/>
          <w:highlight w:val="none"/>
          <w:lang w:eastAsia="zh-CN"/>
        </w:rPr>
      </w:pPr>
      <w:r>
        <w:rPr>
          <w:rFonts w:hint="eastAsia" w:ascii="仿宋_GB2312" w:hAnsi="宋体" w:eastAsia="仿宋_GB2312"/>
          <w:spacing w:val="6"/>
          <w:sz w:val="32"/>
          <w:szCs w:val="32"/>
          <w:highlight w:val="none"/>
          <w:lang w:val="en-US" w:eastAsia="zh-CN"/>
        </w:rPr>
        <w:t>受县人民政府委托，现将</w:t>
      </w:r>
      <w:r>
        <w:rPr>
          <w:rFonts w:hint="eastAsia" w:ascii="仿宋_GB2312" w:hAnsi="宋体" w:eastAsia="仿宋_GB2312"/>
          <w:spacing w:val="6"/>
          <w:sz w:val="32"/>
          <w:szCs w:val="32"/>
          <w:highlight w:val="none"/>
        </w:rPr>
        <w:t>202</w:t>
      </w:r>
      <w:r>
        <w:rPr>
          <w:rFonts w:hint="eastAsia" w:ascii="仿宋_GB2312" w:hAnsi="宋体" w:eastAsia="仿宋_GB2312"/>
          <w:spacing w:val="6"/>
          <w:sz w:val="32"/>
          <w:szCs w:val="32"/>
          <w:highlight w:val="none"/>
          <w:lang w:val="en-US" w:eastAsia="zh-CN"/>
        </w:rPr>
        <w:t>4</w:t>
      </w:r>
      <w:r>
        <w:rPr>
          <w:rFonts w:hint="eastAsia" w:ascii="仿宋_GB2312" w:hAnsi="宋体" w:eastAsia="仿宋_GB2312"/>
          <w:spacing w:val="6"/>
          <w:sz w:val="32"/>
          <w:szCs w:val="32"/>
          <w:highlight w:val="none"/>
        </w:rPr>
        <w:t>年</w:t>
      </w:r>
      <w:r>
        <w:rPr>
          <w:rFonts w:hint="eastAsia" w:ascii="仿宋_GB2312" w:hAnsi="宋体" w:eastAsia="仿宋_GB2312"/>
          <w:spacing w:val="6"/>
          <w:sz w:val="32"/>
          <w:szCs w:val="32"/>
          <w:highlight w:val="none"/>
          <w:lang w:eastAsia="zh-CN"/>
        </w:rPr>
        <w:t>财政</w:t>
      </w:r>
      <w:r>
        <w:rPr>
          <w:rFonts w:hint="eastAsia" w:ascii="仿宋_GB2312" w:hAnsi="宋体" w:eastAsia="仿宋_GB2312"/>
          <w:spacing w:val="6"/>
          <w:sz w:val="32"/>
          <w:szCs w:val="32"/>
          <w:highlight w:val="none"/>
        </w:rPr>
        <w:t>预算执行情况和202</w:t>
      </w:r>
      <w:r>
        <w:rPr>
          <w:rFonts w:hint="eastAsia" w:ascii="仿宋_GB2312" w:hAnsi="宋体" w:eastAsia="仿宋_GB2312"/>
          <w:spacing w:val="6"/>
          <w:sz w:val="32"/>
          <w:szCs w:val="32"/>
          <w:highlight w:val="none"/>
          <w:lang w:val="en-US" w:eastAsia="zh-CN"/>
        </w:rPr>
        <w:t>5</w:t>
      </w:r>
      <w:r>
        <w:rPr>
          <w:rFonts w:hint="eastAsia" w:ascii="仿宋_GB2312" w:hAnsi="宋体" w:eastAsia="仿宋_GB2312"/>
          <w:spacing w:val="6"/>
          <w:sz w:val="32"/>
          <w:szCs w:val="32"/>
          <w:highlight w:val="none"/>
        </w:rPr>
        <w:t>年</w:t>
      </w:r>
      <w:r>
        <w:rPr>
          <w:rFonts w:hint="eastAsia" w:ascii="仿宋_GB2312" w:hAnsi="宋体" w:eastAsia="仿宋_GB2312"/>
          <w:spacing w:val="6"/>
          <w:sz w:val="32"/>
          <w:szCs w:val="32"/>
          <w:highlight w:val="none"/>
          <w:lang w:eastAsia="zh-CN"/>
        </w:rPr>
        <w:t>财政预算（草案）的</w:t>
      </w:r>
      <w:r>
        <w:rPr>
          <w:rFonts w:hint="eastAsia" w:ascii="仿宋_GB2312" w:hAnsi="宋体" w:eastAsia="仿宋_GB2312"/>
          <w:spacing w:val="6"/>
          <w:sz w:val="32"/>
          <w:szCs w:val="32"/>
          <w:highlight w:val="none"/>
        </w:rPr>
        <w:t>报告</w:t>
      </w:r>
      <w:r>
        <w:rPr>
          <w:rFonts w:hint="eastAsia" w:ascii="仿宋_GB2312" w:hAnsi="宋体" w:eastAsia="仿宋_GB2312"/>
          <w:spacing w:val="6"/>
          <w:sz w:val="32"/>
          <w:szCs w:val="32"/>
          <w:highlight w:val="none"/>
          <w:lang w:eastAsia="zh-CN"/>
        </w:rPr>
        <w:t>提请</w:t>
      </w:r>
      <w:r>
        <w:rPr>
          <w:rFonts w:hint="eastAsia" w:ascii="仿宋_GB2312" w:hAnsi="宋体" w:eastAsia="仿宋_GB2312"/>
          <w:spacing w:val="6"/>
          <w:sz w:val="32"/>
          <w:szCs w:val="32"/>
          <w:highlight w:val="none"/>
          <w:lang w:val="en-US" w:eastAsia="zh-CN"/>
        </w:rPr>
        <w:t>县第十六届人民代表大会第五次会议审议，并请政协各位委员和其他列席人员提出意见。</w:t>
      </w:r>
    </w:p>
    <w:p w14:paraId="47ECB94A">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4</w:t>
      </w:r>
      <w:r>
        <w:rPr>
          <w:rFonts w:hint="eastAsia" w:ascii="黑体" w:hAnsi="黑体" w:eastAsia="黑体" w:cs="黑体"/>
          <w:sz w:val="32"/>
          <w:szCs w:val="32"/>
        </w:rPr>
        <w:t>年预算执行情况</w:t>
      </w:r>
    </w:p>
    <w:p w14:paraId="2F4F86D9">
      <w:pPr>
        <w:keepNext w:val="0"/>
        <w:keepLines w:val="0"/>
        <w:pageBreakBefore w:val="0"/>
        <w:kinsoku/>
        <w:wordWrap/>
        <w:overflowPunct/>
        <w:topLinePunct w:val="0"/>
        <w:autoSpaceDE/>
        <w:autoSpaceDN/>
        <w:bidi w:val="0"/>
        <w:adjustRightInd w:val="0"/>
        <w:snapToGrid w:val="0"/>
        <w:spacing w:line="576" w:lineRule="exact"/>
        <w:ind w:firstLine="664"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2024年，</w:t>
      </w:r>
      <w:r>
        <w:rPr>
          <w:rFonts w:hint="eastAsia" w:ascii="仿宋_GB2312" w:hAnsi="宋体" w:eastAsia="仿宋_GB2312"/>
          <w:spacing w:val="6"/>
          <w:sz w:val="32"/>
          <w:szCs w:val="32"/>
          <w:lang w:eastAsia="zh-CN"/>
        </w:rPr>
        <w:t>我县</w:t>
      </w:r>
      <w:r>
        <w:rPr>
          <w:rFonts w:hint="eastAsia" w:ascii="仿宋_GB2312" w:hAnsi="宋体" w:eastAsia="仿宋_GB2312"/>
          <w:spacing w:val="6"/>
          <w:sz w:val="32"/>
          <w:szCs w:val="32"/>
        </w:rPr>
        <w:t>坚持以习近平新时代中国特色社会主义思想为指导，</w:t>
      </w:r>
      <w:r>
        <w:rPr>
          <w:rFonts w:hint="eastAsia" w:ascii="仿宋_GB2312" w:hAnsi="宋体" w:eastAsia="仿宋_GB2312"/>
          <w:spacing w:val="6"/>
          <w:sz w:val="32"/>
          <w:szCs w:val="32"/>
          <w:lang w:eastAsia="zh-CN"/>
        </w:rPr>
        <w:t>深入</w:t>
      </w:r>
      <w:r>
        <w:rPr>
          <w:rFonts w:hint="eastAsia" w:ascii="仿宋_GB2312" w:hAnsi="宋体" w:eastAsia="仿宋_GB2312"/>
          <w:spacing w:val="6"/>
          <w:sz w:val="32"/>
          <w:szCs w:val="32"/>
        </w:rPr>
        <w:t>学习贯彻党的二十大和二十届二中、三中全会以及习近平总书记考察青海重要讲话精神，严格执行</w:t>
      </w:r>
      <w:r>
        <w:rPr>
          <w:rFonts w:hint="eastAsia" w:ascii="仿宋_GB2312" w:hAnsi="宋体" w:eastAsia="仿宋_GB2312"/>
          <w:spacing w:val="6"/>
          <w:sz w:val="32"/>
          <w:szCs w:val="32"/>
          <w:lang w:eastAsia="zh-CN"/>
        </w:rPr>
        <w:t>县</w:t>
      </w:r>
      <w:r>
        <w:rPr>
          <w:rFonts w:hint="eastAsia" w:ascii="仿宋_GB2312" w:hAnsi="宋体" w:eastAsia="仿宋_GB2312"/>
          <w:spacing w:val="6"/>
          <w:sz w:val="32"/>
          <w:szCs w:val="32"/>
        </w:rPr>
        <w:t>人大各项决议，坚持稳中求进工作总基调，完整、准确、全面贯彻新发展理念，主动融入和服务新发展格局，全面落实适度加力、提质增效的积极财政政策，加强财政资源统筹,优化财政支出结构，纵深推进财税体制改革，持续深化严肃财经纪律，有效防范化解重点领域风险，财政运行总体平稳，为全</w:t>
      </w:r>
      <w:r>
        <w:rPr>
          <w:rFonts w:hint="eastAsia" w:ascii="仿宋_GB2312" w:hAnsi="宋体" w:eastAsia="仿宋_GB2312"/>
          <w:spacing w:val="6"/>
          <w:sz w:val="32"/>
          <w:szCs w:val="32"/>
          <w:lang w:eastAsia="zh-CN"/>
        </w:rPr>
        <w:t>县</w:t>
      </w:r>
      <w:r>
        <w:rPr>
          <w:rFonts w:hint="eastAsia" w:ascii="仿宋_GB2312" w:hAnsi="宋体" w:eastAsia="仿宋_GB2312"/>
          <w:spacing w:val="6"/>
          <w:sz w:val="32"/>
          <w:szCs w:val="32"/>
        </w:rPr>
        <w:t>经济社会高质量发展提供了有力支撑。</w:t>
      </w:r>
    </w:p>
    <w:p w14:paraId="11EE913B">
      <w:pPr>
        <w:keepNext w:val="0"/>
        <w:keepLines w:val="0"/>
        <w:pageBreakBefore w:val="0"/>
        <w:kinsoku/>
        <w:wordWrap/>
        <w:overflowPunct/>
        <w:topLinePunct w:val="0"/>
        <w:autoSpaceDE/>
        <w:autoSpaceDN/>
        <w:bidi w:val="0"/>
        <w:adjustRightInd w:val="0"/>
        <w:snapToGrid w:val="0"/>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w:t>
      </w:r>
      <w:r>
        <w:rPr>
          <w:rFonts w:hint="eastAsia" w:ascii="楷体_GB2312" w:hAnsi="楷体_GB2312" w:eastAsia="楷体_GB2312" w:cs="楷体_GB2312"/>
          <w:b/>
          <w:bCs/>
          <w:sz w:val="32"/>
          <w:szCs w:val="32"/>
          <w:lang w:eastAsia="zh-CN"/>
        </w:rPr>
        <w:t>执行</w:t>
      </w:r>
      <w:r>
        <w:rPr>
          <w:rFonts w:hint="eastAsia" w:ascii="楷体_GB2312" w:hAnsi="楷体_GB2312" w:eastAsia="楷体_GB2312" w:cs="楷体_GB2312"/>
          <w:b/>
          <w:bCs/>
          <w:sz w:val="32"/>
          <w:szCs w:val="32"/>
        </w:rPr>
        <w:t>情况</w:t>
      </w:r>
    </w:p>
    <w:p w14:paraId="06A8129F">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sz w:val="32"/>
          <w:szCs w:val="24"/>
        </w:rPr>
        <w:t>一般公共预算总收入</w:t>
      </w:r>
      <w:r>
        <w:rPr>
          <w:rFonts w:hint="eastAsia" w:ascii="仿宋_GB2312" w:hAnsi="仿宋_GB2312" w:eastAsia="仿宋_GB2312"/>
          <w:sz w:val="32"/>
          <w:szCs w:val="24"/>
          <w:lang w:val="en-US" w:eastAsia="zh-CN"/>
        </w:rPr>
        <w:t>614227</w:t>
      </w:r>
      <w:r>
        <w:rPr>
          <w:rFonts w:hint="eastAsia" w:ascii="仿宋_GB2312" w:hAnsi="仿宋_GB2312" w:eastAsia="仿宋_GB2312"/>
          <w:sz w:val="32"/>
          <w:szCs w:val="24"/>
        </w:rPr>
        <w:t>万元。其中:地方一般公共预算收入</w:t>
      </w:r>
      <w:r>
        <w:rPr>
          <w:rFonts w:hint="eastAsia" w:ascii="仿宋_GB2312" w:hAnsi="仿宋_GB2312" w:eastAsia="仿宋_GB2312"/>
          <w:sz w:val="32"/>
          <w:szCs w:val="24"/>
          <w:lang w:val="en-US" w:eastAsia="zh-CN"/>
        </w:rPr>
        <w:t>93607</w:t>
      </w:r>
      <w:r>
        <w:rPr>
          <w:rFonts w:hint="eastAsia" w:ascii="仿宋_GB2312" w:hAnsi="仿宋_GB2312" w:eastAsia="仿宋_GB2312"/>
          <w:sz w:val="32"/>
          <w:szCs w:val="24"/>
        </w:rPr>
        <w:t>万元,上级补助收入</w:t>
      </w:r>
      <w:r>
        <w:rPr>
          <w:rFonts w:hint="eastAsia" w:ascii="仿宋_GB2312" w:hAnsi="仿宋_GB2312" w:eastAsia="仿宋_GB2312"/>
          <w:sz w:val="32"/>
          <w:szCs w:val="24"/>
          <w:lang w:val="en-US" w:eastAsia="zh-CN"/>
        </w:rPr>
        <w:t>324105</w:t>
      </w:r>
      <w:r>
        <w:rPr>
          <w:rFonts w:hint="eastAsia" w:ascii="仿宋_GB2312" w:hAnsi="仿宋_GB2312" w:eastAsia="仿宋_GB2312"/>
          <w:sz w:val="32"/>
          <w:szCs w:val="24"/>
        </w:rPr>
        <w:t>万元，上年结余收入</w:t>
      </w:r>
      <w:r>
        <w:rPr>
          <w:rFonts w:hint="eastAsia" w:ascii="仿宋_GB2312" w:hAnsi="仿宋_GB2312" w:eastAsia="仿宋_GB2312"/>
          <w:sz w:val="32"/>
          <w:szCs w:val="24"/>
          <w:lang w:val="en-US" w:eastAsia="zh-CN"/>
        </w:rPr>
        <w:t>27602</w:t>
      </w:r>
      <w:r>
        <w:rPr>
          <w:rFonts w:hint="eastAsia" w:ascii="仿宋_GB2312" w:hAnsi="仿宋_GB2312" w:eastAsia="仿宋_GB2312"/>
          <w:sz w:val="32"/>
          <w:szCs w:val="24"/>
        </w:rPr>
        <w:t>万元，动用预算稳定调节基金</w:t>
      </w:r>
      <w:r>
        <w:rPr>
          <w:rFonts w:hint="eastAsia" w:ascii="仿宋_GB2312" w:hAnsi="仿宋_GB2312" w:eastAsia="仿宋_GB2312"/>
          <w:sz w:val="32"/>
          <w:szCs w:val="24"/>
          <w:lang w:val="en-US" w:eastAsia="zh-CN"/>
        </w:rPr>
        <w:t>130563</w:t>
      </w:r>
      <w:r>
        <w:rPr>
          <w:rFonts w:hint="eastAsia" w:ascii="仿宋_GB2312" w:hAnsi="仿宋_GB2312" w:eastAsia="仿宋_GB2312"/>
          <w:sz w:val="32"/>
          <w:szCs w:val="24"/>
        </w:rPr>
        <w:t>万元，调入资金</w:t>
      </w:r>
      <w:r>
        <w:rPr>
          <w:rFonts w:hint="eastAsia" w:ascii="仿宋_GB2312" w:hAnsi="仿宋_GB2312" w:eastAsia="仿宋_GB2312"/>
          <w:sz w:val="32"/>
          <w:szCs w:val="24"/>
          <w:lang w:val="en-US" w:eastAsia="zh-CN"/>
        </w:rPr>
        <w:t>4941</w:t>
      </w:r>
      <w:r>
        <w:rPr>
          <w:rFonts w:hint="eastAsia" w:ascii="仿宋_GB2312" w:hAnsi="仿宋_GB2312" w:eastAsia="仿宋_GB2312"/>
          <w:sz w:val="32"/>
          <w:szCs w:val="24"/>
        </w:rPr>
        <w:t>万元，地方政府新增债券收入</w:t>
      </w:r>
      <w:r>
        <w:rPr>
          <w:rFonts w:hint="eastAsia" w:ascii="仿宋_GB2312" w:hAnsi="仿宋_GB2312" w:eastAsia="仿宋_GB2312"/>
          <w:sz w:val="32"/>
          <w:szCs w:val="24"/>
          <w:lang w:val="en-US" w:eastAsia="zh-CN"/>
        </w:rPr>
        <w:t>33409</w:t>
      </w:r>
      <w:r>
        <w:rPr>
          <w:rFonts w:hint="eastAsia" w:ascii="仿宋_GB2312" w:hAnsi="仿宋_GB2312" w:eastAsia="仿宋_GB2312"/>
          <w:sz w:val="32"/>
          <w:szCs w:val="24"/>
        </w:rPr>
        <w:t>万元。财政总支出</w:t>
      </w:r>
      <w:r>
        <w:rPr>
          <w:rFonts w:hint="eastAsia" w:ascii="仿宋_GB2312" w:hAnsi="仿宋_GB2312" w:eastAsia="仿宋_GB2312"/>
          <w:sz w:val="32"/>
          <w:szCs w:val="24"/>
          <w:lang w:val="en-US" w:eastAsia="zh-CN"/>
        </w:rPr>
        <w:t>572720</w:t>
      </w:r>
      <w:r>
        <w:rPr>
          <w:rFonts w:hint="eastAsia" w:ascii="仿宋_GB2312" w:hAnsi="仿宋_GB2312" w:eastAsia="仿宋_GB2312"/>
          <w:sz w:val="32"/>
          <w:szCs w:val="24"/>
        </w:rPr>
        <w:t>万元。年终结余结转</w:t>
      </w:r>
      <w:r>
        <w:rPr>
          <w:rFonts w:hint="eastAsia" w:ascii="仿宋_GB2312" w:hAnsi="仿宋_GB2312" w:eastAsia="仿宋_GB2312"/>
          <w:sz w:val="32"/>
          <w:szCs w:val="24"/>
          <w:lang w:val="en-US" w:eastAsia="zh-CN"/>
        </w:rPr>
        <w:t>41507</w:t>
      </w:r>
      <w:r>
        <w:rPr>
          <w:rFonts w:hint="eastAsia" w:ascii="仿宋_GB2312" w:hAnsi="仿宋_GB2312" w:eastAsia="仿宋_GB2312"/>
          <w:sz w:val="32"/>
          <w:szCs w:val="24"/>
        </w:rPr>
        <w:t>万元。</w:t>
      </w:r>
      <w:r>
        <w:rPr>
          <w:rFonts w:hint="eastAsia" w:ascii="仿宋_GB2312" w:hAnsi="仿宋_GB2312" w:eastAsia="仿宋_GB2312" w:cs="仿宋_GB2312"/>
          <w:b/>
          <w:bCs/>
          <w:sz w:val="32"/>
          <w:szCs w:val="32"/>
        </w:rPr>
        <w:t>地方一般公共预算收入情况。</w:t>
      </w:r>
      <w:r>
        <w:rPr>
          <w:rFonts w:hint="eastAsia" w:ascii="仿宋_GB2312" w:hAnsi="仿宋_GB2312" w:eastAsia="仿宋_GB2312" w:cs="仿宋_GB2312"/>
          <w:sz w:val="32"/>
          <w:szCs w:val="32"/>
        </w:rPr>
        <w:t>地方一般公共预算收入</w:t>
      </w:r>
      <w:r>
        <w:rPr>
          <w:rFonts w:hint="eastAsia" w:ascii="仿宋_GB2312" w:hAnsi="仿宋_GB2312" w:eastAsia="仿宋_GB2312" w:cs="仿宋_GB2312"/>
          <w:sz w:val="32"/>
          <w:szCs w:val="32"/>
          <w:lang w:val="en-US" w:eastAsia="zh-CN"/>
        </w:rPr>
        <w:t>93607</w:t>
      </w:r>
      <w:r>
        <w:rPr>
          <w:rFonts w:hint="eastAsia" w:ascii="仿宋_GB2312" w:hAnsi="仿宋_GB2312" w:eastAsia="仿宋_GB2312" w:cs="仿宋_GB2312"/>
          <w:sz w:val="32"/>
          <w:szCs w:val="32"/>
        </w:rPr>
        <w:t>万元，为年初预算</w:t>
      </w:r>
      <w:r>
        <w:rPr>
          <w:rFonts w:hint="eastAsia" w:ascii="仿宋_GB2312" w:hAnsi="仿宋_GB2312" w:eastAsia="仿宋_GB2312" w:cs="仿宋_GB2312"/>
          <w:sz w:val="32"/>
          <w:szCs w:val="32"/>
          <w:lang w:val="en-US" w:eastAsia="zh-CN"/>
        </w:rPr>
        <w:t>90400</w:t>
      </w:r>
      <w:r>
        <w:rPr>
          <w:rFonts w:hint="eastAsia" w:ascii="仿宋_GB2312" w:hAnsi="仿宋_GB2312" w:eastAsia="仿宋_GB2312" w:cs="仿宋_GB2312"/>
          <w:sz w:val="32"/>
          <w:szCs w:val="32"/>
        </w:rPr>
        <w:t>万元的</w:t>
      </w:r>
      <w:r>
        <w:rPr>
          <w:rFonts w:hint="eastAsia" w:ascii="仿宋_GB2312" w:hAnsi="仿宋_GB2312" w:eastAsia="仿宋_GB2312" w:cs="仿宋_GB2312"/>
          <w:sz w:val="32"/>
          <w:szCs w:val="32"/>
          <w:highlight w:val="none"/>
          <w:lang w:val="en-US" w:eastAsia="zh-CN"/>
        </w:rPr>
        <w:t>103.55</w:t>
      </w:r>
      <w:r>
        <w:rPr>
          <w:rFonts w:hint="eastAsia" w:ascii="仿宋_GB2312" w:hAnsi="仿宋_GB2312" w:eastAsia="仿宋_GB2312" w:cs="仿宋_GB2312"/>
          <w:sz w:val="32"/>
          <w:szCs w:val="32"/>
          <w:highlight w:val="none"/>
        </w:rPr>
        <w:t>%，上年同期数为</w:t>
      </w:r>
      <w:r>
        <w:rPr>
          <w:rFonts w:hint="eastAsia" w:ascii="仿宋_GB2312" w:hAnsi="仿宋_GB2312" w:eastAsia="仿宋_GB2312" w:cs="仿宋_GB2312"/>
          <w:sz w:val="32"/>
          <w:szCs w:val="32"/>
          <w:highlight w:val="none"/>
          <w:lang w:val="en-US" w:eastAsia="zh-CN"/>
        </w:rPr>
        <w:t>85236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增长9.82%，</w:t>
      </w:r>
      <w:r>
        <w:rPr>
          <w:rFonts w:hint="eastAsia" w:ascii="仿宋_GB2312" w:hAnsi="仿宋_GB2312" w:eastAsia="仿宋_GB2312" w:cs="仿宋_GB2312"/>
          <w:sz w:val="32"/>
          <w:szCs w:val="32"/>
          <w:highlight w:val="none"/>
        </w:rPr>
        <w:t>增收</w:t>
      </w:r>
      <w:r>
        <w:rPr>
          <w:rFonts w:hint="eastAsia" w:ascii="仿宋_GB2312" w:hAnsi="仿宋_GB2312" w:eastAsia="仿宋_GB2312" w:cs="仿宋_GB2312"/>
          <w:sz w:val="32"/>
          <w:szCs w:val="32"/>
          <w:highlight w:val="none"/>
          <w:lang w:val="en-US" w:eastAsia="zh-CN"/>
        </w:rPr>
        <w:t>8371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b/>
          <w:bCs/>
          <w:sz w:val="32"/>
          <w:szCs w:val="32"/>
          <w:highlight w:val="none"/>
        </w:rPr>
        <w:t>一般公共预算支出情况。</w:t>
      </w:r>
      <w:r>
        <w:rPr>
          <w:rFonts w:hint="eastAsia" w:ascii="仿宋_GB2312" w:hAnsi="仿宋_GB2312" w:eastAsia="仿宋_GB2312" w:cs="仿宋_GB2312"/>
          <w:sz w:val="32"/>
          <w:szCs w:val="32"/>
          <w:highlight w:val="none"/>
        </w:rPr>
        <w:t>一般公共预算支出</w:t>
      </w:r>
      <w:bookmarkStart w:id="0" w:name="_GoBack"/>
      <w:r>
        <w:rPr>
          <w:rFonts w:hint="eastAsia" w:ascii="仿宋_GB2312" w:hAnsi="仿宋_GB2312" w:eastAsia="仿宋_GB2312" w:cs="仿宋_GB2312"/>
          <w:sz w:val="32"/>
          <w:szCs w:val="32"/>
          <w:highlight w:val="none"/>
          <w:lang w:val="en-US" w:eastAsia="zh-CN"/>
        </w:rPr>
        <w:t>424074</w:t>
      </w:r>
      <w:r>
        <w:rPr>
          <w:rFonts w:hint="eastAsia" w:ascii="仿宋_GB2312" w:hAnsi="仿宋_GB2312" w:eastAsia="仿宋_GB2312" w:cs="仿宋_GB2312"/>
          <w:sz w:val="32"/>
          <w:szCs w:val="32"/>
          <w:highlight w:val="none"/>
        </w:rPr>
        <w:t>万</w:t>
      </w:r>
      <w:bookmarkEnd w:id="0"/>
      <w:r>
        <w:rPr>
          <w:rFonts w:hint="eastAsia" w:ascii="仿宋_GB2312" w:hAnsi="仿宋_GB2312" w:eastAsia="仿宋_GB2312" w:cs="仿宋_GB2312"/>
          <w:sz w:val="32"/>
          <w:szCs w:val="32"/>
          <w:highlight w:val="none"/>
        </w:rPr>
        <w:t>元，支出率为</w:t>
      </w:r>
      <w:r>
        <w:rPr>
          <w:rFonts w:hint="eastAsia" w:ascii="仿宋_GB2312" w:hAnsi="仿宋_GB2312" w:eastAsia="仿宋_GB2312" w:cs="仿宋_GB2312"/>
          <w:sz w:val="32"/>
          <w:szCs w:val="32"/>
          <w:highlight w:val="none"/>
          <w:lang w:val="en-US" w:eastAsia="zh-CN"/>
        </w:rPr>
        <w:t>91.1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支出额</w:t>
      </w:r>
      <w:r>
        <w:rPr>
          <w:rFonts w:hint="eastAsia" w:ascii="仿宋_GB2312" w:hAnsi="仿宋_GB2312" w:eastAsia="仿宋_GB2312" w:cs="仿宋_GB2312"/>
          <w:sz w:val="32"/>
          <w:szCs w:val="32"/>
          <w:highlight w:val="none"/>
        </w:rPr>
        <w:t>排全州第一位，上年同期数</w:t>
      </w:r>
      <w:r>
        <w:rPr>
          <w:rFonts w:hint="eastAsia" w:ascii="仿宋_GB2312" w:hAnsi="仿宋_GB2312" w:eastAsia="仿宋_GB2312" w:cs="仿宋_GB2312"/>
          <w:sz w:val="32"/>
          <w:szCs w:val="32"/>
          <w:highlight w:val="none"/>
          <w:lang w:val="en-US" w:eastAsia="zh-CN"/>
        </w:rPr>
        <w:t>370540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14.45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rPr>
        <w:t>支</w:t>
      </w:r>
      <w:r>
        <w:rPr>
          <w:rFonts w:hint="eastAsia" w:ascii="仿宋_GB2312" w:hAnsi="仿宋_GB2312" w:eastAsia="仿宋_GB2312" w:cs="仿宋_GB2312"/>
          <w:sz w:val="32"/>
          <w:szCs w:val="32"/>
          <w:highlight w:val="none"/>
          <w:lang w:val="en-US" w:eastAsia="zh-CN"/>
        </w:rPr>
        <w:t>53534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15C4C57A">
      <w:pPr>
        <w:keepNext w:val="0"/>
        <w:keepLines w:val="0"/>
        <w:pageBreakBefore w:val="0"/>
        <w:kinsoku/>
        <w:wordWrap/>
        <w:overflowPunct/>
        <w:topLinePunct w:val="0"/>
        <w:autoSpaceDE/>
        <w:autoSpaceDN/>
        <w:bidi w:val="0"/>
        <w:adjustRightInd w:val="0"/>
        <w:snapToGrid w:val="0"/>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（二）政府性基金预算</w:t>
      </w:r>
      <w:r>
        <w:rPr>
          <w:rFonts w:hint="eastAsia" w:ascii="楷体_GB2312" w:hAnsi="楷体_GB2312" w:eastAsia="楷体_GB2312" w:cs="楷体_GB2312"/>
          <w:b/>
          <w:bCs/>
          <w:sz w:val="32"/>
          <w:szCs w:val="32"/>
          <w:lang w:eastAsia="zh-CN"/>
        </w:rPr>
        <w:t>执行</w:t>
      </w:r>
      <w:r>
        <w:rPr>
          <w:rFonts w:hint="eastAsia" w:ascii="楷体_GB2312" w:hAnsi="楷体_GB2312" w:eastAsia="楷体_GB2312" w:cs="楷体_GB2312"/>
          <w:b/>
          <w:bCs/>
          <w:sz w:val="32"/>
          <w:szCs w:val="32"/>
        </w:rPr>
        <w:t>情况</w:t>
      </w:r>
    </w:p>
    <w:p w14:paraId="4BBF12B3">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政府性基金预算收入完成 </w:t>
      </w:r>
      <w:r>
        <w:rPr>
          <w:rFonts w:hint="eastAsia" w:ascii="仿宋_GB2312" w:hAnsi="仿宋_GB2312" w:eastAsia="仿宋_GB2312" w:cs="仿宋_GB2312"/>
          <w:sz w:val="32"/>
          <w:szCs w:val="32"/>
          <w:lang w:val="en-US" w:eastAsia="zh-CN"/>
        </w:rPr>
        <w:t>42965</w:t>
      </w:r>
      <w:r>
        <w:rPr>
          <w:rFonts w:hint="eastAsia" w:ascii="仿宋_GB2312" w:hAnsi="仿宋_GB2312" w:eastAsia="仿宋_GB2312" w:cs="仿宋_GB2312"/>
          <w:sz w:val="32"/>
          <w:szCs w:val="32"/>
        </w:rPr>
        <w:t>万元，其中：当年政府性基金预算收入</w:t>
      </w:r>
      <w:r>
        <w:rPr>
          <w:rFonts w:hint="eastAsia" w:ascii="仿宋_GB2312" w:hAnsi="仿宋_GB2312" w:eastAsia="仿宋_GB2312" w:cs="仿宋_GB2312"/>
          <w:sz w:val="32"/>
          <w:szCs w:val="32"/>
          <w:lang w:val="en-US" w:eastAsia="zh-CN"/>
        </w:rPr>
        <w:t>6444</w:t>
      </w:r>
      <w:r>
        <w:rPr>
          <w:rFonts w:hint="eastAsia" w:ascii="仿宋_GB2312" w:hAnsi="仿宋_GB2312" w:eastAsia="仿宋_GB2312" w:cs="仿宋_GB2312"/>
          <w:sz w:val="32"/>
          <w:szCs w:val="32"/>
        </w:rPr>
        <w:t>万元，上级补助收入</w:t>
      </w:r>
      <w:r>
        <w:rPr>
          <w:rFonts w:hint="eastAsia" w:ascii="仿宋_GB2312" w:hAnsi="仿宋_GB2312" w:eastAsia="仿宋_GB2312" w:cs="仿宋_GB2312"/>
          <w:sz w:val="32"/>
          <w:szCs w:val="32"/>
          <w:lang w:val="en-US" w:eastAsia="zh-CN"/>
        </w:rPr>
        <w:t>32434</w:t>
      </w:r>
      <w:r>
        <w:rPr>
          <w:rFonts w:hint="eastAsia" w:ascii="仿宋_GB2312" w:hAnsi="仿宋_GB2312" w:eastAsia="仿宋_GB2312" w:cs="仿宋_GB2312"/>
          <w:sz w:val="32"/>
          <w:szCs w:val="32"/>
        </w:rPr>
        <w:t>万元，上年结余</w:t>
      </w:r>
      <w:r>
        <w:rPr>
          <w:rFonts w:hint="eastAsia" w:ascii="仿宋_GB2312" w:hAnsi="仿宋_GB2312" w:eastAsia="仿宋_GB2312" w:cs="仿宋_GB2312"/>
          <w:sz w:val="32"/>
          <w:szCs w:val="32"/>
          <w:lang w:val="en-US" w:eastAsia="zh-CN"/>
        </w:rPr>
        <w:t>3503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，调入资金</w:t>
      </w:r>
      <w:r>
        <w:rPr>
          <w:rFonts w:hint="eastAsia" w:ascii="仿宋_GB2312" w:hAnsi="仿宋_GB2312" w:eastAsia="仿宋_GB2312" w:cs="仿宋_GB2312"/>
          <w:sz w:val="32"/>
          <w:szCs w:val="32"/>
          <w:lang w:val="en-US" w:eastAsia="zh-CN"/>
        </w:rPr>
        <w:t>584万元</w:t>
      </w:r>
      <w:r>
        <w:rPr>
          <w:rFonts w:hint="eastAsia" w:ascii="仿宋_GB2312" w:hAnsi="仿宋_GB2312" w:eastAsia="仿宋_GB2312" w:cs="仿宋_GB2312"/>
          <w:sz w:val="32"/>
          <w:szCs w:val="32"/>
        </w:rPr>
        <w:t>。政府性基金支出</w:t>
      </w:r>
      <w:r>
        <w:rPr>
          <w:rFonts w:hint="eastAsia" w:ascii="仿宋_GB2312" w:hAnsi="仿宋_GB2312" w:eastAsia="仿宋_GB2312" w:cs="仿宋_GB2312"/>
          <w:sz w:val="32"/>
          <w:szCs w:val="32"/>
          <w:lang w:val="en-US" w:eastAsia="zh-CN"/>
        </w:rPr>
        <w:t>21223</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当年政府性基金预算支出</w:t>
      </w:r>
      <w:r>
        <w:rPr>
          <w:rFonts w:hint="eastAsia" w:ascii="仿宋_GB2312" w:hAnsi="仿宋_GB2312" w:eastAsia="仿宋_GB2312" w:cs="仿宋_GB2312"/>
          <w:sz w:val="32"/>
          <w:szCs w:val="32"/>
          <w:lang w:val="en-US" w:eastAsia="zh-CN"/>
        </w:rPr>
        <w:t>16309</w:t>
      </w:r>
      <w:r>
        <w:rPr>
          <w:rFonts w:hint="eastAsia" w:ascii="仿宋_GB2312" w:hAnsi="仿宋_GB2312" w:eastAsia="仿宋_GB2312" w:cs="仿宋_GB2312"/>
          <w:sz w:val="32"/>
          <w:szCs w:val="32"/>
        </w:rPr>
        <w:t>万元，调出资金</w:t>
      </w:r>
      <w:r>
        <w:rPr>
          <w:rFonts w:hint="eastAsia" w:ascii="仿宋_GB2312" w:hAnsi="仿宋_GB2312" w:eastAsia="仿宋_GB2312" w:cs="仿宋_GB2312"/>
          <w:sz w:val="32"/>
          <w:szCs w:val="32"/>
          <w:lang w:val="en-US" w:eastAsia="zh-CN"/>
        </w:rPr>
        <w:t>4914</w:t>
      </w:r>
      <w:r>
        <w:rPr>
          <w:rFonts w:hint="eastAsia" w:ascii="仿宋_GB2312" w:hAnsi="仿宋_GB2312" w:eastAsia="仿宋_GB2312" w:cs="仿宋_GB2312"/>
          <w:sz w:val="32"/>
          <w:szCs w:val="32"/>
        </w:rPr>
        <w:t>万元。结转下年支出</w:t>
      </w:r>
      <w:r>
        <w:rPr>
          <w:rFonts w:hint="eastAsia" w:ascii="仿宋_GB2312" w:hAnsi="仿宋_GB2312" w:eastAsia="仿宋_GB2312" w:cs="仿宋_GB2312"/>
          <w:sz w:val="32"/>
          <w:szCs w:val="32"/>
          <w:lang w:val="en-US" w:eastAsia="zh-CN"/>
        </w:rPr>
        <w:t>21742</w:t>
      </w:r>
      <w:r>
        <w:rPr>
          <w:rFonts w:hint="eastAsia" w:ascii="仿宋_GB2312" w:hAnsi="仿宋_GB2312" w:eastAsia="仿宋_GB2312" w:cs="仿宋_GB2312"/>
          <w:sz w:val="32"/>
          <w:szCs w:val="32"/>
        </w:rPr>
        <w:t>万元。</w:t>
      </w:r>
    </w:p>
    <w:p w14:paraId="0B5530A4">
      <w:pPr>
        <w:keepNext w:val="0"/>
        <w:keepLines w:val="0"/>
        <w:pageBreakBefore w:val="0"/>
        <w:kinsoku/>
        <w:wordWrap/>
        <w:overflowPunct/>
        <w:topLinePunct w:val="0"/>
        <w:autoSpaceDE/>
        <w:autoSpaceDN/>
        <w:bidi w:val="0"/>
        <w:adjustRightInd w:val="0"/>
        <w:snapToGrid w:val="0"/>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（三）国有资本经营预算</w:t>
      </w:r>
      <w:r>
        <w:rPr>
          <w:rFonts w:hint="eastAsia" w:ascii="楷体_GB2312" w:hAnsi="楷体_GB2312" w:eastAsia="楷体_GB2312" w:cs="楷体_GB2312"/>
          <w:b/>
          <w:bCs/>
          <w:sz w:val="32"/>
          <w:szCs w:val="32"/>
          <w:lang w:eastAsia="zh-CN"/>
        </w:rPr>
        <w:t>执行</w:t>
      </w:r>
      <w:r>
        <w:rPr>
          <w:rFonts w:hint="eastAsia" w:ascii="楷体_GB2312" w:hAnsi="楷体_GB2312" w:eastAsia="楷体_GB2312" w:cs="楷体_GB2312"/>
          <w:b/>
          <w:bCs/>
          <w:sz w:val="32"/>
          <w:szCs w:val="32"/>
        </w:rPr>
        <w:t>情况</w:t>
      </w:r>
    </w:p>
    <w:p w14:paraId="1B0996D3">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国有资本经营预算收入完成</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万元。其中：本年收入</w:t>
      </w:r>
      <w:r>
        <w:rPr>
          <w:rFonts w:hint="eastAsia" w:ascii="仿宋_GB2312" w:hAnsi="仿宋_GB2312" w:eastAsia="仿宋_GB2312" w:cs="仿宋_GB2312"/>
          <w:sz w:val="32"/>
          <w:szCs w:val="32"/>
          <w:lang w:val="en-US" w:eastAsia="zh-CN"/>
        </w:rPr>
        <w:t>20万元，</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万元，上年结余收入</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万元。国有资本经营支出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万元，调出资金</w:t>
      </w:r>
      <w:r>
        <w:rPr>
          <w:rFonts w:hint="eastAsia" w:ascii="仿宋_GB2312" w:hAnsi="仿宋_GB2312" w:eastAsia="仿宋_GB2312" w:cs="仿宋_GB2312"/>
          <w:sz w:val="32"/>
          <w:szCs w:val="32"/>
          <w:lang w:val="en-US" w:eastAsia="zh-CN"/>
        </w:rPr>
        <w:t>27万元，</w:t>
      </w:r>
      <w:r>
        <w:rPr>
          <w:rFonts w:hint="eastAsia" w:ascii="仿宋_GB2312" w:hAnsi="仿宋_GB2312" w:eastAsia="仿宋_GB2312" w:cs="仿宋_GB2312"/>
          <w:sz w:val="32"/>
          <w:szCs w:val="32"/>
        </w:rPr>
        <w:t>年终结余结转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p>
    <w:p w14:paraId="240E2F50">
      <w:pPr>
        <w:keepNext w:val="0"/>
        <w:keepLines w:val="0"/>
        <w:pageBreakBefore w:val="0"/>
        <w:kinsoku/>
        <w:wordWrap/>
        <w:overflowPunct/>
        <w:topLinePunct w:val="0"/>
        <w:autoSpaceDE/>
        <w:autoSpaceDN/>
        <w:bidi w:val="0"/>
        <w:adjustRightInd w:val="0"/>
        <w:snapToGrid w:val="0"/>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（四）社会保险基金预算</w:t>
      </w:r>
      <w:r>
        <w:rPr>
          <w:rFonts w:hint="eastAsia" w:ascii="楷体_GB2312" w:hAnsi="楷体_GB2312" w:eastAsia="楷体_GB2312" w:cs="楷体_GB2312"/>
          <w:b/>
          <w:bCs/>
          <w:sz w:val="32"/>
          <w:szCs w:val="32"/>
          <w:lang w:eastAsia="zh-CN"/>
        </w:rPr>
        <w:t>执行</w:t>
      </w:r>
      <w:r>
        <w:rPr>
          <w:rFonts w:hint="eastAsia" w:ascii="楷体_GB2312" w:hAnsi="楷体_GB2312" w:eastAsia="楷体_GB2312" w:cs="楷体_GB2312"/>
          <w:b/>
          <w:bCs/>
          <w:sz w:val="32"/>
          <w:szCs w:val="32"/>
        </w:rPr>
        <w:t>情况</w:t>
      </w:r>
    </w:p>
    <w:p w14:paraId="58C07A56">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上年结余收入</w:t>
      </w:r>
      <w:r>
        <w:rPr>
          <w:rFonts w:hint="eastAsia" w:ascii="仿宋_GB2312" w:hAnsi="仿宋_GB2312" w:eastAsia="仿宋_GB2312" w:cs="仿宋_GB2312"/>
          <w:sz w:val="32"/>
          <w:szCs w:val="32"/>
          <w:highlight w:val="none"/>
          <w:lang w:val="en-US" w:eastAsia="zh-CN"/>
        </w:rPr>
        <w:t>16282</w:t>
      </w:r>
      <w:r>
        <w:rPr>
          <w:rFonts w:hint="eastAsia" w:ascii="仿宋_GB2312" w:hAnsi="仿宋_GB2312" w:eastAsia="仿宋_GB2312" w:cs="仿宋_GB2312"/>
          <w:sz w:val="32"/>
          <w:szCs w:val="32"/>
          <w:highlight w:val="none"/>
        </w:rPr>
        <w:t>万元，当年完成社会保险基金收入</w:t>
      </w:r>
      <w:r>
        <w:rPr>
          <w:rFonts w:hint="eastAsia" w:ascii="仿宋_GB2312" w:hAnsi="仿宋_GB2312" w:eastAsia="仿宋_GB2312" w:cs="仿宋_GB2312"/>
          <w:sz w:val="32"/>
          <w:szCs w:val="32"/>
          <w:highlight w:val="none"/>
          <w:lang w:val="en-US" w:eastAsia="zh-CN"/>
        </w:rPr>
        <w:t>4235</w:t>
      </w:r>
      <w:r>
        <w:rPr>
          <w:rFonts w:hint="eastAsia" w:ascii="仿宋_GB2312" w:hAnsi="仿宋_GB2312" w:eastAsia="仿宋_GB2312" w:cs="仿宋_GB2312"/>
          <w:sz w:val="32"/>
          <w:szCs w:val="32"/>
          <w:highlight w:val="none"/>
        </w:rPr>
        <w:t>万元,其中：城乡居民基本养老保险基金收入</w:t>
      </w:r>
      <w:r>
        <w:rPr>
          <w:rFonts w:hint="eastAsia" w:ascii="仿宋_GB2312" w:hAnsi="仿宋_GB2312" w:eastAsia="仿宋_GB2312" w:cs="仿宋_GB2312"/>
          <w:sz w:val="32"/>
          <w:szCs w:val="32"/>
          <w:highlight w:val="none"/>
          <w:lang w:val="en-US" w:eastAsia="zh-CN"/>
        </w:rPr>
        <w:t>4235</w:t>
      </w:r>
      <w:r>
        <w:rPr>
          <w:rFonts w:hint="eastAsia" w:ascii="仿宋_GB2312" w:hAnsi="仿宋_GB2312" w:eastAsia="仿宋_GB2312" w:cs="仿宋_GB2312"/>
          <w:sz w:val="32"/>
          <w:szCs w:val="32"/>
          <w:highlight w:val="none"/>
        </w:rPr>
        <w:t>万元。社会保险基金支出</w:t>
      </w:r>
      <w:r>
        <w:rPr>
          <w:rFonts w:hint="eastAsia" w:ascii="仿宋_GB2312" w:hAnsi="仿宋_GB2312" w:eastAsia="仿宋_GB2312" w:cs="仿宋_GB2312"/>
          <w:sz w:val="32"/>
          <w:szCs w:val="32"/>
          <w:highlight w:val="none"/>
          <w:lang w:val="en-US" w:eastAsia="zh-CN"/>
        </w:rPr>
        <w:t>3208</w:t>
      </w:r>
      <w:r>
        <w:rPr>
          <w:rFonts w:hint="eastAsia" w:ascii="仿宋_GB2312" w:hAnsi="仿宋_GB2312" w:eastAsia="仿宋_GB2312" w:cs="仿宋_GB2312"/>
          <w:sz w:val="32"/>
          <w:szCs w:val="32"/>
          <w:highlight w:val="none"/>
        </w:rPr>
        <w:t>万元，其中：城乡居民基本养老保险基金支出</w:t>
      </w:r>
      <w:r>
        <w:rPr>
          <w:rFonts w:hint="eastAsia" w:ascii="仿宋_GB2312" w:hAnsi="仿宋_GB2312" w:eastAsia="仿宋_GB2312" w:cs="仿宋_GB2312"/>
          <w:sz w:val="32"/>
          <w:szCs w:val="32"/>
          <w:highlight w:val="none"/>
          <w:lang w:val="en-US" w:eastAsia="zh-CN"/>
        </w:rPr>
        <w:t>3208</w:t>
      </w:r>
      <w:r>
        <w:rPr>
          <w:rFonts w:hint="eastAsia" w:ascii="仿宋_GB2312" w:hAnsi="仿宋_GB2312" w:eastAsia="仿宋_GB2312" w:cs="仿宋_GB2312"/>
          <w:sz w:val="32"/>
          <w:szCs w:val="32"/>
          <w:highlight w:val="none"/>
        </w:rPr>
        <w:t>万元。本年收支结余</w:t>
      </w:r>
      <w:r>
        <w:rPr>
          <w:rFonts w:hint="eastAsia" w:ascii="仿宋_GB2312" w:hAnsi="仿宋_GB2312" w:eastAsia="仿宋_GB2312" w:cs="仿宋_GB2312"/>
          <w:sz w:val="32"/>
          <w:szCs w:val="32"/>
          <w:highlight w:val="none"/>
          <w:lang w:val="en-US" w:eastAsia="zh-CN"/>
        </w:rPr>
        <w:t>1026</w:t>
      </w:r>
      <w:r>
        <w:rPr>
          <w:rFonts w:hint="eastAsia" w:ascii="仿宋_GB2312" w:hAnsi="仿宋_GB2312" w:eastAsia="仿宋_GB2312" w:cs="仿宋_GB2312"/>
          <w:sz w:val="32"/>
          <w:szCs w:val="32"/>
          <w:highlight w:val="none"/>
        </w:rPr>
        <w:t>万元，年末滚存结余</w:t>
      </w:r>
      <w:r>
        <w:rPr>
          <w:rFonts w:hint="eastAsia" w:ascii="仿宋_GB2312" w:hAnsi="仿宋_GB2312" w:eastAsia="仿宋_GB2312" w:cs="仿宋_GB2312"/>
          <w:sz w:val="32"/>
          <w:szCs w:val="32"/>
          <w:highlight w:val="none"/>
          <w:lang w:val="en-US" w:eastAsia="zh-CN"/>
        </w:rPr>
        <w:t>17309</w:t>
      </w:r>
      <w:r>
        <w:rPr>
          <w:rFonts w:hint="eastAsia" w:ascii="仿宋_GB2312" w:hAnsi="仿宋_GB2312" w:eastAsia="仿宋_GB2312" w:cs="仿宋_GB2312"/>
          <w:sz w:val="32"/>
          <w:szCs w:val="32"/>
          <w:highlight w:val="none"/>
        </w:rPr>
        <w:t>万元。</w:t>
      </w:r>
    </w:p>
    <w:p w14:paraId="20B3F011">
      <w:pPr>
        <w:keepNext w:val="0"/>
        <w:keepLines w:val="0"/>
        <w:pageBreakBefore w:val="0"/>
        <w:kinsoku/>
        <w:wordWrap/>
        <w:overflowPunct/>
        <w:topLinePunct w:val="0"/>
        <w:autoSpaceDE/>
        <w:autoSpaceDN/>
        <w:bidi w:val="0"/>
        <w:adjustRightInd w:val="0"/>
        <w:snapToGrid w:val="0"/>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（五）政府性债务情况</w:t>
      </w:r>
    </w:p>
    <w:p w14:paraId="0826CA60">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2024年初</w:t>
      </w:r>
      <w:r>
        <w:rPr>
          <w:rFonts w:hint="eastAsia" w:ascii="仿宋_GB2312" w:hAnsi="仿宋_GB2312" w:eastAsia="仿宋_GB2312" w:cs="仿宋_GB2312"/>
          <w:sz w:val="32"/>
          <w:szCs w:val="32"/>
          <w:highlight w:val="none"/>
        </w:rPr>
        <w:t>，我县地方政府债务余额为</w:t>
      </w:r>
      <w:r>
        <w:rPr>
          <w:rFonts w:hint="eastAsia" w:ascii="仿宋_GB2312" w:hAnsi="仿宋_GB2312" w:eastAsia="仿宋_GB2312" w:cs="仿宋_GB2312"/>
          <w:sz w:val="32"/>
          <w:szCs w:val="32"/>
          <w:highlight w:val="none"/>
          <w:lang w:val="en-US" w:eastAsia="zh-CN"/>
        </w:rPr>
        <w:t>123992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其中：一般债券</w:t>
      </w:r>
      <w:r>
        <w:rPr>
          <w:rFonts w:hint="eastAsia" w:ascii="仿宋_GB2312" w:hAnsi="仿宋_GB2312" w:eastAsia="仿宋_GB2312" w:cs="仿宋_GB2312"/>
          <w:sz w:val="32"/>
          <w:szCs w:val="32"/>
          <w:highlight w:val="none"/>
          <w:lang w:val="en-US" w:eastAsia="zh-CN"/>
        </w:rPr>
        <w:t>106583</w:t>
      </w:r>
      <w:r>
        <w:rPr>
          <w:rFonts w:hint="eastAsia" w:ascii="仿宋_GB2312" w:hAnsi="仿宋_GB2312" w:eastAsia="仿宋_GB2312" w:cs="仿宋_GB2312"/>
          <w:sz w:val="32"/>
          <w:szCs w:val="32"/>
          <w:highlight w:val="none"/>
        </w:rPr>
        <w:t>万元；专项债券</w:t>
      </w:r>
      <w:r>
        <w:rPr>
          <w:rFonts w:hint="eastAsia" w:ascii="仿宋_GB2312" w:hAnsi="仿宋_GB2312" w:eastAsia="仿宋_GB2312" w:cs="仿宋_GB2312"/>
          <w:sz w:val="32"/>
          <w:szCs w:val="32"/>
          <w:highlight w:val="none"/>
          <w:lang w:val="en-US" w:eastAsia="zh-CN"/>
        </w:rPr>
        <w:t>17409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年新增债券</w:t>
      </w:r>
      <w:r>
        <w:rPr>
          <w:rFonts w:hint="eastAsia" w:ascii="仿宋_GB2312" w:hAnsi="仿宋_GB2312" w:eastAsia="仿宋_GB2312" w:cs="仿宋_GB2312"/>
          <w:sz w:val="32"/>
          <w:szCs w:val="32"/>
          <w:highlight w:val="none"/>
          <w:lang w:val="en-US" w:eastAsia="zh-CN"/>
        </w:rPr>
        <w:t>33409</w:t>
      </w:r>
      <w:r>
        <w:rPr>
          <w:rFonts w:hint="eastAsia" w:ascii="仿宋_GB2312" w:hAnsi="仿宋_GB2312" w:eastAsia="仿宋_GB2312" w:cs="仿宋_GB2312"/>
          <w:sz w:val="32"/>
          <w:szCs w:val="32"/>
          <w:highlight w:val="none"/>
        </w:rPr>
        <w:t>万元（其中：省厅指定用途债券资金</w:t>
      </w:r>
      <w:r>
        <w:rPr>
          <w:rFonts w:hint="eastAsia" w:ascii="仿宋_GB2312" w:hAnsi="仿宋_GB2312" w:eastAsia="仿宋_GB2312" w:cs="仿宋_GB2312"/>
          <w:sz w:val="32"/>
          <w:szCs w:val="32"/>
          <w:highlight w:val="none"/>
          <w:lang w:val="en-US" w:eastAsia="zh-CN"/>
        </w:rPr>
        <w:t>547</w:t>
      </w:r>
      <w:r>
        <w:rPr>
          <w:rFonts w:hint="eastAsia" w:ascii="仿宋_GB2312" w:hAnsi="仿宋_GB2312" w:eastAsia="仿宋_GB2312" w:cs="仿宋_GB2312"/>
          <w:sz w:val="32"/>
          <w:szCs w:val="32"/>
          <w:highlight w:val="none"/>
        </w:rPr>
        <w:t>万元，额度转贷收入</w:t>
      </w:r>
      <w:r>
        <w:rPr>
          <w:rFonts w:hint="eastAsia" w:ascii="仿宋_GB2312" w:hAnsi="仿宋_GB2312" w:eastAsia="仿宋_GB2312" w:cs="仿宋_GB2312"/>
          <w:sz w:val="32"/>
          <w:szCs w:val="32"/>
          <w:highlight w:val="none"/>
          <w:lang w:val="en-US" w:eastAsia="zh-CN"/>
        </w:rPr>
        <w:t>32862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2024年，偿还一般债券本金1896万元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截止202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年底，我县政府性债务余额为</w:t>
      </w:r>
      <w:r>
        <w:rPr>
          <w:rFonts w:hint="eastAsia" w:ascii="仿宋_GB2312" w:hAnsi="仿宋_GB2312" w:eastAsia="仿宋_GB2312" w:cs="仿宋_GB2312"/>
          <w:sz w:val="32"/>
          <w:szCs w:val="32"/>
          <w:highlight w:val="none"/>
          <w:lang w:val="en-US" w:eastAsia="zh-CN"/>
        </w:rPr>
        <w:t>155505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其中：一般</w:t>
      </w:r>
      <w:r>
        <w:rPr>
          <w:rFonts w:hint="eastAsia" w:ascii="仿宋_GB2312" w:hAnsi="仿宋_GB2312" w:eastAsia="仿宋_GB2312" w:cs="仿宋_GB2312"/>
          <w:sz w:val="32"/>
          <w:szCs w:val="32"/>
          <w:highlight w:val="none"/>
          <w:lang w:eastAsia="zh-CN"/>
        </w:rPr>
        <w:t>债券</w:t>
      </w:r>
      <w:r>
        <w:rPr>
          <w:rFonts w:hint="eastAsia" w:ascii="仿宋_GB2312" w:hAnsi="仿宋_GB2312" w:eastAsia="仿宋_GB2312" w:cs="仿宋_GB2312"/>
          <w:sz w:val="32"/>
          <w:szCs w:val="32"/>
          <w:highlight w:val="none"/>
          <w:lang w:val="en-US" w:eastAsia="zh-CN"/>
        </w:rPr>
        <w:t>138096</w:t>
      </w:r>
      <w:r>
        <w:rPr>
          <w:rFonts w:hint="eastAsia" w:ascii="仿宋_GB2312" w:hAnsi="仿宋_GB2312" w:eastAsia="仿宋_GB2312" w:cs="仿宋_GB2312"/>
          <w:sz w:val="32"/>
          <w:szCs w:val="32"/>
          <w:highlight w:val="none"/>
        </w:rPr>
        <w:t>万元；专项债</w:t>
      </w:r>
      <w:r>
        <w:rPr>
          <w:rFonts w:hint="eastAsia" w:ascii="仿宋_GB2312" w:hAnsi="仿宋_GB2312" w:eastAsia="仿宋_GB2312" w:cs="仿宋_GB2312"/>
          <w:sz w:val="32"/>
          <w:szCs w:val="32"/>
          <w:highlight w:val="none"/>
          <w:lang w:eastAsia="zh-CN"/>
        </w:rPr>
        <w:t>券</w:t>
      </w:r>
      <w:r>
        <w:rPr>
          <w:rFonts w:hint="eastAsia" w:ascii="仿宋_GB2312" w:hAnsi="仿宋_GB2312" w:eastAsia="仿宋_GB2312" w:cs="仿宋_GB2312"/>
          <w:sz w:val="32"/>
          <w:szCs w:val="32"/>
          <w:highlight w:val="none"/>
          <w:lang w:val="en-US" w:eastAsia="zh-CN"/>
        </w:rPr>
        <w:t>17409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1E886EC9">
      <w:pPr>
        <w:keepNext w:val="0"/>
        <w:keepLines w:val="0"/>
        <w:pageBreakBefore w:val="0"/>
        <w:kinsoku/>
        <w:wordWrap/>
        <w:overflowPunct/>
        <w:topLinePunct w:val="0"/>
        <w:autoSpaceDE/>
        <w:autoSpaceDN/>
        <w:bidi w:val="0"/>
        <w:adjustRightInd w:val="0"/>
        <w:snapToGrid w:val="0"/>
        <w:spacing w:line="576" w:lineRule="exact"/>
        <w:ind w:firstLine="643" w:firstLineChars="200"/>
        <w:rPr>
          <w:rFonts w:hint="default" w:ascii="仿宋_GB2312" w:hAnsi="仿宋_GB2312" w:eastAsia="仿宋_GB2312" w:cs="仿宋_GB2312"/>
          <w:sz w:val="32"/>
          <w:szCs w:val="32"/>
          <w:highlight w:val="none"/>
          <w:lang w:val="en-US"/>
        </w:rPr>
      </w:pPr>
      <w:r>
        <w:rPr>
          <w:rFonts w:hint="eastAsia" w:ascii="楷体_GB2312" w:hAnsi="楷体_GB2312" w:eastAsia="楷体_GB2312" w:cs="楷体_GB2312"/>
          <w:b/>
          <w:bCs/>
          <w:sz w:val="32"/>
          <w:szCs w:val="32"/>
        </w:rPr>
        <w:t>需要说明的问题</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highlight w:val="none"/>
        </w:rPr>
        <w:t>根据《海南州财政局关于</w:t>
      </w:r>
      <w:r>
        <w:rPr>
          <w:rFonts w:hint="eastAsia" w:ascii="仿宋_GB2312" w:hAnsi="仿宋_GB2312" w:eastAsia="仿宋_GB2312" w:cs="仿宋_GB2312"/>
          <w:sz w:val="32"/>
          <w:szCs w:val="32"/>
          <w:highlight w:val="none"/>
          <w:lang w:eastAsia="zh-CN"/>
        </w:rPr>
        <w:t>下达</w:t>
      </w:r>
      <w:r>
        <w:rPr>
          <w:rFonts w:hint="eastAsia" w:ascii="仿宋_GB2312" w:hAnsi="仿宋_GB2312" w:eastAsia="仿宋_GB2312" w:cs="仿宋_GB2312"/>
          <w:sz w:val="32"/>
          <w:szCs w:val="32"/>
          <w:highlight w:val="none"/>
          <w:lang w:val="en-US" w:eastAsia="zh-CN"/>
        </w:rPr>
        <w:t>2024年分地区地方政府债务</w:t>
      </w:r>
      <w:r>
        <w:rPr>
          <w:rFonts w:hint="eastAsia" w:ascii="仿宋_GB2312" w:hAnsi="仿宋_GB2312" w:eastAsia="仿宋_GB2312" w:cs="仿宋_GB2312"/>
          <w:sz w:val="32"/>
          <w:szCs w:val="32"/>
          <w:highlight w:val="none"/>
        </w:rPr>
        <w:t>的通知》（南财预字〔202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rPr>
        <w:t>号）文件要求，</w:t>
      </w:r>
      <w:r>
        <w:rPr>
          <w:rFonts w:hint="eastAsia" w:ascii="仿宋_GB2312" w:hAnsi="仿宋_GB2312" w:eastAsia="仿宋_GB2312" w:cs="仿宋_GB2312"/>
          <w:sz w:val="32"/>
          <w:szCs w:val="32"/>
          <w:highlight w:val="none"/>
          <w:lang w:eastAsia="zh-CN"/>
        </w:rPr>
        <w:t>下达</w:t>
      </w:r>
      <w:r>
        <w:rPr>
          <w:rFonts w:hint="eastAsia" w:ascii="仿宋_GB2312" w:hAnsi="仿宋_GB2312" w:eastAsia="仿宋_GB2312" w:cs="仿宋_GB2312"/>
          <w:sz w:val="32"/>
          <w:szCs w:val="32"/>
          <w:highlight w:val="none"/>
        </w:rPr>
        <w:t>我县政府债务限额</w:t>
      </w:r>
      <w:r>
        <w:rPr>
          <w:rFonts w:hint="eastAsia" w:ascii="仿宋_GB2312" w:hAnsi="仿宋_GB2312" w:eastAsia="仿宋_GB2312" w:cs="仿宋_GB2312"/>
          <w:sz w:val="32"/>
          <w:szCs w:val="32"/>
          <w:highlight w:val="none"/>
          <w:lang w:val="en-US" w:eastAsia="zh-CN"/>
        </w:rPr>
        <w:t>3.34</w:t>
      </w:r>
      <w:r>
        <w:rPr>
          <w:rFonts w:hint="eastAsia" w:ascii="仿宋_GB2312" w:hAnsi="仿宋_GB2312" w:eastAsia="仿宋_GB2312" w:cs="仿宋_GB2312"/>
          <w:sz w:val="32"/>
          <w:szCs w:val="32"/>
          <w:highlight w:val="none"/>
        </w:rPr>
        <w:t>亿元，调整后我县政府债务限额为</w:t>
      </w:r>
      <w:r>
        <w:rPr>
          <w:rFonts w:hint="eastAsia" w:ascii="仿宋_GB2312" w:hAnsi="仿宋_GB2312" w:eastAsia="仿宋_GB2312" w:cs="仿宋_GB2312"/>
          <w:sz w:val="32"/>
          <w:szCs w:val="32"/>
          <w:highlight w:val="none"/>
          <w:lang w:val="en-US" w:eastAsia="zh-CN"/>
        </w:rPr>
        <w:t>17.15</w:t>
      </w:r>
      <w:r>
        <w:rPr>
          <w:rFonts w:hint="eastAsia" w:ascii="仿宋_GB2312" w:hAnsi="仿宋_GB2312" w:eastAsia="仿宋_GB2312" w:cs="仿宋_GB2312"/>
          <w:sz w:val="32"/>
          <w:szCs w:val="32"/>
          <w:highlight w:val="none"/>
        </w:rPr>
        <w:t>亿元（一般债券</w:t>
      </w:r>
      <w:r>
        <w:rPr>
          <w:rFonts w:hint="eastAsia" w:ascii="仿宋_GB2312" w:hAnsi="仿宋_GB2312" w:eastAsia="仿宋_GB2312" w:cs="仿宋_GB2312"/>
          <w:sz w:val="32"/>
          <w:szCs w:val="32"/>
          <w:highlight w:val="none"/>
          <w:lang w:val="en-US" w:eastAsia="zh-CN"/>
        </w:rPr>
        <w:t>14.61</w:t>
      </w:r>
      <w:r>
        <w:rPr>
          <w:rFonts w:hint="eastAsia" w:ascii="仿宋_GB2312" w:hAnsi="仿宋_GB2312" w:eastAsia="仿宋_GB2312" w:cs="仿宋_GB2312"/>
          <w:sz w:val="32"/>
          <w:szCs w:val="32"/>
          <w:highlight w:val="none"/>
        </w:rPr>
        <w:t>亿元；专项债券2.54亿元）。</w:t>
      </w:r>
    </w:p>
    <w:p w14:paraId="5FB66100">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落实人代会预算审查决议及财政重点工作情况</w:t>
      </w:r>
    </w:p>
    <w:p w14:paraId="62383CA6">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2024年，县财政认真落实县十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届人大第四次会议及常委会议有关决议，围绕守底线、稳支撑、增动力总体思路，深入研判财政形势，继续实施积极的财政政策，合理安排财政预算，兜牢“三保”支出底线，严控一般性支出，保障重点项目支出，全力以赴支持我县经济社会稳步发展。</w:t>
      </w:r>
    </w:p>
    <w:p w14:paraId="28C8D87B">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（一）持续强化收入征管，全力夯实保障基础</w:t>
      </w:r>
      <w:r>
        <w:rPr>
          <w:rFonts w:hint="eastAsia" w:ascii="楷体_GB2312" w:hAnsi="楷体_GB2312" w:eastAsia="楷体_GB2312" w:cs="楷体_GB2312"/>
          <w:b/>
          <w:bCs/>
          <w:sz w:val="32"/>
          <w:szCs w:val="32"/>
          <w:lang w:eastAsia="zh-CN"/>
        </w:rPr>
        <w:t>。</w:t>
      </w:r>
      <w:r>
        <w:rPr>
          <w:rStyle w:val="16"/>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rPr>
        <w:t>不断强化财政收入征管。强化税源分析研判和收入调度，加强财政、税务、自然资源、住建等多部门联动，强化重点税源监测，建立税源信息台账，动态分析、研判收入形势，加强对重点行业、重点领域的税收征管，持续抓好重大项目和重点企业跟踪管控，确保税收收入及时完成入库；加大各非税执收部门执法力度，加强对罚没收入、行政事业性收费收入和国有资产处置收益等非税收入的征管力度，确保收入足额入库。</w:t>
      </w:r>
      <w:r>
        <w:rPr>
          <w:rStyle w:val="16"/>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rPr>
        <w:t>加大闲置国有资产资源处置力度。加大行政事业单位闲置、低效资产盘活处置力度，提升资产使用效益，全年国有资产、资源有偿使用收入完成</w:t>
      </w:r>
      <w:r>
        <w:rPr>
          <w:rFonts w:hint="eastAsia" w:ascii="仿宋_GB2312" w:hAnsi="仿宋_GB2312" w:eastAsia="仿宋_GB2312" w:cs="仿宋_GB2312"/>
          <w:sz w:val="32"/>
          <w:szCs w:val="32"/>
          <w:highlight w:val="none"/>
          <w:lang w:val="en-US" w:eastAsia="zh-CN"/>
        </w:rPr>
        <w:t>9368</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rPr>
        <w:t>元。</w:t>
      </w:r>
      <w:r>
        <w:rPr>
          <w:rStyle w:val="16"/>
          <w:rFonts w:hint="eastAsia" w:ascii="仿宋_GB2312" w:hAnsi="仿宋_GB2312" w:eastAsia="仿宋_GB2312" w:cs="仿宋_GB2312"/>
          <w:sz w:val="32"/>
          <w:szCs w:val="32"/>
        </w:rPr>
        <w:t>三是</w:t>
      </w:r>
      <w:r>
        <w:rPr>
          <w:rFonts w:hint="eastAsia" w:ascii="仿宋_GB2312" w:hAnsi="仿宋_GB2312" w:eastAsia="仿宋_GB2312" w:cs="仿宋_GB2312"/>
          <w:sz w:val="32"/>
          <w:szCs w:val="32"/>
        </w:rPr>
        <w:t>积极盘活财政存量资金。建立长效机制，定期清理盘活，全年盘活结转结余存量资金</w:t>
      </w:r>
      <w:r>
        <w:rPr>
          <w:rFonts w:hint="eastAsia" w:ascii="仿宋_GB2312" w:hAnsi="仿宋_GB2312" w:eastAsia="仿宋_GB2312" w:cs="仿宋_GB2312"/>
          <w:sz w:val="32"/>
          <w:szCs w:val="32"/>
          <w:highlight w:val="none"/>
          <w:lang w:val="en-US" w:eastAsia="zh-CN"/>
        </w:rPr>
        <w:t>5591</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rPr>
        <w:t>元，全部统筹用于</w:t>
      </w:r>
      <w:r>
        <w:rPr>
          <w:rFonts w:hint="eastAsia" w:ascii="仿宋_GB2312" w:hAnsi="仿宋_GB2312" w:eastAsia="仿宋_GB2312" w:cs="仿宋_GB2312"/>
          <w:sz w:val="32"/>
          <w:szCs w:val="32"/>
          <w:lang w:eastAsia="zh-CN"/>
        </w:rPr>
        <w:t>补充预算稳定调节基金</w:t>
      </w:r>
      <w:r>
        <w:rPr>
          <w:rFonts w:hint="eastAsia" w:ascii="仿宋_GB2312" w:hAnsi="仿宋_GB2312" w:eastAsia="仿宋_GB2312" w:cs="仿宋_GB2312"/>
          <w:sz w:val="32"/>
          <w:szCs w:val="32"/>
        </w:rPr>
        <w:t>，增强了财政保障能力。</w:t>
      </w:r>
      <w:r>
        <w:rPr>
          <w:rStyle w:val="16"/>
          <w:rFonts w:hint="eastAsia" w:ascii="仿宋_GB2312" w:hAnsi="仿宋_GB2312" w:eastAsia="仿宋_GB2312" w:cs="仿宋_GB2312"/>
          <w:sz w:val="32"/>
          <w:szCs w:val="32"/>
        </w:rPr>
        <w:t>四是</w:t>
      </w:r>
      <w:r>
        <w:rPr>
          <w:rFonts w:hint="eastAsia" w:ascii="仿宋_GB2312" w:hAnsi="仿宋_GB2312" w:eastAsia="仿宋_GB2312" w:cs="仿宋_GB2312"/>
          <w:sz w:val="32"/>
          <w:szCs w:val="32"/>
        </w:rPr>
        <w:t>积极向上争取资金支持。积极抢抓政策机遇，主动对接省州部门，全年争取上级补助收</w:t>
      </w:r>
      <w:r>
        <w:rPr>
          <w:rFonts w:hint="eastAsia" w:ascii="仿宋_GB2312" w:hAnsi="仿宋_GB2312" w:eastAsia="仿宋_GB2312" w:cs="仿宋_GB2312"/>
          <w:sz w:val="32"/>
          <w:szCs w:val="32"/>
          <w:highlight w:val="none"/>
        </w:rPr>
        <w:t>入</w:t>
      </w:r>
      <w:r>
        <w:rPr>
          <w:rFonts w:hint="eastAsia" w:ascii="仿宋_GB2312" w:hAnsi="仿宋_GB2312" w:eastAsia="仿宋_GB2312" w:cs="仿宋_GB2312"/>
          <w:sz w:val="32"/>
          <w:szCs w:val="32"/>
          <w:highlight w:val="none"/>
          <w:lang w:val="en-US" w:eastAsia="zh-CN"/>
        </w:rPr>
        <w:t>324105</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rPr>
        <w:t>元，有力地支持了我县基本民生保障、基础设施建设和社会经济发展资金需求。</w:t>
      </w:r>
    </w:p>
    <w:p w14:paraId="79006B60">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（二）持续优化支出结构，全力增进民生福祉。</w:t>
      </w:r>
      <w:r>
        <w:rPr>
          <w:rFonts w:hint="eastAsia" w:ascii="仿宋_GB2312" w:hAnsi="仿宋_GB2312" w:eastAsia="仿宋_GB2312" w:cs="仿宋_GB2312"/>
          <w:sz w:val="32"/>
          <w:szCs w:val="32"/>
        </w:rPr>
        <w:t>全县财政工作牢固树立以人民为中心的发展思想，把保障和改善民生作为工作的出发点和落脚点，倾心倾力、惠民利民，切实解民忧、惠民生，全年民生支出</w:t>
      </w:r>
      <w:r>
        <w:rPr>
          <w:rFonts w:hint="eastAsia" w:ascii="仿宋_GB2312" w:hAnsi="仿宋_GB2312" w:eastAsia="仿宋_GB2312" w:cs="仿宋_GB2312"/>
          <w:sz w:val="32"/>
          <w:szCs w:val="32"/>
          <w:highlight w:val="none"/>
          <w:lang w:val="en-US" w:eastAsia="zh-CN"/>
        </w:rPr>
        <w:t>349988万</w:t>
      </w:r>
      <w:r>
        <w:rPr>
          <w:rFonts w:hint="eastAsia" w:ascii="仿宋_GB2312" w:hAnsi="仿宋_GB2312" w:eastAsia="仿宋_GB2312" w:cs="仿宋_GB2312"/>
          <w:sz w:val="32"/>
          <w:szCs w:val="32"/>
          <w:highlight w:val="none"/>
        </w:rPr>
        <w:t>元，占一般公共预算支出的</w:t>
      </w:r>
      <w:r>
        <w:rPr>
          <w:rFonts w:hint="eastAsia" w:ascii="仿宋_GB2312" w:hAnsi="仿宋_GB2312" w:eastAsia="仿宋_GB2312" w:cs="仿宋_GB2312"/>
          <w:sz w:val="32"/>
          <w:szCs w:val="32"/>
          <w:highlight w:val="none"/>
          <w:lang w:val="en-US" w:eastAsia="zh-CN"/>
        </w:rPr>
        <w:t>82.53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不断提高社会基本公共服务共享水平，切实增强人民群众获得感、幸福感。</w:t>
      </w:r>
      <w:r>
        <w:rPr>
          <w:rStyle w:val="16"/>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rPr>
        <w:t>保障教育优先发展。全年教育支出</w:t>
      </w:r>
      <w:r>
        <w:rPr>
          <w:rFonts w:hint="eastAsia" w:ascii="仿宋_GB2312" w:hAnsi="仿宋_GB2312" w:eastAsia="仿宋_GB2312" w:cs="仿宋_GB2312"/>
          <w:sz w:val="32"/>
          <w:szCs w:val="32"/>
          <w:highlight w:val="none"/>
          <w:lang w:val="en-US" w:eastAsia="zh-CN"/>
        </w:rPr>
        <w:t>47610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，积极统筹各类资金支持教育事业发展，推动城乡义务教育一体化均衡发展，落实教育生均公用经费投入机制，保障农村义务教育学生营养改善计划、困难学生补助等各项政策有效落实</w:t>
      </w:r>
      <w:r>
        <w:rPr>
          <w:rFonts w:hint="eastAsia" w:ascii="仿宋_GB2312" w:hAnsi="仿宋_GB2312" w:eastAsia="仿宋_GB2312" w:cs="仿宋_GB2312"/>
          <w:sz w:val="32"/>
          <w:szCs w:val="32"/>
          <w:highlight w:val="none"/>
        </w:rPr>
        <w:t>。</w:t>
      </w:r>
      <w:r>
        <w:rPr>
          <w:rStyle w:val="16"/>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rPr>
        <w:t>兜住社会保障底线。全年社会保障和就业支出</w:t>
      </w:r>
      <w:r>
        <w:rPr>
          <w:rFonts w:hint="eastAsia" w:ascii="仿宋_GB2312" w:hAnsi="仿宋_GB2312" w:eastAsia="仿宋_GB2312" w:cs="仿宋_GB2312"/>
          <w:sz w:val="32"/>
          <w:szCs w:val="32"/>
          <w:highlight w:val="none"/>
          <w:lang w:val="en-US" w:eastAsia="zh-CN"/>
        </w:rPr>
        <w:t>52625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巩固和完善城乡社会救助体系，城乡最低生活保障标准再次提高，基本民生保障更加有力。拨付困难群众生活救助</w:t>
      </w:r>
      <w:r>
        <w:rPr>
          <w:rFonts w:hint="eastAsia" w:ascii="仿宋_GB2312" w:hAnsi="仿宋_GB2312" w:eastAsia="仿宋_GB2312" w:cs="仿宋_GB2312"/>
          <w:sz w:val="32"/>
          <w:szCs w:val="32"/>
          <w:highlight w:val="none"/>
          <w:lang w:val="en-US" w:eastAsia="zh-CN"/>
        </w:rPr>
        <w:t>8872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及时把党和政府对困难群众的关心关爱落到实处。安排残疾人补助</w:t>
      </w:r>
      <w:r>
        <w:rPr>
          <w:rFonts w:hint="eastAsia" w:ascii="仿宋_GB2312" w:hAnsi="仿宋_GB2312" w:eastAsia="仿宋_GB2312" w:cs="仿宋_GB2312"/>
          <w:sz w:val="32"/>
          <w:szCs w:val="32"/>
          <w:highlight w:val="none"/>
          <w:lang w:val="en-US" w:eastAsia="zh-CN"/>
        </w:rPr>
        <w:t>342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发放高龄补贴、</w:t>
      </w:r>
      <w:r>
        <w:rPr>
          <w:rFonts w:hint="eastAsia" w:ascii="仿宋_GB2312" w:hAnsi="仿宋_GB2312" w:eastAsia="仿宋_GB2312" w:cs="仿宋_GB2312"/>
          <w:sz w:val="32"/>
          <w:szCs w:val="32"/>
          <w:highlight w:val="none"/>
        </w:rPr>
        <w:t>经济困难老年人服务补助</w:t>
      </w:r>
      <w:r>
        <w:rPr>
          <w:rFonts w:hint="eastAsia" w:ascii="仿宋_GB2312" w:hAnsi="仿宋_GB2312" w:eastAsia="仿宋_GB2312" w:cs="仿宋_GB2312"/>
          <w:sz w:val="32"/>
          <w:szCs w:val="32"/>
          <w:highlight w:val="none"/>
          <w:lang w:val="en-US" w:eastAsia="zh-CN"/>
        </w:rPr>
        <w:t>857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拨付优抚对象补助资金</w:t>
      </w:r>
      <w:r>
        <w:rPr>
          <w:rFonts w:hint="eastAsia" w:ascii="仿宋_GB2312" w:hAnsi="仿宋_GB2312" w:eastAsia="仿宋_GB2312" w:cs="仿宋_GB2312"/>
          <w:sz w:val="32"/>
          <w:szCs w:val="32"/>
          <w:highlight w:val="none"/>
          <w:lang w:val="en-US" w:eastAsia="zh-CN"/>
        </w:rPr>
        <w:t>328</w:t>
      </w:r>
      <w:r>
        <w:rPr>
          <w:rFonts w:hint="eastAsia" w:ascii="仿宋_GB2312" w:hAnsi="仿宋_GB2312" w:eastAsia="仿宋_GB2312" w:cs="仿宋_GB2312"/>
          <w:sz w:val="32"/>
          <w:szCs w:val="32"/>
          <w:highlight w:val="none"/>
        </w:rPr>
        <w:t>万元。</w:t>
      </w:r>
      <w:r>
        <w:rPr>
          <w:rStyle w:val="16"/>
          <w:rFonts w:hint="eastAsia" w:ascii="仿宋_GB2312" w:hAnsi="仿宋_GB2312" w:eastAsia="仿宋_GB2312" w:cs="仿宋_GB2312"/>
          <w:sz w:val="32"/>
          <w:szCs w:val="32"/>
          <w:highlight w:val="none"/>
        </w:rPr>
        <w:t>三</w:t>
      </w:r>
      <w:r>
        <w:rPr>
          <w:rStyle w:val="16"/>
          <w:rFonts w:hint="eastAsia" w:ascii="仿宋_GB2312" w:hAnsi="仿宋_GB2312" w:eastAsia="仿宋_GB2312" w:cs="仿宋_GB2312"/>
          <w:sz w:val="32"/>
          <w:szCs w:val="32"/>
        </w:rPr>
        <w:t>是</w:t>
      </w:r>
      <w:r>
        <w:rPr>
          <w:rFonts w:hint="eastAsia" w:ascii="仿宋_GB2312" w:hAnsi="仿宋_GB2312" w:eastAsia="仿宋_GB2312" w:cs="仿宋_GB2312"/>
          <w:sz w:val="32"/>
          <w:szCs w:val="32"/>
        </w:rPr>
        <w:t>支持医疗卫生事业健康发展。投入卫生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highlight w:val="none"/>
          <w:lang w:val="en-US" w:eastAsia="zh-CN"/>
        </w:rPr>
        <w:t>22080</w:t>
      </w:r>
      <w:r>
        <w:rPr>
          <w:rFonts w:hint="eastAsia" w:ascii="仿宋_GB2312" w:hAnsi="仿宋_GB2312" w:eastAsia="仿宋_GB2312" w:cs="仿宋_GB2312"/>
          <w:sz w:val="32"/>
          <w:szCs w:val="32"/>
        </w:rPr>
        <w:t>万元，提高基层医疗卫生服务水平，完善城乡</w:t>
      </w:r>
      <w:r>
        <w:rPr>
          <w:rFonts w:hint="eastAsia" w:ascii="仿宋_GB2312" w:hAnsi="仿宋_GB2312" w:eastAsia="仿宋_GB2312" w:cs="仿宋_GB2312"/>
          <w:sz w:val="32"/>
          <w:szCs w:val="32"/>
          <w:highlight w:val="none"/>
        </w:rPr>
        <w:t>基层医疗卫生机构多渠道补偿机制，持续实施基本药物制度，拨付资金</w:t>
      </w:r>
      <w:r>
        <w:rPr>
          <w:rFonts w:hint="eastAsia" w:ascii="仿宋_GB2312" w:hAnsi="仿宋_GB2312" w:eastAsia="仿宋_GB2312" w:cs="仿宋_GB2312"/>
          <w:sz w:val="32"/>
          <w:szCs w:val="32"/>
          <w:highlight w:val="none"/>
          <w:lang w:val="en-US" w:eastAsia="zh-CN"/>
        </w:rPr>
        <w:t>132</w:t>
      </w:r>
      <w:r>
        <w:rPr>
          <w:rFonts w:hint="eastAsia" w:ascii="仿宋_GB2312" w:hAnsi="仿宋_GB2312" w:eastAsia="仿宋_GB2312" w:cs="仿宋_GB2312"/>
          <w:sz w:val="32"/>
          <w:szCs w:val="32"/>
          <w:highlight w:val="none"/>
        </w:rPr>
        <w:t>万元；稳步提升基本公共卫生服务水平，拨付资金</w:t>
      </w:r>
      <w:r>
        <w:rPr>
          <w:rFonts w:hint="eastAsia" w:ascii="仿宋_GB2312" w:hAnsi="仿宋_GB2312" w:eastAsia="仿宋_GB2312" w:cs="仿宋_GB2312"/>
          <w:sz w:val="32"/>
          <w:szCs w:val="32"/>
          <w:highlight w:val="none"/>
          <w:lang w:val="en-US" w:eastAsia="zh-CN"/>
        </w:rPr>
        <w:t>1159</w:t>
      </w:r>
      <w:r>
        <w:rPr>
          <w:rFonts w:hint="eastAsia" w:ascii="仿宋_GB2312" w:hAnsi="仿宋_GB2312" w:eastAsia="仿宋_GB2312" w:cs="仿宋_GB2312"/>
          <w:sz w:val="32"/>
          <w:szCs w:val="32"/>
          <w:highlight w:val="none"/>
        </w:rPr>
        <w:t>万元。</w:t>
      </w:r>
    </w:p>
    <w:p w14:paraId="21DF3C25">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firstLine="643" w:firstLineChars="200"/>
        <w:textAlignment w:val="auto"/>
        <w:rPr>
          <w:rFonts w:hint="eastAsia" w:ascii="仿宋_GB2312" w:hAnsi="仿宋_GB2312" w:eastAsia="仿宋_GB2312" w:cs="仿宋_GB2312"/>
          <w:sz w:val="32"/>
          <w:szCs w:val="32"/>
          <w:highlight w:val="yellow"/>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强化风险意识和责任担当，有效防范化解风险</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牢牢守住安全底线。</w:t>
      </w:r>
      <w:r>
        <w:rPr>
          <w:rStyle w:val="16"/>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rPr>
        <w:t>强化公共安全领域保障。全年公共安全支出</w:t>
      </w:r>
      <w:r>
        <w:rPr>
          <w:rFonts w:hint="eastAsia" w:ascii="仿宋_GB2312" w:hAnsi="仿宋_GB2312" w:eastAsia="仿宋_GB2312" w:cs="仿宋_GB2312"/>
          <w:sz w:val="32"/>
          <w:szCs w:val="32"/>
          <w:highlight w:val="none"/>
          <w:lang w:val="en-US" w:eastAsia="zh-CN"/>
        </w:rPr>
        <w:t>10490</w:t>
      </w:r>
      <w:r>
        <w:rPr>
          <w:rFonts w:hint="eastAsia" w:ascii="仿宋_GB2312" w:hAnsi="仿宋_GB2312" w:eastAsia="仿宋_GB2312" w:cs="仿宋_GB2312"/>
          <w:sz w:val="32"/>
          <w:szCs w:val="32"/>
          <w:highlight w:val="none"/>
        </w:rPr>
        <w:t>万元，有效保障了执法办案、社会综合治理等各项工作，有力推动依法治县及平安</w:t>
      </w:r>
      <w:r>
        <w:rPr>
          <w:rFonts w:hint="eastAsia" w:ascii="仿宋_GB2312" w:hAnsi="仿宋_GB2312" w:eastAsia="仿宋_GB2312" w:cs="仿宋_GB2312"/>
          <w:sz w:val="32"/>
          <w:szCs w:val="32"/>
          <w:highlight w:val="none"/>
          <w:lang w:eastAsia="zh-CN"/>
        </w:rPr>
        <w:t>共和</w:t>
      </w:r>
      <w:r>
        <w:rPr>
          <w:rFonts w:hint="eastAsia" w:ascii="仿宋_GB2312" w:hAnsi="仿宋_GB2312" w:eastAsia="仿宋_GB2312" w:cs="仿宋_GB2312"/>
          <w:sz w:val="32"/>
          <w:szCs w:val="32"/>
          <w:highlight w:val="none"/>
        </w:rPr>
        <w:t>建设。全年灾害防治及应急管理支出</w:t>
      </w:r>
      <w:r>
        <w:rPr>
          <w:rFonts w:hint="eastAsia" w:ascii="仿宋_GB2312" w:hAnsi="仿宋_GB2312" w:eastAsia="仿宋_GB2312" w:cs="仿宋_GB2312"/>
          <w:sz w:val="32"/>
          <w:szCs w:val="32"/>
          <w:highlight w:val="none"/>
          <w:lang w:val="en-US" w:eastAsia="zh-CN"/>
        </w:rPr>
        <w:t>2749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全力推动消防、自然灾害防治等各项工作落实，切实加强应急救灾保障力度。</w:t>
      </w:r>
      <w:r>
        <w:rPr>
          <w:rStyle w:val="16"/>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rPr>
        <w:t>强化“三保”保障。坚持“三保”支出的优先顺序，树牢过“紧日子”思想，严格执行上级有关规定，大力压减一般性支出和非急需非刚性支出，强化资金统筹调度和监控，切实用好风险预警防控。</w:t>
      </w:r>
      <w:r>
        <w:rPr>
          <w:rStyle w:val="16"/>
          <w:rFonts w:hint="eastAsia" w:ascii="仿宋_GB2312" w:hAnsi="仿宋_GB2312" w:eastAsia="仿宋_GB2312" w:cs="仿宋_GB2312"/>
          <w:sz w:val="32"/>
          <w:szCs w:val="32"/>
        </w:rPr>
        <w:t>三是</w:t>
      </w:r>
      <w:r>
        <w:rPr>
          <w:rFonts w:hint="eastAsia" w:ascii="仿宋_GB2312" w:hAnsi="仿宋_GB2312" w:eastAsia="仿宋_GB2312" w:cs="仿宋_GB2312"/>
          <w:sz w:val="32"/>
          <w:szCs w:val="32"/>
        </w:rPr>
        <w:t>强化债务风险防范化解。落实政府债务限额管理，压实政府债务偿还责任，扎实做好债务风险防控化解工作，按时足额偿还到期政府债务本息，全年共安排</w:t>
      </w:r>
      <w:r>
        <w:rPr>
          <w:rFonts w:hint="eastAsia" w:ascii="仿宋_GB2312" w:hAnsi="仿宋_GB2312" w:eastAsia="仿宋_GB2312" w:cs="仿宋_GB2312"/>
          <w:sz w:val="32"/>
          <w:szCs w:val="32"/>
          <w:highlight w:val="none"/>
        </w:rPr>
        <w:t>还本付息资金</w:t>
      </w:r>
      <w:r>
        <w:rPr>
          <w:rFonts w:hint="eastAsia" w:ascii="仿宋_GB2312" w:hAnsi="仿宋_GB2312" w:eastAsia="仿宋_GB2312" w:cs="仿宋_GB2312"/>
          <w:sz w:val="32"/>
          <w:szCs w:val="32"/>
          <w:highlight w:val="none"/>
          <w:lang w:val="en-US" w:eastAsia="zh-CN"/>
        </w:rPr>
        <w:t>5839</w:t>
      </w:r>
      <w:r>
        <w:rPr>
          <w:rFonts w:hint="eastAsia" w:ascii="仿宋_GB2312" w:hAnsi="仿宋_GB2312" w:eastAsia="仿宋_GB2312" w:cs="仿宋_GB2312"/>
          <w:sz w:val="32"/>
          <w:szCs w:val="32"/>
          <w:highlight w:val="none"/>
        </w:rPr>
        <w:t>万元，其中，一般债务</w:t>
      </w:r>
      <w:r>
        <w:rPr>
          <w:rFonts w:hint="eastAsia" w:ascii="仿宋_GB2312" w:hAnsi="仿宋_GB2312" w:eastAsia="仿宋_GB2312" w:cs="仿宋_GB2312"/>
          <w:sz w:val="32"/>
          <w:szCs w:val="32"/>
          <w:highlight w:val="none"/>
          <w:lang w:val="en-US" w:eastAsia="zh-CN"/>
        </w:rPr>
        <w:t>5194</w:t>
      </w:r>
      <w:r>
        <w:rPr>
          <w:rFonts w:hint="eastAsia" w:ascii="仿宋_GB2312" w:hAnsi="仿宋_GB2312" w:eastAsia="仿宋_GB2312" w:cs="仿宋_GB2312"/>
          <w:sz w:val="32"/>
          <w:szCs w:val="32"/>
          <w:highlight w:val="none"/>
        </w:rPr>
        <w:t>万元、专项债务</w:t>
      </w:r>
      <w:r>
        <w:rPr>
          <w:rFonts w:hint="eastAsia" w:ascii="仿宋_GB2312" w:hAnsi="仿宋_GB2312" w:eastAsia="仿宋_GB2312" w:cs="仿宋_GB2312"/>
          <w:sz w:val="32"/>
          <w:szCs w:val="32"/>
          <w:highlight w:val="none"/>
          <w:lang w:val="en-US" w:eastAsia="zh-CN"/>
        </w:rPr>
        <w:t>645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全县债务风险整体可控，牢牢守住了不发生系统性风险底线。</w:t>
      </w:r>
      <w:r>
        <w:rPr>
          <w:rStyle w:val="16"/>
          <w:rFonts w:hint="eastAsia" w:ascii="仿宋_GB2312" w:hAnsi="仿宋_GB2312" w:eastAsia="仿宋_GB2312" w:cs="仿宋_GB2312"/>
          <w:sz w:val="32"/>
          <w:szCs w:val="32"/>
        </w:rPr>
        <w:t>四是</w:t>
      </w:r>
      <w:r>
        <w:rPr>
          <w:rFonts w:hint="eastAsia" w:ascii="仿宋_GB2312" w:hAnsi="仿宋_GB2312" w:eastAsia="仿宋_GB2312" w:cs="仿宋_GB2312"/>
          <w:sz w:val="32"/>
          <w:szCs w:val="32"/>
        </w:rPr>
        <w:t>组织各成员单位和金融机构，广泛开展防范和处置非法集资宣传活动四次，宣传活动共发放宣传折页等3000余份，悬挂宣传横幅24条，摆放案例展板14块。</w:t>
      </w:r>
    </w:p>
    <w:p w14:paraId="4E3C8A4C">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）持续深化财政改革，全力提升管理水平</w:t>
      </w:r>
      <w:r>
        <w:rPr>
          <w:rFonts w:hint="eastAsia" w:ascii="楷体_GB2312" w:hAnsi="楷体_GB2312" w:eastAsia="楷体_GB2312" w:cs="楷体_GB2312"/>
          <w:b/>
          <w:bCs/>
          <w:sz w:val="32"/>
          <w:szCs w:val="32"/>
          <w:lang w:eastAsia="zh-CN"/>
        </w:rPr>
        <w:t>。</w:t>
      </w:r>
      <w:r>
        <w:rPr>
          <w:rStyle w:val="16"/>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rPr>
        <w:t>预算管理改革持续深化。以预算管理一体化改革为契机，建立以项目为核心，从预算编制到预算执行、核算、内控、绩效、监督等一体化的全生命周期全流程管理。</w:t>
      </w:r>
      <w:r>
        <w:rPr>
          <w:rStyle w:val="16"/>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rPr>
        <w:t>持续推进预算绩效管理。全过程开展预算绩效管理，做好项目事前绩效评估，提高绩效目标编制质量，对绩效目标实现程度和预算执行进度双监控，做好绩效评价和结果应用，实现预算和绩效管理一体化，确保财政资源高效配置，坚持把钱用到刀刃上，推动财政资金聚力增效。</w:t>
      </w:r>
      <w:r>
        <w:rPr>
          <w:rStyle w:val="16"/>
          <w:rFonts w:hint="eastAsia" w:ascii="仿宋_GB2312" w:hAnsi="仿宋_GB2312" w:eastAsia="仿宋_GB2312" w:cs="仿宋_GB2312"/>
          <w:sz w:val="32"/>
          <w:szCs w:val="32"/>
          <w:lang w:eastAsia="zh-CN"/>
        </w:rPr>
        <w:t>三</w:t>
      </w:r>
      <w:r>
        <w:rPr>
          <w:rStyle w:val="16"/>
          <w:rFonts w:hint="eastAsia" w:ascii="仿宋_GB2312" w:hAnsi="仿宋_GB2312" w:eastAsia="仿宋_GB2312" w:cs="仿宋_GB2312"/>
          <w:sz w:val="32"/>
          <w:szCs w:val="32"/>
        </w:rPr>
        <w:t>是</w:t>
      </w:r>
      <w:r>
        <w:rPr>
          <w:rFonts w:hint="eastAsia" w:ascii="仿宋_GB2312" w:hAnsi="仿宋_GB2312" w:eastAsia="仿宋_GB2312" w:cs="仿宋_GB2312"/>
          <w:sz w:val="32"/>
          <w:szCs w:val="32"/>
        </w:rPr>
        <w:t>加大监督管理力度。深入推进预决算信息公开，细化部门预决算公开范围及内容，切实提高预决算公开信息质量，打造阳光透明政府，全县</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个县级预算单位和</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个乡镇均在规定时间内完成预决算公开，保障人民群众的知情权；持续推进财政政策公开，建立民生资金“一卡通”信息公示制度，推动现代财政治理能力有效提升。</w:t>
      </w:r>
    </w:p>
    <w:p w14:paraId="727863F3">
      <w:pPr>
        <w:keepNext w:val="0"/>
        <w:keepLines w:val="0"/>
        <w:pageBreakBefore w:val="0"/>
        <w:kinsoku/>
        <w:wordWrap/>
        <w:overflowPunct/>
        <w:topLinePunct w:val="0"/>
        <w:autoSpaceDE/>
        <w:autoSpaceDN/>
        <w:bidi w:val="0"/>
        <w:adjustRightInd w:val="0"/>
        <w:snapToGrid w:val="0"/>
        <w:spacing w:line="576"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以上工作成效，是</w:t>
      </w:r>
      <w:r>
        <w:rPr>
          <w:rFonts w:hint="eastAsia" w:ascii="仿宋_GB2312" w:hAnsi="仿宋_GB2312" w:eastAsia="仿宋_GB2312" w:cs="仿宋_GB2312"/>
          <w:spacing w:val="6"/>
          <w:sz w:val="32"/>
          <w:szCs w:val="32"/>
          <w:lang w:eastAsia="zh-CN"/>
        </w:rPr>
        <w:t>县委</w:t>
      </w:r>
      <w:r>
        <w:rPr>
          <w:rFonts w:hint="eastAsia" w:ascii="仿宋_GB2312" w:hAnsi="仿宋_GB2312" w:eastAsia="仿宋_GB2312" w:cs="仿宋_GB2312"/>
          <w:spacing w:val="6"/>
          <w:sz w:val="32"/>
          <w:szCs w:val="32"/>
        </w:rPr>
        <w:t>统揽全局、坚强领导的结果，是</w:t>
      </w:r>
      <w:r>
        <w:rPr>
          <w:rFonts w:hint="eastAsia" w:ascii="仿宋_GB2312" w:hAnsi="仿宋_GB2312" w:eastAsia="仿宋_GB2312" w:cs="仿宋_GB2312"/>
          <w:spacing w:val="6"/>
          <w:sz w:val="32"/>
          <w:szCs w:val="32"/>
          <w:lang w:eastAsia="zh-CN"/>
        </w:rPr>
        <w:t>县</w:t>
      </w:r>
      <w:r>
        <w:rPr>
          <w:rFonts w:hint="eastAsia" w:ascii="仿宋_GB2312" w:hAnsi="仿宋_GB2312" w:eastAsia="仿宋_GB2312" w:cs="仿宋_GB2312"/>
          <w:spacing w:val="6"/>
          <w:sz w:val="32"/>
          <w:szCs w:val="32"/>
        </w:rPr>
        <w:t>人大、</w:t>
      </w:r>
      <w:r>
        <w:rPr>
          <w:rFonts w:hint="eastAsia" w:ascii="仿宋_GB2312" w:hAnsi="仿宋_GB2312" w:eastAsia="仿宋_GB2312" w:cs="仿宋_GB2312"/>
          <w:spacing w:val="6"/>
          <w:sz w:val="32"/>
          <w:szCs w:val="32"/>
          <w:lang w:eastAsia="zh-CN"/>
        </w:rPr>
        <w:t>县</w:t>
      </w:r>
      <w:r>
        <w:rPr>
          <w:rFonts w:hint="eastAsia" w:ascii="仿宋_GB2312" w:hAnsi="仿宋_GB2312" w:eastAsia="仿宋_GB2312" w:cs="仿宋_GB2312"/>
          <w:spacing w:val="6"/>
          <w:sz w:val="32"/>
          <w:szCs w:val="32"/>
        </w:rPr>
        <w:t>政协及代表委员们监督指导、大力支持的结果，也是各部门齐心协力、共同奋斗的结果。与此同时，当前财政运行和预算管理中还存在一些困难和问题，主要是:财政收入增长乏力，发展支出强度维持在高位，收支矛盾仍然比较突出；预算刚性约束力度还不够，财政资源统筹还有差距；</w:t>
      </w:r>
      <w:r>
        <w:rPr>
          <w:rFonts w:hint="eastAsia" w:ascii="仿宋_GB2312" w:hAnsi="仿宋_GB2312" w:eastAsia="仿宋_GB2312" w:cs="仿宋_GB2312"/>
          <w:spacing w:val="6"/>
          <w:sz w:val="32"/>
          <w:szCs w:val="32"/>
          <w:lang w:eastAsia="zh-CN"/>
        </w:rPr>
        <w:t>预算编制细化程度有待提高</w:t>
      </w:r>
      <w:r>
        <w:rPr>
          <w:rFonts w:hint="eastAsia" w:ascii="仿宋_GB2312" w:hAnsi="仿宋_GB2312" w:eastAsia="仿宋_GB2312" w:cs="仿宋_GB2312"/>
          <w:spacing w:val="6"/>
          <w:sz w:val="32"/>
          <w:szCs w:val="32"/>
        </w:rPr>
        <w:t>等。对此，我们高度重视，将积极采取措施加以解决。</w:t>
      </w:r>
    </w:p>
    <w:p w14:paraId="2BA85669">
      <w:pPr>
        <w:keepNext w:val="0"/>
        <w:keepLines w:val="0"/>
        <w:pageBreakBefore w:val="0"/>
        <w:kinsoku/>
        <w:wordWrap/>
        <w:overflowPunct/>
        <w:topLinePunct w:val="0"/>
        <w:autoSpaceDE/>
        <w:autoSpaceDN/>
        <w:bidi w:val="0"/>
        <w:adjustRightInd w:val="0"/>
        <w:snapToGrid w:val="0"/>
        <w:spacing w:line="576"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lang w:eastAsia="zh-CN"/>
        </w:rPr>
        <w:t>三、</w:t>
      </w:r>
      <w:r>
        <w:rPr>
          <w:rFonts w:hint="eastAsia" w:ascii="黑体" w:hAnsi="黑体" w:eastAsia="黑体" w:cs="黑体"/>
          <w:spacing w:val="6"/>
          <w:sz w:val="32"/>
          <w:szCs w:val="32"/>
        </w:rPr>
        <w:t>202</w:t>
      </w:r>
      <w:r>
        <w:rPr>
          <w:rFonts w:hint="eastAsia" w:ascii="黑体" w:hAnsi="黑体" w:eastAsia="黑体" w:cs="黑体"/>
          <w:spacing w:val="6"/>
          <w:sz w:val="32"/>
          <w:szCs w:val="32"/>
          <w:lang w:val="en-US" w:eastAsia="zh-CN"/>
        </w:rPr>
        <w:t>5</w:t>
      </w:r>
      <w:r>
        <w:rPr>
          <w:rFonts w:hint="eastAsia" w:ascii="黑体" w:hAnsi="黑体" w:eastAsia="黑体" w:cs="黑体"/>
          <w:spacing w:val="6"/>
          <w:sz w:val="32"/>
          <w:szCs w:val="32"/>
        </w:rPr>
        <w:t>年全县预算草案</w:t>
      </w:r>
    </w:p>
    <w:p w14:paraId="204841AC">
      <w:pPr>
        <w:keepNext w:val="0"/>
        <w:keepLines w:val="0"/>
        <w:pageBreakBefore w:val="0"/>
        <w:kinsoku/>
        <w:wordWrap/>
        <w:overflowPunct/>
        <w:topLinePunct w:val="0"/>
        <w:autoSpaceDE/>
        <w:autoSpaceDN/>
        <w:bidi w:val="0"/>
        <w:adjustRightInd w:val="0"/>
        <w:snapToGrid w:val="0"/>
        <w:spacing w:line="576" w:lineRule="exact"/>
        <w:ind w:firstLine="667"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202</w:t>
      </w:r>
      <w:r>
        <w:rPr>
          <w:rFonts w:hint="eastAsia" w:ascii="仿宋_GB2312" w:hAnsi="仿宋_GB2312" w:eastAsia="仿宋_GB2312" w:cs="仿宋_GB2312"/>
          <w:b/>
          <w:bCs/>
          <w:spacing w:val="6"/>
          <w:sz w:val="32"/>
          <w:szCs w:val="32"/>
          <w:lang w:val="en-US" w:eastAsia="zh-CN"/>
        </w:rPr>
        <w:t>5</w:t>
      </w:r>
      <w:r>
        <w:rPr>
          <w:rFonts w:hint="eastAsia" w:ascii="仿宋_GB2312" w:hAnsi="仿宋_GB2312" w:eastAsia="仿宋_GB2312" w:cs="仿宋_GB2312"/>
          <w:b/>
          <w:bCs/>
          <w:spacing w:val="6"/>
          <w:sz w:val="32"/>
          <w:szCs w:val="32"/>
        </w:rPr>
        <w:t>年预算编制的指导思想:</w:t>
      </w:r>
      <w:r>
        <w:rPr>
          <w:rFonts w:hint="eastAsia" w:ascii="仿宋_GB2312" w:hAnsi="仿宋_GB2312" w:eastAsia="仿宋_GB2312" w:cs="仿宋_GB2312"/>
          <w:spacing w:val="6"/>
          <w:sz w:val="32"/>
          <w:szCs w:val="32"/>
        </w:rPr>
        <w:t>坚持以习近平新时代中国特色社会主义思想为指导，以习近平总书记考察青海重要讲话精神为引领，全面贯彻党的二十大和二十届二中、三中全会精神</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按照中央经济工作会议要求，坚持稳中求进、以进促稳，全力以赴保“三保”、保化债、优结构、提效益，着力提质效、保重点。落实更加积极的财政政策健全</w:t>
      </w:r>
      <w:r>
        <w:rPr>
          <w:rFonts w:hint="eastAsia" w:ascii="仿宋_GB2312" w:hAnsi="仿宋_GB2312" w:eastAsia="仿宋_GB2312" w:cs="仿宋_GB2312"/>
          <w:spacing w:val="6"/>
          <w:sz w:val="32"/>
          <w:szCs w:val="32"/>
          <w:lang w:eastAsia="zh-CN"/>
        </w:rPr>
        <w:t>县委县政府</w:t>
      </w:r>
      <w:r>
        <w:rPr>
          <w:rFonts w:hint="eastAsia" w:ascii="仿宋_GB2312" w:hAnsi="仿宋_GB2312" w:eastAsia="仿宋_GB2312" w:cs="仿宋_GB2312"/>
          <w:spacing w:val="6"/>
          <w:sz w:val="32"/>
          <w:szCs w:val="32"/>
        </w:rPr>
        <w:t>重大战略任务财力保障机制，强化资金统筹，优化财力配置，集中财力办大事。深入推进零基预算改革，有保有压、突出重点安排预算支出，提高资金使用效益和政策实施效果。深化严肃财经纪律，落实党政机关坚持过紧日子要求。优化财政支出结构，加快形成以保基本民生、保工资运转、保重大战略、降政府债务风险、促进高质量发展为导向</w:t>
      </w:r>
      <w:r>
        <w:rPr>
          <w:rFonts w:hint="eastAsia" w:ascii="仿宋_GB2312" w:hAnsi="仿宋_GB2312" w:eastAsia="仿宋_GB2312" w:cs="仿宋_GB2312"/>
          <w:spacing w:val="6"/>
          <w:sz w:val="32"/>
          <w:szCs w:val="32"/>
          <w:lang w:eastAsia="zh-CN"/>
        </w:rPr>
        <w:t>的</w:t>
      </w:r>
      <w:r>
        <w:rPr>
          <w:rFonts w:hint="eastAsia" w:ascii="仿宋_GB2312" w:hAnsi="仿宋_GB2312" w:eastAsia="仿宋_GB2312" w:cs="仿宋_GB2312"/>
          <w:spacing w:val="6"/>
          <w:sz w:val="32"/>
          <w:szCs w:val="32"/>
        </w:rPr>
        <w:t>财政保障机制,为现代化新</w:t>
      </w:r>
      <w:r>
        <w:rPr>
          <w:rFonts w:hint="eastAsia" w:ascii="仿宋_GB2312" w:hAnsi="仿宋_GB2312" w:eastAsia="仿宋_GB2312" w:cs="仿宋_GB2312"/>
          <w:spacing w:val="6"/>
          <w:sz w:val="32"/>
          <w:szCs w:val="32"/>
          <w:lang w:eastAsia="zh-CN"/>
        </w:rPr>
        <w:t>共和</w:t>
      </w:r>
      <w:r>
        <w:rPr>
          <w:rFonts w:hint="eastAsia" w:ascii="仿宋_GB2312" w:hAnsi="仿宋_GB2312" w:eastAsia="仿宋_GB2312" w:cs="仿宋_GB2312"/>
          <w:spacing w:val="6"/>
          <w:sz w:val="32"/>
          <w:szCs w:val="32"/>
        </w:rPr>
        <w:t>建设提供</w:t>
      </w:r>
      <w:r>
        <w:rPr>
          <w:rFonts w:hint="eastAsia" w:ascii="仿宋_GB2312" w:hAnsi="仿宋_GB2312" w:eastAsia="仿宋_GB2312" w:cs="仿宋_GB2312"/>
          <w:spacing w:val="6"/>
          <w:sz w:val="32"/>
          <w:szCs w:val="32"/>
          <w:lang w:eastAsia="zh-CN"/>
        </w:rPr>
        <w:t>有力的</w:t>
      </w:r>
      <w:r>
        <w:rPr>
          <w:rFonts w:hint="eastAsia" w:ascii="仿宋_GB2312" w:hAnsi="仿宋_GB2312" w:eastAsia="仿宋_GB2312" w:cs="仿宋_GB2312"/>
          <w:spacing w:val="6"/>
          <w:sz w:val="32"/>
          <w:szCs w:val="32"/>
        </w:rPr>
        <w:t>财政支撑。</w:t>
      </w:r>
    </w:p>
    <w:p w14:paraId="27EF8A7B">
      <w:pPr>
        <w:keepNext w:val="0"/>
        <w:keepLines w:val="0"/>
        <w:pageBreakBefore w:val="0"/>
        <w:kinsoku/>
        <w:wordWrap/>
        <w:overflowPunct/>
        <w:topLinePunct w:val="0"/>
        <w:autoSpaceDE/>
        <w:autoSpaceDN/>
        <w:bidi w:val="0"/>
        <w:adjustRightInd w:val="0"/>
        <w:snapToGrid w:val="0"/>
        <w:spacing w:line="576" w:lineRule="exact"/>
        <w:ind w:firstLine="667" w:firstLineChars="200"/>
        <w:rPr>
          <w:rFonts w:ascii="楷体_GB2312" w:hAnsi="楷体" w:eastAsia="楷体_GB2312" w:cs="Cambria"/>
          <w:b/>
          <w:spacing w:val="6"/>
          <w:sz w:val="32"/>
          <w:szCs w:val="32"/>
        </w:rPr>
      </w:pPr>
      <w:r>
        <w:rPr>
          <w:rFonts w:hint="eastAsia" w:ascii="楷体_GB2312" w:hAnsi="楷体" w:eastAsia="楷体_GB2312" w:cs="Cambria"/>
          <w:b/>
          <w:spacing w:val="6"/>
          <w:sz w:val="32"/>
          <w:szCs w:val="32"/>
        </w:rPr>
        <w:t>（</w:t>
      </w:r>
      <w:r>
        <w:rPr>
          <w:rFonts w:hint="eastAsia" w:ascii="楷体_GB2312" w:hAnsi="楷体" w:eastAsia="楷体_GB2312" w:cs="Cambria"/>
          <w:b/>
          <w:spacing w:val="6"/>
          <w:sz w:val="32"/>
          <w:szCs w:val="32"/>
          <w:lang w:eastAsia="zh-CN"/>
        </w:rPr>
        <w:t>一</w:t>
      </w:r>
      <w:r>
        <w:rPr>
          <w:rFonts w:hint="eastAsia" w:ascii="楷体_GB2312" w:hAnsi="楷体" w:eastAsia="楷体_GB2312" w:cs="Cambria"/>
          <w:b/>
          <w:spacing w:val="6"/>
          <w:sz w:val="32"/>
          <w:szCs w:val="32"/>
        </w:rPr>
        <w:t>）一般公共预算安排情况</w:t>
      </w:r>
    </w:p>
    <w:p w14:paraId="43C2F5B5">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4" w:firstLineChars="200"/>
        <w:jc w:val="both"/>
        <w:rPr>
          <w:rFonts w:ascii="仿宋_GB2312" w:eastAsia="仿宋_GB2312" w:cs="Times New Roman"/>
          <w:spacing w:val="6"/>
          <w:sz w:val="32"/>
          <w:szCs w:val="32"/>
          <w:highlight w:val="none"/>
        </w:rPr>
      </w:pPr>
      <w:r>
        <w:rPr>
          <w:rFonts w:hint="eastAsia" w:ascii="仿宋_GB2312" w:eastAsia="仿宋_GB2312" w:cs="Times New Roman"/>
          <w:spacing w:val="6"/>
          <w:sz w:val="32"/>
          <w:szCs w:val="32"/>
          <w:highlight w:val="none"/>
        </w:rPr>
        <w:t>202</w:t>
      </w:r>
      <w:r>
        <w:rPr>
          <w:rFonts w:hint="eastAsia" w:ascii="仿宋_GB2312" w:eastAsia="仿宋_GB2312" w:cs="Times New Roman"/>
          <w:spacing w:val="6"/>
          <w:sz w:val="32"/>
          <w:szCs w:val="32"/>
          <w:highlight w:val="none"/>
          <w:lang w:val="en-US" w:eastAsia="zh-CN"/>
        </w:rPr>
        <w:t>5</w:t>
      </w:r>
      <w:r>
        <w:rPr>
          <w:rFonts w:hint="eastAsia" w:ascii="仿宋_GB2312" w:eastAsia="仿宋_GB2312" w:cs="Times New Roman"/>
          <w:spacing w:val="6"/>
          <w:sz w:val="32"/>
          <w:szCs w:val="32"/>
          <w:highlight w:val="none"/>
        </w:rPr>
        <w:t>年，全县总财力为</w:t>
      </w:r>
      <w:r>
        <w:rPr>
          <w:rFonts w:hint="eastAsia" w:ascii="仿宋_GB2312" w:eastAsia="仿宋_GB2312" w:cs="Times New Roman"/>
          <w:spacing w:val="6"/>
          <w:sz w:val="32"/>
          <w:szCs w:val="32"/>
          <w:highlight w:val="none"/>
          <w:lang w:val="en-US" w:eastAsia="zh-CN"/>
        </w:rPr>
        <w:t>425076</w:t>
      </w:r>
      <w:r>
        <w:rPr>
          <w:rFonts w:hint="eastAsia" w:ascii="仿宋_GB2312" w:eastAsia="仿宋_GB2312" w:cs="Times New Roman"/>
          <w:spacing w:val="6"/>
          <w:sz w:val="32"/>
          <w:szCs w:val="32"/>
          <w:highlight w:val="none"/>
        </w:rPr>
        <w:t>万元，其中：地方一般公共预算收入</w:t>
      </w:r>
      <w:r>
        <w:rPr>
          <w:rFonts w:hint="eastAsia" w:ascii="仿宋_GB2312" w:eastAsia="仿宋_GB2312" w:cs="Times New Roman"/>
          <w:spacing w:val="6"/>
          <w:sz w:val="32"/>
          <w:szCs w:val="32"/>
          <w:highlight w:val="none"/>
          <w:lang w:val="en-US" w:eastAsia="zh-CN"/>
        </w:rPr>
        <w:t>61701</w:t>
      </w:r>
      <w:r>
        <w:rPr>
          <w:rFonts w:hint="eastAsia" w:ascii="仿宋_GB2312" w:eastAsia="仿宋_GB2312" w:cs="Times New Roman"/>
          <w:spacing w:val="6"/>
          <w:sz w:val="32"/>
          <w:szCs w:val="32"/>
          <w:highlight w:val="none"/>
        </w:rPr>
        <w:t>万元，上级补助收入</w:t>
      </w:r>
      <w:r>
        <w:rPr>
          <w:rFonts w:hint="eastAsia" w:ascii="仿宋_GB2312" w:eastAsia="仿宋_GB2312" w:cs="Times New Roman"/>
          <w:spacing w:val="6"/>
          <w:sz w:val="32"/>
          <w:szCs w:val="32"/>
          <w:highlight w:val="none"/>
          <w:lang w:val="en-US" w:eastAsia="zh-CN"/>
        </w:rPr>
        <w:t>124139</w:t>
      </w:r>
      <w:r>
        <w:rPr>
          <w:rFonts w:hint="eastAsia" w:ascii="仿宋_GB2312" w:eastAsia="仿宋_GB2312" w:cs="Times New Roman"/>
          <w:spacing w:val="6"/>
          <w:sz w:val="32"/>
          <w:szCs w:val="32"/>
          <w:highlight w:val="none"/>
        </w:rPr>
        <w:t>万元，上年结转</w:t>
      </w:r>
      <w:r>
        <w:rPr>
          <w:rFonts w:hint="eastAsia" w:ascii="仿宋_GB2312" w:eastAsia="仿宋_GB2312" w:cs="Times New Roman"/>
          <w:spacing w:val="6"/>
          <w:sz w:val="32"/>
          <w:szCs w:val="32"/>
          <w:highlight w:val="none"/>
          <w:lang w:val="en-US" w:eastAsia="zh-CN"/>
        </w:rPr>
        <w:t>41507</w:t>
      </w:r>
      <w:r>
        <w:rPr>
          <w:rFonts w:hint="eastAsia" w:ascii="仿宋_GB2312" w:eastAsia="仿宋_GB2312" w:cs="Times New Roman"/>
          <w:spacing w:val="6"/>
          <w:sz w:val="32"/>
          <w:szCs w:val="32"/>
          <w:highlight w:val="none"/>
        </w:rPr>
        <w:t>万元，各类上级提前预告专项</w:t>
      </w:r>
      <w:r>
        <w:rPr>
          <w:rFonts w:hint="eastAsia" w:ascii="仿宋_GB2312" w:eastAsia="仿宋_GB2312" w:cs="Times New Roman"/>
          <w:spacing w:val="6"/>
          <w:sz w:val="32"/>
          <w:szCs w:val="32"/>
          <w:highlight w:val="none"/>
          <w:lang w:val="en-US" w:eastAsia="zh-CN"/>
        </w:rPr>
        <w:t>79052</w:t>
      </w:r>
      <w:r>
        <w:rPr>
          <w:rFonts w:hint="eastAsia" w:ascii="仿宋_GB2312" w:eastAsia="仿宋_GB2312" w:cs="Times New Roman"/>
          <w:spacing w:val="6"/>
          <w:sz w:val="32"/>
          <w:szCs w:val="32"/>
          <w:highlight w:val="none"/>
        </w:rPr>
        <w:t>万元，</w:t>
      </w:r>
      <w:r>
        <w:rPr>
          <w:rFonts w:hint="eastAsia" w:ascii="仿宋_GB2312" w:eastAsia="仿宋_GB2312" w:cs="Times New Roman"/>
          <w:spacing w:val="6"/>
          <w:sz w:val="32"/>
          <w:szCs w:val="32"/>
          <w:highlight w:val="none"/>
          <w:lang w:eastAsia="zh-CN"/>
        </w:rPr>
        <w:t>动用</w:t>
      </w:r>
      <w:r>
        <w:rPr>
          <w:rFonts w:hint="eastAsia" w:ascii="仿宋_GB2312" w:eastAsia="仿宋_GB2312" w:cs="Times New Roman"/>
          <w:spacing w:val="6"/>
          <w:sz w:val="32"/>
          <w:szCs w:val="32"/>
          <w:highlight w:val="none"/>
        </w:rPr>
        <w:t>预算稳定调节基金</w:t>
      </w:r>
      <w:r>
        <w:rPr>
          <w:rFonts w:hint="eastAsia" w:ascii="仿宋_GB2312" w:eastAsia="仿宋_GB2312" w:cs="Times New Roman"/>
          <w:spacing w:val="6"/>
          <w:sz w:val="32"/>
          <w:szCs w:val="32"/>
          <w:highlight w:val="none"/>
          <w:lang w:val="en-US" w:eastAsia="zh-CN"/>
        </w:rPr>
        <w:t>118677</w:t>
      </w:r>
      <w:r>
        <w:rPr>
          <w:rFonts w:hint="eastAsia" w:ascii="仿宋_GB2312" w:eastAsia="仿宋_GB2312" w:cs="Times New Roman"/>
          <w:spacing w:val="6"/>
          <w:sz w:val="32"/>
          <w:szCs w:val="32"/>
          <w:highlight w:val="none"/>
        </w:rPr>
        <w:t>万元。</w:t>
      </w:r>
    </w:p>
    <w:p w14:paraId="0486F580">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4" w:firstLineChars="200"/>
        <w:jc w:val="both"/>
        <w:rPr>
          <w:rFonts w:ascii="仿宋_GB2312" w:eastAsia="仿宋_GB2312" w:cs="Times New Roman"/>
          <w:spacing w:val="6"/>
          <w:sz w:val="32"/>
          <w:szCs w:val="32"/>
          <w:highlight w:val="none"/>
        </w:rPr>
      </w:pPr>
      <w:r>
        <w:rPr>
          <w:rFonts w:hint="eastAsia" w:ascii="仿宋_GB2312" w:eastAsia="仿宋_GB2312" w:cs="Times New Roman"/>
          <w:spacing w:val="6"/>
          <w:sz w:val="32"/>
          <w:szCs w:val="32"/>
          <w:highlight w:val="none"/>
        </w:rPr>
        <w:t>地方一般公共预算收入为</w:t>
      </w:r>
      <w:r>
        <w:rPr>
          <w:rFonts w:hint="eastAsia" w:ascii="仿宋_GB2312" w:eastAsia="仿宋_GB2312" w:cs="Times New Roman"/>
          <w:spacing w:val="6"/>
          <w:sz w:val="32"/>
          <w:szCs w:val="32"/>
          <w:highlight w:val="none"/>
          <w:lang w:val="en-US" w:eastAsia="zh-CN"/>
        </w:rPr>
        <w:t>61701</w:t>
      </w:r>
      <w:r>
        <w:rPr>
          <w:rFonts w:hint="eastAsia" w:ascii="仿宋_GB2312" w:eastAsia="仿宋_GB2312" w:cs="Times New Roman"/>
          <w:spacing w:val="6"/>
          <w:sz w:val="32"/>
          <w:szCs w:val="32"/>
          <w:highlight w:val="none"/>
        </w:rPr>
        <w:t>万元，较202</w:t>
      </w:r>
      <w:r>
        <w:rPr>
          <w:rFonts w:hint="eastAsia" w:ascii="仿宋_GB2312" w:eastAsia="仿宋_GB2312" w:cs="Times New Roman"/>
          <w:spacing w:val="6"/>
          <w:sz w:val="32"/>
          <w:szCs w:val="32"/>
          <w:highlight w:val="none"/>
          <w:lang w:val="en-US" w:eastAsia="zh-CN"/>
        </w:rPr>
        <w:t>4</w:t>
      </w:r>
      <w:r>
        <w:rPr>
          <w:rFonts w:hint="eastAsia" w:ascii="仿宋_GB2312" w:eastAsia="仿宋_GB2312" w:cs="Times New Roman"/>
          <w:spacing w:val="6"/>
          <w:sz w:val="32"/>
          <w:szCs w:val="32"/>
          <w:highlight w:val="none"/>
        </w:rPr>
        <w:t>年执行数</w:t>
      </w:r>
      <w:r>
        <w:rPr>
          <w:rFonts w:hint="eastAsia" w:ascii="仿宋_GB2312" w:eastAsia="仿宋_GB2312" w:cs="Times New Roman"/>
          <w:spacing w:val="6"/>
          <w:sz w:val="32"/>
          <w:szCs w:val="32"/>
          <w:highlight w:val="none"/>
          <w:lang w:val="en-US" w:eastAsia="zh-CN"/>
        </w:rPr>
        <w:t>93607</w:t>
      </w:r>
      <w:r>
        <w:rPr>
          <w:rFonts w:hint="eastAsia" w:ascii="仿宋_GB2312" w:eastAsia="仿宋_GB2312" w:cs="Times New Roman"/>
          <w:spacing w:val="6"/>
          <w:sz w:val="32"/>
          <w:szCs w:val="32"/>
          <w:highlight w:val="none"/>
        </w:rPr>
        <w:t>万元</w:t>
      </w:r>
      <w:r>
        <w:rPr>
          <w:rFonts w:hint="eastAsia" w:ascii="仿宋_GB2312" w:eastAsia="仿宋_GB2312" w:cs="Times New Roman"/>
          <w:spacing w:val="6"/>
          <w:sz w:val="32"/>
          <w:szCs w:val="32"/>
          <w:highlight w:val="none"/>
          <w:lang w:val="en-US" w:eastAsia="zh-CN"/>
        </w:rPr>
        <w:t>减少34.09</w:t>
      </w:r>
      <w:r>
        <w:rPr>
          <w:rFonts w:hint="eastAsia" w:ascii="仿宋_GB2312" w:eastAsia="仿宋_GB2312" w:cs="Times New Roman"/>
          <w:spacing w:val="6"/>
          <w:sz w:val="32"/>
          <w:szCs w:val="32"/>
          <w:highlight w:val="none"/>
        </w:rPr>
        <w:t>%，按征收部门分为：税务部门</w:t>
      </w:r>
      <w:r>
        <w:rPr>
          <w:rFonts w:hint="eastAsia" w:ascii="仿宋_GB2312" w:eastAsia="仿宋_GB2312" w:cs="Times New Roman"/>
          <w:spacing w:val="6"/>
          <w:sz w:val="32"/>
          <w:szCs w:val="32"/>
          <w:highlight w:val="none"/>
          <w:lang w:val="en-US" w:eastAsia="zh-CN"/>
        </w:rPr>
        <w:t>53293</w:t>
      </w:r>
      <w:r>
        <w:rPr>
          <w:rFonts w:hint="eastAsia" w:ascii="仿宋_GB2312" w:eastAsia="仿宋_GB2312" w:cs="Times New Roman"/>
          <w:spacing w:val="6"/>
          <w:sz w:val="32"/>
          <w:szCs w:val="32"/>
          <w:highlight w:val="none"/>
        </w:rPr>
        <w:t>万元，财政部门</w:t>
      </w:r>
      <w:r>
        <w:rPr>
          <w:rFonts w:hint="eastAsia" w:ascii="仿宋_GB2312" w:eastAsia="仿宋_GB2312" w:cs="Times New Roman"/>
          <w:spacing w:val="6"/>
          <w:sz w:val="32"/>
          <w:szCs w:val="32"/>
          <w:highlight w:val="none"/>
          <w:lang w:val="en-US" w:eastAsia="zh-CN"/>
        </w:rPr>
        <w:t>8408</w:t>
      </w:r>
      <w:r>
        <w:rPr>
          <w:rFonts w:hint="eastAsia" w:ascii="仿宋_GB2312" w:eastAsia="仿宋_GB2312" w:cs="Times New Roman"/>
          <w:spacing w:val="6"/>
          <w:sz w:val="32"/>
          <w:szCs w:val="32"/>
          <w:highlight w:val="none"/>
        </w:rPr>
        <w:t>万元</w:t>
      </w:r>
      <w:r>
        <w:rPr>
          <w:rFonts w:hint="eastAsia" w:ascii="仿宋_GB2312" w:eastAsia="仿宋_GB2312" w:cs="Times New Roman"/>
          <w:spacing w:val="6"/>
          <w:sz w:val="32"/>
          <w:szCs w:val="32"/>
          <w:highlight w:val="none"/>
          <w:lang w:eastAsia="zh-CN"/>
        </w:rPr>
        <w:t>；</w:t>
      </w:r>
      <w:r>
        <w:rPr>
          <w:rFonts w:hint="eastAsia" w:ascii="仿宋_GB2312" w:eastAsia="仿宋_GB2312" w:cs="Times New Roman"/>
          <w:spacing w:val="6"/>
          <w:sz w:val="32"/>
          <w:szCs w:val="32"/>
          <w:highlight w:val="none"/>
        </w:rPr>
        <w:t>按税种分为：税收收入</w:t>
      </w:r>
      <w:r>
        <w:rPr>
          <w:rFonts w:hint="eastAsia" w:ascii="仿宋_GB2312" w:eastAsia="仿宋_GB2312" w:cs="Times New Roman"/>
          <w:spacing w:val="6"/>
          <w:sz w:val="32"/>
          <w:szCs w:val="32"/>
          <w:highlight w:val="none"/>
          <w:lang w:val="en-US" w:eastAsia="zh-CN"/>
        </w:rPr>
        <w:t>48343</w:t>
      </w:r>
      <w:r>
        <w:rPr>
          <w:rFonts w:hint="eastAsia" w:ascii="仿宋_GB2312" w:eastAsia="仿宋_GB2312" w:cs="Times New Roman"/>
          <w:spacing w:val="6"/>
          <w:sz w:val="32"/>
          <w:szCs w:val="32"/>
          <w:highlight w:val="none"/>
        </w:rPr>
        <w:t>万元，非税收入</w:t>
      </w:r>
      <w:r>
        <w:rPr>
          <w:rFonts w:hint="eastAsia" w:ascii="仿宋_GB2312" w:eastAsia="仿宋_GB2312" w:cs="Times New Roman"/>
          <w:spacing w:val="6"/>
          <w:sz w:val="32"/>
          <w:szCs w:val="32"/>
          <w:highlight w:val="none"/>
          <w:lang w:val="en-US" w:eastAsia="zh-CN"/>
        </w:rPr>
        <w:t>13358</w:t>
      </w:r>
      <w:r>
        <w:rPr>
          <w:rFonts w:hint="eastAsia" w:ascii="仿宋_GB2312" w:eastAsia="仿宋_GB2312" w:cs="Times New Roman"/>
          <w:spacing w:val="6"/>
          <w:sz w:val="32"/>
          <w:szCs w:val="32"/>
          <w:highlight w:val="none"/>
        </w:rPr>
        <w:t>万元。</w:t>
      </w:r>
      <w:r>
        <w:rPr>
          <w:rFonts w:hint="eastAsia" w:ascii="仿宋_GB2312" w:eastAsia="仿宋_GB2312" w:cs="Times New Roman"/>
          <w:spacing w:val="6"/>
          <w:sz w:val="32"/>
          <w:szCs w:val="32"/>
          <w:highlight w:val="none"/>
          <w:lang w:val="en-US" w:eastAsia="zh-CN"/>
        </w:rPr>
        <w:t>(详见附件1）</w:t>
      </w:r>
    </w:p>
    <w:p w14:paraId="6B7C6547">
      <w:pPr>
        <w:keepNext w:val="0"/>
        <w:keepLines w:val="0"/>
        <w:pageBreakBefore w:val="0"/>
        <w:kinsoku/>
        <w:wordWrap/>
        <w:overflowPunct/>
        <w:topLinePunct w:val="0"/>
        <w:autoSpaceDE/>
        <w:autoSpaceDN/>
        <w:bidi w:val="0"/>
        <w:adjustRightInd w:val="0"/>
        <w:snapToGrid w:val="0"/>
        <w:spacing w:line="576" w:lineRule="exact"/>
        <w:ind w:firstLine="664" w:firstLineChars="200"/>
        <w:rPr>
          <w:rFonts w:hint="default" w:ascii="仿宋_GB2312" w:eastAsia="仿宋_GB2312" w:cs="Times New Roman"/>
          <w:spacing w:val="6"/>
          <w:kern w:val="0"/>
          <w:sz w:val="32"/>
          <w:szCs w:val="32"/>
          <w:highlight w:val="none"/>
          <w:lang w:val="en-US" w:eastAsia="zh-CN"/>
        </w:rPr>
      </w:pPr>
      <w:r>
        <w:rPr>
          <w:rFonts w:hint="eastAsia" w:ascii="仿宋_GB2312" w:eastAsia="仿宋_GB2312" w:cs="Times New Roman"/>
          <w:spacing w:val="6"/>
          <w:kern w:val="0"/>
          <w:sz w:val="32"/>
          <w:szCs w:val="32"/>
          <w:highlight w:val="none"/>
        </w:rPr>
        <w:t>按照收支平衡的原则，202</w:t>
      </w:r>
      <w:r>
        <w:rPr>
          <w:rFonts w:hint="eastAsia" w:ascii="仿宋_GB2312" w:eastAsia="仿宋_GB2312" w:cs="Times New Roman"/>
          <w:spacing w:val="6"/>
          <w:kern w:val="0"/>
          <w:sz w:val="32"/>
          <w:szCs w:val="32"/>
          <w:highlight w:val="none"/>
          <w:lang w:val="en-US" w:eastAsia="zh-CN"/>
        </w:rPr>
        <w:t>5</w:t>
      </w:r>
      <w:r>
        <w:rPr>
          <w:rFonts w:hint="eastAsia" w:ascii="仿宋_GB2312" w:eastAsia="仿宋_GB2312" w:cs="Times New Roman"/>
          <w:spacing w:val="6"/>
          <w:kern w:val="0"/>
          <w:sz w:val="32"/>
          <w:szCs w:val="32"/>
          <w:highlight w:val="none"/>
        </w:rPr>
        <w:t>年全县一般公共预算总支出为</w:t>
      </w:r>
      <w:r>
        <w:rPr>
          <w:rFonts w:hint="eastAsia" w:ascii="仿宋_GB2312" w:eastAsia="仿宋_GB2312" w:cs="Times New Roman"/>
          <w:spacing w:val="6"/>
          <w:kern w:val="0"/>
          <w:sz w:val="32"/>
          <w:szCs w:val="32"/>
          <w:highlight w:val="none"/>
          <w:lang w:val="en-US" w:eastAsia="zh-CN"/>
        </w:rPr>
        <w:t>425076</w:t>
      </w:r>
      <w:r>
        <w:rPr>
          <w:rFonts w:hint="eastAsia" w:ascii="仿宋_GB2312" w:eastAsia="仿宋_GB2312" w:cs="Times New Roman"/>
          <w:spacing w:val="6"/>
          <w:kern w:val="0"/>
          <w:sz w:val="32"/>
          <w:szCs w:val="32"/>
          <w:highlight w:val="none"/>
        </w:rPr>
        <w:t>万元，其中：</w:t>
      </w:r>
      <w:r>
        <w:rPr>
          <w:rFonts w:hint="eastAsia" w:ascii="仿宋_GB2312" w:eastAsia="仿宋_GB2312" w:cs="Times New Roman"/>
          <w:b/>
          <w:bCs/>
          <w:spacing w:val="6"/>
          <w:kern w:val="0"/>
          <w:sz w:val="32"/>
          <w:szCs w:val="32"/>
          <w:highlight w:val="none"/>
        </w:rPr>
        <w:t>一是</w:t>
      </w:r>
      <w:r>
        <w:rPr>
          <w:rFonts w:hint="eastAsia" w:ascii="仿宋_GB2312" w:eastAsia="仿宋_GB2312" w:cs="Times New Roman"/>
          <w:spacing w:val="6"/>
          <w:kern w:val="0"/>
          <w:sz w:val="32"/>
          <w:szCs w:val="32"/>
          <w:highlight w:val="none"/>
        </w:rPr>
        <w:t>工资福利支出</w:t>
      </w:r>
      <w:r>
        <w:rPr>
          <w:rFonts w:hint="eastAsia" w:ascii="仿宋_GB2312" w:eastAsia="仿宋_GB2312" w:cs="Times New Roman"/>
          <w:spacing w:val="6"/>
          <w:kern w:val="0"/>
          <w:sz w:val="32"/>
          <w:szCs w:val="32"/>
          <w:highlight w:val="none"/>
          <w:lang w:val="en-US" w:eastAsia="zh-CN"/>
        </w:rPr>
        <w:t>75495</w:t>
      </w:r>
      <w:r>
        <w:rPr>
          <w:rFonts w:hint="eastAsia" w:ascii="仿宋_GB2312" w:eastAsia="仿宋_GB2312" w:cs="Times New Roman"/>
          <w:spacing w:val="6"/>
          <w:kern w:val="0"/>
          <w:sz w:val="32"/>
          <w:szCs w:val="32"/>
          <w:highlight w:val="none"/>
        </w:rPr>
        <w:t>万元,</w:t>
      </w:r>
      <w:r>
        <w:rPr>
          <w:rFonts w:hint="eastAsia" w:ascii="仿宋_GB2312" w:eastAsia="仿宋_GB2312" w:cs="Times New Roman"/>
          <w:b/>
          <w:bCs/>
          <w:spacing w:val="6"/>
          <w:kern w:val="0"/>
          <w:sz w:val="32"/>
          <w:szCs w:val="32"/>
          <w:highlight w:val="none"/>
        </w:rPr>
        <w:t>二是</w:t>
      </w:r>
      <w:r>
        <w:rPr>
          <w:rFonts w:hint="eastAsia" w:ascii="仿宋_GB2312" w:eastAsia="仿宋_GB2312" w:cs="Times New Roman"/>
          <w:spacing w:val="6"/>
          <w:kern w:val="0"/>
          <w:sz w:val="32"/>
          <w:szCs w:val="32"/>
          <w:highlight w:val="none"/>
        </w:rPr>
        <w:t>公用经费支出</w:t>
      </w:r>
      <w:r>
        <w:rPr>
          <w:rFonts w:hint="eastAsia" w:ascii="仿宋_GB2312" w:eastAsia="仿宋_GB2312" w:cs="Times New Roman"/>
          <w:spacing w:val="6"/>
          <w:kern w:val="0"/>
          <w:sz w:val="32"/>
          <w:szCs w:val="32"/>
          <w:highlight w:val="none"/>
          <w:lang w:val="en-US" w:eastAsia="zh-CN"/>
        </w:rPr>
        <w:t>3786</w:t>
      </w:r>
      <w:r>
        <w:rPr>
          <w:rFonts w:hint="eastAsia" w:ascii="仿宋_GB2312" w:eastAsia="仿宋_GB2312" w:cs="Times New Roman"/>
          <w:spacing w:val="6"/>
          <w:kern w:val="0"/>
          <w:sz w:val="32"/>
          <w:szCs w:val="32"/>
          <w:highlight w:val="none"/>
        </w:rPr>
        <w:t>万元,</w:t>
      </w:r>
      <w:r>
        <w:rPr>
          <w:rFonts w:hint="eastAsia" w:ascii="仿宋_GB2312" w:eastAsia="仿宋_GB2312" w:cs="Times New Roman"/>
          <w:b/>
          <w:bCs/>
          <w:spacing w:val="6"/>
          <w:kern w:val="0"/>
          <w:sz w:val="32"/>
          <w:szCs w:val="32"/>
          <w:highlight w:val="none"/>
        </w:rPr>
        <w:t>三是</w:t>
      </w:r>
      <w:r>
        <w:rPr>
          <w:rFonts w:hint="eastAsia" w:ascii="仿宋_GB2312" w:eastAsia="仿宋_GB2312" w:cs="Times New Roman"/>
          <w:spacing w:val="6"/>
          <w:kern w:val="0"/>
          <w:sz w:val="32"/>
          <w:szCs w:val="32"/>
          <w:highlight w:val="none"/>
        </w:rPr>
        <w:t>各类县级专项支出</w:t>
      </w:r>
      <w:r>
        <w:rPr>
          <w:rFonts w:hint="eastAsia" w:ascii="仿宋_GB2312" w:eastAsia="仿宋_GB2312" w:cs="Times New Roman"/>
          <w:spacing w:val="6"/>
          <w:kern w:val="0"/>
          <w:sz w:val="32"/>
          <w:szCs w:val="32"/>
          <w:highlight w:val="none"/>
          <w:lang w:val="en-US" w:eastAsia="zh-CN"/>
        </w:rPr>
        <w:t>210580</w:t>
      </w:r>
      <w:r>
        <w:rPr>
          <w:rFonts w:hint="eastAsia" w:ascii="仿宋_GB2312" w:eastAsia="仿宋_GB2312" w:cs="Times New Roman"/>
          <w:spacing w:val="6"/>
          <w:kern w:val="0"/>
          <w:sz w:val="32"/>
          <w:szCs w:val="32"/>
          <w:highlight w:val="none"/>
        </w:rPr>
        <w:t>万元</w:t>
      </w:r>
      <w:r>
        <w:rPr>
          <w:rFonts w:hint="eastAsia" w:ascii="仿宋_GB2312" w:eastAsia="仿宋_GB2312" w:cs="Times New Roman"/>
          <w:b/>
          <w:bCs/>
          <w:spacing w:val="6"/>
          <w:kern w:val="0"/>
          <w:sz w:val="32"/>
          <w:szCs w:val="32"/>
          <w:highlight w:val="none"/>
        </w:rPr>
        <w:t>,四是</w:t>
      </w:r>
      <w:r>
        <w:rPr>
          <w:rFonts w:hint="eastAsia" w:ascii="仿宋_GB2312" w:eastAsia="仿宋_GB2312" w:cs="Times New Roman"/>
          <w:spacing w:val="6"/>
          <w:kern w:val="0"/>
          <w:sz w:val="32"/>
          <w:szCs w:val="32"/>
          <w:highlight w:val="none"/>
        </w:rPr>
        <w:t>各类上级提前预告专项</w:t>
      </w:r>
      <w:r>
        <w:rPr>
          <w:rFonts w:hint="eastAsia" w:ascii="仿宋_GB2312" w:eastAsia="仿宋_GB2312" w:cs="Times New Roman"/>
          <w:spacing w:val="6"/>
          <w:kern w:val="0"/>
          <w:sz w:val="32"/>
          <w:szCs w:val="32"/>
          <w:highlight w:val="none"/>
          <w:lang w:val="en-US" w:eastAsia="zh-CN"/>
        </w:rPr>
        <w:t>79052</w:t>
      </w:r>
      <w:r>
        <w:rPr>
          <w:rFonts w:hint="eastAsia" w:ascii="仿宋_GB2312" w:eastAsia="仿宋_GB2312" w:cs="Times New Roman"/>
          <w:spacing w:val="6"/>
          <w:kern w:val="0"/>
          <w:sz w:val="32"/>
          <w:szCs w:val="32"/>
          <w:highlight w:val="none"/>
        </w:rPr>
        <w:t>万元，</w:t>
      </w:r>
      <w:r>
        <w:rPr>
          <w:rFonts w:hint="eastAsia" w:ascii="仿宋_GB2312" w:eastAsia="仿宋_GB2312" w:cs="Times New Roman"/>
          <w:b/>
          <w:bCs/>
          <w:spacing w:val="6"/>
          <w:kern w:val="0"/>
          <w:sz w:val="32"/>
          <w:szCs w:val="32"/>
          <w:highlight w:val="none"/>
        </w:rPr>
        <w:t>五是</w:t>
      </w:r>
      <w:r>
        <w:rPr>
          <w:rFonts w:hint="eastAsia" w:ascii="仿宋_GB2312" w:eastAsia="仿宋_GB2312" w:cs="Times New Roman"/>
          <w:spacing w:val="6"/>
          <w:kern w:val="0"/>
          <w:sz w:val="32"/>
          <w:szCs w:val="32"/>
          <w:highlight w:val="none"/>
        </w:rPr>
        <w:t>上年结转</w:t>
      </w:r>
      <w:r>
        <w:rPr>
          <w:rFonts w:hint="eastAsia" w:ascii="仿宋_GB2312" w:eastAsia="仿宋_GB2312" w:cs="Times New Roman"/>
          <w:spacing w:val="6"/>
          <w:kern w:val="0"/>
          <w:sz w:val="32"/>
          <w:szCs w:val="32"/>
          <w:highlight w:val="none"/>
          <w:lang w:val="en-US" w:eastAsia="zh-CN"/>
        </w:rPr>
        <w:t>41507</w:t>
      </w:r>
      <w:r>
        <w:rPr>
          <w:rFonts w:hint="eastAsia" w:ascii="仿宋_GB2312" w:eastAsia="仿宋_GB2312" w:cs="Times New Roman"/>
          <w:spacing w:val="6"/>
          <w:kern w:val="0"/>
          <w:sz w:val="32"/>
          <w:szCs w:val="32"/>
          <w:highlight w:val="none"/>
        </w:rPr>
        <w:t>万元,</w:t>
      </w:r>
      <w:r>
        <w:rPr>
          <w:rFonts w:hint="eastAsia" w:ascii="仿宋_GB2312" w:eastAsia="仿宋_GB2312" w:cs="Times New Roman"/>
          <w:b/>
          <w:bCs/>
          <w:spacing w:val="6"/>
          <w:kern w:val="0"/>
          <w:sz w:val="32"/>
          <w:szCs w:val="32"/>
          <w:highlight w:val="none"/>
        </w:rPr>
        <w:t>六是</w:t>
      </w:r>
      <w:r>
        <w:rPr>
          <w:rFonts w:hint="eastAsia" w:ascii="仿宋_GB2312" w:eastAsia="仿宋_GB2312" w:cs="Times New Roman"/>
          <w:spacing w:val="6"/>
          <w:kern w:val="0"/>
          <w:sz w:val="32"/>
          <w:szCs w:val="32"/>
          <w:highlight w:val="none"/>
        </w:rPr>
        <w:t>上解支出</w:t>
      </w:r>
      <w:r>
        <w:rPr>
          <w:rFonts w:hint="eastAsia" w:ascii="仿宋_GB2312" w:eastAsia="仿宋_GB2312" w:cs="Times New Roman"/>
          <w:spacing w:val="6"/>
          <w:kern w:val="0"/>
          <w:sz w:val="32"/>
          <w:szCs w:val="32"/>
          <w:highlight w:val="none"/>
          <w:lang w:val="en-US" w:eastAsia="zh-CN"/>
        </w:rPr>
        <w:t>3082</w:t>
      </w:r>
      <w:r>
        <w:rPr>
          <w:rFonts w:hint="eastAsia" w:ascii="仿宋_GB2312" w:eastAsia="仿宋_GB2312" w:cs="Times New Roman"/>
          <w:spacing w:val="6"/>
          <w:kern w:val="0"/>
          <w:sz w:val="32"/>
          <w:szCs w:val="32"/>
          <w:highlight w:val="none"/>
        </w:rPr>
        <w:t>万元</w:t>
      </w:r>
      <w:r>
        <w:rPr>
          <w:rFonts w:hint="eastAsia" w:ascii="仿宋_GB2312" w:eastAsia="仿宋_GB2312" w:cs="Times New Roman"/>
          <w:spacing w:val="6"/>
          <w:kern w:val="0"/>
          <w:sz w:val="32"/>
          <w:szCs w:val="32"/>
          <w:highlight w:val="none"/>
          <w:lang w:eastAsia="zh-CN"/>
        </w:rPr>
        <w:t>（</w:t>
      </w:r>
      <w:r>
        <w:rPr>
          <w:rFonts w:hint="eastAsia" w:ascii="仿宋_GB2312" w:eastAsia="仿宋_GB2312" w:cs="Times New Roman"/>
          <w:spacing w:val="6"/>
          <w:kern w:val="0"/>
          <w:sz w:val="32"/>
          <w:szCs w:val="32"/>
          <w:highlight w:val="none"/>
          <w:lang w:val="en-US" w:eastAsia="zh-CN"/>
        </w:rPr>
        <w:t>专项上解3082万元</w:t>
      </w:r>
      <w:r>
        <w:rPr>
          <w:rFonts w:hint="eastAsia" w:ascii="仿宋_GB2312" w:eastAsia="仿宋_GB2312" w:cs="Times New Roman"/>
          <w:spacing w:val="6"/>
          <w:kern w:val="0"/>
          <w:sz w:val="32"/>
          <w:szCs w:val="32"/>
          <w:highlight w:val="none"/>
          <w:lang w:eastAsia="zh-CN"/>
        </w:rPr>
        <w:t>）</w:t>
      </w:r>
      <w:r>
        <w:rPr>
          <w:rFonts w:hint="eastAsia" w:ascii="仿宋_GB2312" w:eastAsia="仿宋_GB2312" w:cs="Times New Roman"/>
          <w:spacing w:val="6"/>
          <w:kern w:val="0"/>
          <w:sz w:val="32"/>
          <w:szCs w:val="32"/>
          <w:highlight w:val="none"/>
        </w:rPr>
        <w:t>，</w:t>
      </w:r>
      <w:r>
        <w:rPr>
          <w:rFonts w:hint="eastAsia" w:ascii="仿宋_GB2312" w:eastAsia="仿宋_GB2312" w:cs="Times New Roman"/>
          <w:b/>
          <w:bCs/>
          <w:spacing w:val="6"/>
          <w:kern w:val="0"/>
          <w:sz w:val="32"/>
          <w:szCs w:val="32"/>
          <w:highlight w:val="none"/>
        </w:rPr>
        <w:t>七</w:t>
      </w:r>
      <w:r>
        <w:rPr>
          <w:rFonts w:hint="eastAsia" w:ascii="仿宋_GB2312" w:hAnsi="宋体" w:eastAsia="仿宋_GB2312" w:cs="Times New Roman"/>
          <w:b/>
          <w:bCs/>
          <w:spacing w:val="6"/>
          <w:sz w:val="32"/>
          <w:szCs w:val="32"/>
          <w:highlight w:val="none"/>
        </w:rPr>
        <w:t>是</w:t>
      </w:r>
      <w:r>
        <w:rPr>
          <w:rFonts w:hint="eastAsia" w:ascii="仿宋_GB2312" w:hAnsi="宋体" w:eastAsia="仿宋_GB2312" w:cs="Times New Roman"/>
          <w:bCs/>
          <w:spacing w:val="6"/>
          <w:sz w:val="32"/>
          <w:szCs w:val="32"/>
          <w:highlight w:val="none"/>
        </w:rPr>
        <w:t>预备费4</w:t>
      </w:r>
      <w:r>
        <w:rPr>
          <w:rFonts w:hint="eastAsia" w:ascii="仿宋_GB2312" w:hAnsi="宋体" w:eastAsia="仿宋_GB2312" w:cs="Times New Roman"/>
          <w:bCs/>
          <w:spacing w:val="6"/>
          <w:sz w:val="32"/>
          <w:szCs w:val="32"/>
          <w:highlight w:val="none"/>
          <w:lang w:val="en-US" w:eastAsia="zh-CN"/>
        </w:rPr>
        <w:t>500</w:t>
      </w:r>
      <w:r>
        <w:rPr>
          <w:rFonts w:hint="eastAsia" w:ascii="仿宋_GB2312" w:hAnsi="宋体" w:eastAsia="仿宋_GB2312" w:cs="Times New Roman"/>
          <w:bCs/>
          <w:spacing w:val="6"/>
          <w:sz w:val="32"/>
          <w:szCs w:val="32"/>
          <w:highlight w:val="none"/>
        </w:rPr>
        <w:t>万元</w:t>
      </w:r>
      <w:r>
        <w:rPr>
          <w:rFonts w:hint="eastAsia" w:ascii="仿宋_GB2312" w:hAnsi="宋体" w:eastAsia="仿宋_GB2312" w:cs="Times New Roman"/>
          <w:bCs/>
          <w:spacing w:val="6"/>
          <w:sz w:val="32"/>
          <w:szCs w:val="32"/>
          <w:highlight w:val="none"/>
          <w:lang w:eastAsia="zh-CN"/>
        </w:rPr>
        <w:t>，</w:t>
      </w:r>
      <w:r>
        <w:rPr>
          <w:rFonts w:hint="eastAsia" w:ascii="仿宋_GB2312" w:hAnsi="宋体" w:eastAsia="仿宋_GB2312" w:cs="Times New Roman"/>
          <w:b/>
          <w:bCs w:val="0"/>
          <w:spacing w:val="6"/>
          <w:sz w:val="32"/>
          <w:szCs w:val="32"/>
          <w:highlight w:val="none"/>
          <w:lang w:eastAsia="zh-CN"/>
        </w:rPr>
        <w:t>八是</w:t>
      </w:r>
      <w:r>
        <w:rPr>
          <w:rFonts w:hint="eastAsia" w:ascii="仿宋_GB2312" w:hAnsi="宋体" w:eastAsia="仿宋_GB2312" w:cs="Times New Roman"/>
          <w:bCs/>
          <w:spacing w:val="6"/>
          <w:sz w:val="32"/>
          <w:szCs w:val="32"/>
          <w:highlight w:val="none"/>
          <w:lang w:eastAsia="zh-CN"/>
        </w:rPr>
        <w:t>一般债券债务还本付息支出</w:t>
      </w:r>
      <w:r>
        <w:rPr>
          <w:rFonts w:hint="eastAsia" w:ascii="仿宋_GB2312" w:hAnsi="宋体" w:eastAsia="仿宋_GB2312" w:cs="Times New Roman"/>
          <w:bCs/>
          <w:spacing w:val="6"/>
          <w:sz w:val="32"/>
          <w:szCs w:val="32"/>
          <w:highlight w:val="none"/>
          <w:lang w:val="en-US" w:eastAsia="zh-CN"/>
        </w:rPr>
        <w:t>7074万元。</w:t>
      </w:r>
      <w:r>
        <w:rPr>
          <w:rFonts w:hint="eastAsia" w:ascii="仿宋_GB2312" w:eastAsia="仿宋_GB2312" w:cs="Times New Roman"/>
          <w:spacing w:val="6"/>
          <w:sz w:val="32"/>
          <w:szCs w:val="32"/>
          <w:highlight w:val="none"/>
          <w:lang w:val="en-US" w:eastAsia="zh-CN"/>
        </w:rPr>
        <w:t>(详见附件2）</w:t>
      </w:r>
    </w:p>
    <w:p w14:paraId="014D1351">
      <w:pPr>
        <w:pStyle w:val="6"/>
        <w:keepNext w:val="0"/>
        <w:keepLines w:val="0"/>
        <w:pageBreakBefore w:val="0"/>
        <w:kinsoku/>
        <w:wordWrap/>
        <w:overflowPunct/>
        <w:topLinePunct w:val="0"/>
        <w:autoSpaceDE/>
        <w:autoSpaceDN/>
        <w:bidi w:val="0"/>
        <w:adjustRightInd w:val="0"/>
        <w:snapToGrid w:val="0"/>
        <w:spacing w:after="0" w:line="576" w:lineRule="exact"/>
        <w:ind w:firstLine="667" w:firstLineChars="200"/>
        <w:rPr>
          <w:rFonts w:ascii="楷体_GB2312" w:hAnsi="宋体" w:eastAsia="楷体_GB2312" w:cstheme="minorBidi"/>
          <w:b/>
          <w:spacing w:val="6"/>
          <w:sz w:val="32"/>
          <w:szCs w:val="32"/>
          <w:highlight w:val="none"/>
        </w:rPr>
      </w:pPr>
      <w:r>
        <w:rPr>
          <w:rFonts w:hint="eastAsia" w:ascii="楷体_GB2312" w:hAnsi="宋体" w:eastAsia="楷体_GB2312" w:cstheme="minorBidi"/>
          <w:b/>
          <w:spacing w:val="6"/>
          <w:sz w:val="32"/>
          <w:szCs w:val="32"/>
          <w:highlight w:val="none"/>
        </w:rPr>
        <w:t>（</w:t>
      </w:r>
      <w:r>
        <w:rPr>
          <w:rFonts w:hint="eastAsia" w:ascii="楷体_GB2312" w:hAnsi="宋体" w:eastAsia="楷体_GB2312" w:cstheme="minorBidi"/>
          <w:b/>
          <w:spacing w:val="6"/>
          <w:sz w:val="32"/>
          <w:szCs w:val="32"/>
          <w:highlight w:val="none"/>
          <w:lang w:eastAsia="zh-CN"/>
        </w:rPr>
        <w:t>二</w:t>
      </w:r>
      <w:r>
        <w:rPr>
          <w:rFonts w:hint="eastAsia" w:ascii="楷体_GB2312" w:hAnsi="宋体" w:eastAsia="楷体_GB2312" w:cstheme="minorBidi"/>
          <w:b/>
          <w:spacing w:val="6"/>
          <w:sz w:val="32"/>
          <w:szCs w:val="32"/>
          <w:highlight w:val="none"/>
        </w:rPr>
        <w:t>）政府性基金预算安排情况</w:t>
      </w:r>
    </w:p>
    <w:p w14:paraId="5C17154C">
      <w:pPr>
        <w:pStyle w:val="6"/>
        <w:keepNext w:val="0"/>
        <w:keepLines w:val="0"/>
        <w:pageBreakBefore w:val="0"/>
        <w:kinsoku/>
        <w:wordWrap/>
        <w:overflowPunct/>
        <w:topLinePunct w:val="0"/>
        <w:autoSpaceDE/>
        <w:autoSpaceDN/>
        <w:bidi w:val="0"/>
        <w:adjustRightInd w:val="0"/>
        <w:snapToGrid w:val="0"/>
        <w:spacing w:after="0" w:line="576" w:lineRule="exact"/>
        <w:ind w:firstLine="664" w:firstLineChars="200"/>
        <w:rPr>
          <w:rFonts w:ascii="仿宋_GB2312" w:hAnsi="宋体" w:eastAsia="仿宋_GB2312" w:cs="Times New Roman"/>
          <w:bCs/>
          <w:spacing w:val="6"/>
          <w:w w:val="95"/>
          <w:sz w:val="32"/>
          <w:szCs w:val="32"/>
          <w:highlight w:val="none"/>
        </w:rPr>
      </w:pPr>
      <w:r>
        <w:rPr>
          <w:rFonts w:hint="eastAsia" w:ascii="仿宋_GB2312" w:eastAsia="仿宋_GB2312" w:cs="Times New Roman"/>
          <w:spacing w:val="6"/>
          <w:kern w:val="0"/>
          <w:sz w:val="32"/>
          <w:szCs w:val="32"/>
          <w:highlight w:val="none"/>
        </w:rPr>
        <w:t>全县政府性基金总收入</w:t>
      </w:r>
      <w:r>
        <w:rPr>
          <w:rFonts w:hint="eastAsia" w:ascii="仿宋_GB2312" w:eastAsia="仿宋_GB2312" w:cs="Times New Roman"/>
          <w:spacing w:val="6"/>
          <w:kern w:val="0"/>
          <w:sz w:val="32"/>
          <w:szCs w:val="32"/>
          <w:highlight w:val="none"/>
          <w:lang w:val="en-US" w:eastAsia="zh-CN"/>
        </w:rPr>
        <w:t>48722</w:t>
      </w:r>
      <w:r>
        <w:rPr>
          <w:rFonts w:hint="eastAsia" w:ascii="仿宋_GB2312" w:eastAsia="仿宋_GB2312" w:cs="Times New Roman"/>
          <w:spacing w:val="6"/>
          <w:kern w:val="0"/>
          <w:sz w:val="32"/>
          <w:szCs w:val="32"/>
          <w:highlight w:val="none"/>
        </w:rPr>
        <w:t>万元，其中：当年地方政府性基金收入</w:t>
      </w:r>
      <w:r>
        <w:rPr>
          <w:rFonts w:hint="eastAsia" w:ascii="仿宋_GB2312" w:eastAsia="仿宋_GB2312" w:cs="Times New Roman"/>
          <w:spacing w:val="6"/>
          <w:kern w:val="0"/>
          <w:sz w:val="32"/>
          <w:szCs w:val="32"/>
          <w:highlight w:val="none"/>
          <w:lang w:val="en-US" w:eastAsia="zh-CN"/>
        </w:rPr>
        <w:t>23898</w:t>
      </w:r>
      <w:r>
        <w:rPr>
          <w:rFonts w:hint="eastAsia" w:ascii="仿宋_GB2312" w:eastAsia="仿宋_GB2312" w:cs="Times New Roman"/>
          <w:spacing w:val="6"/>
          <w:kern w:val="0"/>
          <w:sz w:val="32"/>
          <w:szCs w:val="32"/>
          <w:highlight w:val="none"/>
        </w:rPr>
        <w:t>万元，上级提前预告基金专项</w:t>
      </w:r>
      <w:r>
        <w:rPr>
          <w:rFonts w:hint="eastAsia" w:ascii="仿宋_GB2312" w:eastAsia="仿宋_GB2312" w:cs="Times New Roman"/>
          <w:spacing w:val="6"/>
          <w:kern w:val="0"/>
          <w:sz w:val="32"/>
          <w:szCs w:val="32"/>
          <w:highlight w:val="none"/>
          <w:lang w:val="en-US" w:eastAsia="zh-CN"/>
        </w:rPr>
        <w:t>3082</w:t>
      </w:r>
      <w:r>
        <w:rPr>
          <w:rFonts w:hint="eastAsia" w:ascii="仿宋_GB2312" w:eastAsia="仿宋_GB2312" w:cs="Times New Roman"/>
          <w:spacing w:val="6"/>
          <w:kern w:val="0"/>
          <w:sz w:val="32"/>
          <w:szCs w:val="32"/>
          <w:highlight w:val="none"/>
        </w:rPr>
        <w:t>万元，上年结转</w:t>
      </w:r>
      <w:r>
        <w:rPr>
          <w:rFonts w:hint="eastAsia" w:ascii="仿宋_GB2312" w:eastAsia="仿宋_GB2312" w:cs="Times New Roman"/>
          <w:spacing w:val="6"/>
          <w:kern w:val="0"/>
          <w:sz w:val="32"/>
          <w:szCs w:val="32"/>
          <w:highlight w:val="none"/>
          <w:lang w:val="en-US" w:eastAsia="zh-CN"/>
        </w:rPr>
        <w:t>21742</w:t>
      </w:r>
      <w:r>
        <w:rPr>
          <w:rFonts w:hint="eastAsia" w:ascii="仿宋_GB2312" w:eastAsia="仿宋_GB2312" w:cs="Times New Roman"/>
          <w:spacing w:val="6"/>
          <w:kern w:val="0"/>
          <w:sz w:val="32"/>
          <w:szCs w:val="32"/>
          <w:highlight w:val="none"/>
        </w:rPr>
        <w:t>万元。</w:t>
      </w:r>
      <w:r>
        <w:rPr>
          <w:rFonts w:hint="eastAsia" w:ascii="仿宋_GB2312" w:hAnsi="宋体" w:eastAsia="仿宋_GB2312" w:cs="Times New Roman"/>
          <w:bCs/>
          <w:spacing w:val="4"/>
          <w:sz w:val="32"/>
          <w:szCs w:val="32"/>
          <w:highlight w:val="none"/>
        </w:rPr>
        <w:t>政府性基金预算</w:t>
      </w:r>
      <w:r>
        <w:rPr>
          <w:rFonts w:hint="eastAsia" w:ascii="仿宋_GB2312" w:hAnsi="宋体" w:eastAsia="仿宋_GB2312" w:cs="Times New Roman"/>
          <w:bCs/>
          <w:spacing w:val="6"/>
          <w:w w:val="95"/>
          <w:sz w:val="32"/>
          <w:szCs w:val="32"/>
          <w:highlight w:val="none"/>
        </w:rPr>
        <w:t>支出</w:t>
      </w:r>
      <w:r>
        <w:rPr>
          <w:rFonts w:hint="eastAsia" w:ascii="仿宋_GB2312" w:hAnsi="宋体" w:eastAsia="仿宋_GB2312" w:cs="Times New Roman"/>
          <w:bCs/>
          <w:spacing w:val="6"/>
          <w:w w:val="95"/>
          <w:sz w:val="32"/>
          <w:szCs w:val="32"/>
          <w:highlight w:val="none"/>
          <w:lang w:val="en-US" w:eastAsia="zh-CN"/>
        </w:rPr>
        <w:t>48722</w:t>
      </w:r>
      <w:r>
        <w:rPr>
          <w:rFonts w:hint="eastAsia" w:ascii="仿宋_GB2312" w:hAnsi="宋体" w:eastAsia="仿宋_GB2312" w:cs="Times New Roman"/>
          <w:bCs/>
          <w:spacing w:val="6"/>
          <w:w w:val="95"/>
          <w:sz w:val="32"/>
          <w:szCs w:val="32"/>
          <w:highlight w:val="none"/>
        </w:rPr>
        <w:t>万元</w:t>
      </w:r>
      <w:r>
        <w:rPr>
          <w:rFonts w:hint="eastAsia" w:ascii="仿宋_GB2312" w:hAnsi="宋体" w:eastAsia="仿宋_GB2312" w:cs="Times New Roman"/>
          <w:bCs/>
          <w:spacing w:val="6"/>
          <w:w w:val="95"/>
          <w:sz w:val="32"/>
          <w:szCs w:val="32"/>
          <w:highlight w:val="none"/>
          <w:lang w:eastAsia="zh-CN"/>
        </w:rPr>
        <w:t>。</w:t>
      </w:r>
      <w:r>
        <w:rPr>
          <w:rFonts w:hint="eastAsia" w:ascii="仿宋_GB2312" w:eastAsia="仿宋_GB2312" w:cs="Times New Roman"/>
          <w:spacing w:val="6"/>
          <w:sz w:val="32"/>
          <w:szCs w:val="32"/>
          <w:highlight w:val="none"/>
          <w:lang w:val="en-US" w:eastAsia="zh-CN"/>
        </w:rPr>
        <w:t>(详见附件3）</w:t>
      </w:r>
    </w:p>
    <w:p w14:paraId="3356876F">
      <w:pPr>
        <w:pStyle w:val="6"/>
        <w:keepNext w:val="0"/>
        <w:keepLines w:val="0"/>
        <w:pageBreakBefore w:val="0"/>
        <w:kinsoku/>
        <w:wordWrap/>
        <w:overflowPunct/>
        <w:topLinePunct w:val="0"/>
        <w:autoSpaceDE/>
        <w:autoSpaceDN/>
        <w:bidi w:val="0"/>
        <w:adjustRightInd w:val="0"/>
        <w:snapToGrid w:val="0"/>
        <w:spacing w:after="0" w:line="576" w:lineRule="exact"/>
        <w:ind w:firstLine="667" w:firstLineChars="200"/>
        <w:rPr>
          <w:rFonts w:ascii="楷体_GB2312" w:hAnsi="宋体" w:eastAsia="楷体_GB2312" w:cstheme="minorBidi"/>
          <w:b/>
          <w:spacing w:val="6"/>
          <w:sz w:val="32"/>
          <w:szCs w:val="32"/>
          <w:highlight w:val="none"/>
        </w:rPr>
      </w:pPr>
      <w:r>
        <w:rPr>
          <w:rFonts w:hint="eastAsia" w:ascii="楷体_GB2312" w:hAnsi="宋体" w:eastAsia="楷体_GB2312" w:cstheme="minorBidi"/>
          <w:b/>
          <w:spacing w:val="6"/>
          <w:sz w:val="32"/>
          <w:szCs w:val="32"/>
          <w:highlight w:val="none"/>
        </w:rPr>
        <w:t>（</w:t>
      </w:r>
      <w:r>
        <w:rPr>
          <w:rFonts w:hint="eastAsia" w:ascii="楷体_GB2312" w:hAnsi="宋体" w:eastAsia="楷体_GB2312" w:cstheme="minorBidi"/>
          <w:b/>
          <w:spacing w:val="6"/>
          <w:sz w:val="32"/>
          <w:szCs w:val="32"/>
          <w:highlight w:val="none"/>
          <w:lang w:eastAsia="zh-CN"/>
        </w:rPr>
        <w:t>三</w:t>
      </w:r>
      <w:r>
        <w:rPr>
          <w:rFonts w:hint="eastAsia" w:ascii="楷体_GB2312" w:hAnsi="宋体" w:eastAsia="楷体_GB2312" w:cstheme="minorBidi"/>
          <w:b/>
          <w:spacing w:val="6"/>
          <w:sz w:val="32"/>
          <w:szCs w:val="32"/>
          <w:highlight w:val="none"/>
        </w:rPr>
        <w:t>）国有资本经营预算安排情况</w:t>
      </w:r>
    </w:p>
    <w:p w14:paraId="39FAFBD0">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全县国有资本经营预算收入</w:t>
      </w:r>
      <w:r>
        <w:rPr>
          <w:rFonts w:hint="eastAsia" w:ascii="仿宋_GB2312" w:hAnsi="宋体" w:eastAsia="仿宋_GB2312"/>
          <w:sz w:val="32"/>
          <w:szCs w:val="32"/>
          <w:highlight w:val="none"/>
          <w:lang w:val="en-US" w:eastAsia="zh-CN"/>
        </w:rPr>
        <w:t>20</w:t>
      </w:r>
      <w:r>
        <w:rPr>
          <w:rFonts w:hint="eastAsia" w:ascii="仿宋_GB2312" w:hAnsi="宋体" w:eastAsia="仿宋_GB2312"/>
          <w:sz w:val="32"/>
          <w:szCs w:val="32"/>
          <w:highlight w:val="none"/>
        </w:rPr>
        <w:t>万元，国有资本经营预算支出</w:t>
      </w:r>
      <w:r>
        <w:rPr>
          <w:rFonts w:hint="eastAsia" w:ascii="仿宋_GB2312" w:hAnsi="宋体" w:eastAsia="仿宋_GB2312"/>
          <w:sz w:val="32"/>
          <w:szCs w:val="32"/>
          <w:highlight w:val="none"/>
          <w:lang w:val="en-US" w:eastAsia="zh-CN"/>
        </w:rPr>
        <w:t>20</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eastAsia="zh-CN"/>
        </w:rPr>
        <w:t>。</w:t>
      </w:r>
      <w:r>
        <w:rPr>
          <w:rFonts w:hint="eastAsia" w:ascii="仿宋_GB2312" w:eastAsia="仿宋_GB2312" w:cs="Times New Roman"/>
          <w:spacing w:val="6"/>
          <w:sz w:val="32"/>
          <w:szCs w:val="32"/>
          <w:highlight w:val="none"/>
          <w:lang w:val="en-US" w:eastAsia="zh-CN"/>
        </w:rPr>
        <w:t>(详见附件4）</w:t>
      </w:r>
    </w:p>
    <w:p w14:paraId="4B6FD998">
      <w:pPr>
        <w:pStyle w:val="6"/>
        <w:keepNext w:val="0"/>
        <w:keepLines w:val="0"/>
        <w:pageBreakBefore w:val="0"/>
        <w:kinsoku/>
        <w:wordWrap/>
        <w:overflowPunct/>
        <w:topLinePunct w:val="0"/>
        <w:autoSpaceDE/>
        <w:autoSpaceDN/>
        <w:bidi w:val="0"/>
        <w:adjustRightInd w:val="0"/>
        <w:snapToGrid w:val="0"/>
        <w:spacing w:after="0" w:line="576" w:lineRule="exact"/>
        <w:ind w:firstLine="667" w:firstLineChars="200"/>
        <w:rPr>
          <w:rFonts w:ascii="楷体_GB2312" w:hAnsi="宋体" w:eastAsia="楷体_GB2312" w:cstheme="minorBidi"/>
          <w:b/>
          <w:spacing w:val="6"/>
          <w:sz w:val="32"/>
          <w:szCs w:val="32"/>
          <w:highlight w:val="none"/>
        </w:rPr>
      </w:pPr>
      <w:r>
        <w:rPr>
          <w:rFonts w:hint="eastAsia" w:ascii="楷体_GB2312" w:hAnsi="宋体" w:eastAsia="楷体_GB2312" w:cstheme="minorBidi"/>
          <w:b/>
          <w:spacing w:val="6"/>
          <w:sz w:val="32"/>
          <w:szCs w:val="32"/>
          <w:highlight w:val="none"/>
        </w:rPr>
        <w:t>（</w:t>
      </w:r>
      <w:r>
        <w:rPr>
          <w:rFonts w:hint="eastAsia" w:ascii="楷体_GB2312" w:hAnsi="宋体" w:eastAsia="楷体_GB2312" w:cstheme="minorBidi"/>
          <w:b/>
          <w:spacing w:val="6"/>
          <w:sz w:val="32"/>
          <w:szCs w:val="32"/>
          <w:highlight w:val="none"/>
          <w:lang w:eastAsia="zh-CN"/>
        </w:rPr>
        <w:t>四</w:t>
      </w:r>
      <w:r>
        <w:rPr>
          <w:rFonts w:hint="eastAsia" w:ascii="楷体_GB2312" w:hAnsi="宋体" w:eastAsia="楷体_GB2312" w:cstheme="minorBidi"/>
          <w:b/>
          <w:spacing w:val="6"/>
          <w:sz w:val="32"/>
          <w:szCs w:val="32"/>
          <w:highlight w:val="none"/>
        </w:rPr>
        <w:t>）社会保险基金收支预算安排情况</w:t>
      </w:r>
    </w:p>
    <w:p w14:paraId="558D54E3">
      <w:pPr>
        <w:keepNext w:val="0"/>
        <w:keepLines w:val="0"/>
        <w:pageBreakBefore w:val="0"/>
        <w:kinsoku/>
        <w:wordWrap/>
        <w:overflowPunct/>
        <w:topLinePunct w:val="0"/>
        <w:autoSpaceDE/>
        <w:autoSpaceDN/>
        <w:bidi w:val="0"/>
        <w:adjustRightInd w:val="0"/>
        <w:snapToGrid w:val="0"/>
        <w:spacing w:line="576" w:lineRule="exact"/>
        <w:ind w:firstLine="664" w:firstLineChars="200"/>
        <w:rPr>
          <w:rFonts w:ascii="仿宋_GB2312" w:hAnsi="宋体" w:eastAsia="仿宋_GB2312" w:cs="宋体"/>
          <w:bCs/>
          <w:spacing w:val="6"/>
          <w:kern w:val="0"/>
          <w:sz w:val="32"/>
          <w:szCs w:val="32"/>
          <w:highlight w:val="none"/>
        </w:rPr>
      </w:pPr>
      <w:r>
        <w:rPr>
          <w:rFonts w:hint="eastAsia" w:ascii="仿宋_GB2312" w:hAnsi="宋体" w:eastAsia="仿宋_GB2312" w:cs="宋体"/>
          <w:bCs/>
          <w:spacing w:val="6"/>
          <w:kern w:val="0"/>
          <w:sz w:val="32"/>
          <w:szCs w:val="32"/>
          <w:highlight w:val="none"/>
        </w:rPr>
        <w:t>社会保险基金预算收入</w:t>
      </w:r>
      <w:r>
        <w:rPr>
          <w:rFonts w:hint="eastAsia" w:ascii="仿宋_GB2312" w:hAnsi="宋体" w:eastAsia="仿宋_GB2312" w:cs="宋体"/>
          <w:bCs/>
          <w:spacing w:val="6"/>
          <w:kern w:val="0"/>
          <w:sz w:val="32"/>
          <w:szCs w:val="32"/>
          <w:highlight w:val="none"/>
          <w:lang w:val="en-US" w:eastAsia="zh-CN"/>
        </w:rPr>
        <w:t>5127</w:t>
      </w:r>
      <w:r>
        <w:rPr>
          <w:rFonts w:hint="eastAsia" w:ascii="仿宋_GB2312" w:hAnsi="宋体" w:eastAsia="仿宋_GB2312" w:cs="宋体"/>
          <w:bCs/>
          <w:spacing w:val="6"/>
          <w:kern w:val="0"/>
          <w:sz w:val="32"/>
          <w:szCs w:val="32"/>
          <w:highlight w:val="none"/>
        </w:rPr>
        <w:t>万元，其中:城乡居民基本养老保险基金收入</w:t>
      </w:r>
      <w:r>
        <w:rPr>
          <w:rFonts w:hint="eastAsia" w:ascii="仿宋_GB2312" w:hAnsi="宋体" w:eastAsia="仿宋_GB2312" w:cs="宋体"/>
          <w:bCs/>
          <w:spacing w:val="6"/>
          <w:kern w:val="0"/>
          <w:sz w:val="32"/>
          <w:szCs w:val="32"/>
          <w:highlight w:val="none"/>
          <w:lang w:val="en-US" w:eastAsia="zh-CN"/>
        </w:rPr>
        <w:t>5127</w:t>
      </w:r>
      <w:r>
        <w:rPr>
          <w:rFonts w:hint="eastAsia" w:ascii="仿宋_GB2312" w:hAnsi="宋体" w:eastAsia="仿宋_GB2312" w:cs="宋体"/>
          <w:bCs/>
          <w:spacing w:val="6"/>
          <w:kern w:val="0"/>
          <w:sz w:val="32"/>
          <w:szCs w:val="32"/>
          <w:highlight w:val="none"/>
        </w:rPr>
        <w:t>万元；上年结余收入</w:t>
      </w:r>
      <w:r>
        <w:rPr>
          <w:rFonts w:hint="eastAsia" w:ascii="仿宋_GB2312" w:hAnsi="宋体" w:eastAsia="仿宋_GB2312" w:cs="宋体"/>
          <w:bCs/>
          <w:spacing w:val="6"/>
          <w:kern w:val="0"/>
          <w:sz w:val="32"/>
          <w:szCs w:val="32"/>
          <w:highlight w:val="none"/>
          <w:lang w:val="en-US" w:eastAsia="zh-CN"/>
        </w:rPr>
        <w:t>17620</w:t>
      </w:r>
      <w:r>
        <w:rPr>
          <w:rFonts w:hint="eastAsia" w:ascii="仿宋_GB2312" w:hAnsi="宋体" w:eastAsia="仿宋_GB2312" w:cs="宋体"/>
          <w:bCs/>
          <w:spacing w:val="6"/>
          <w:kern w:val="0"/>
          <w:sz w:val="32"/>
          <w:szCs w:val="32"/>
          <w:highlight w:val="none"/>
        </w:rPr>
        <w:t>万元。</w:t>
      </w:r>
    </w:p>
    <w:p w14:paraId="45115A5B">
      <w:pPr>
        <w:keepNext w:val="0"/>
        <w:keepLines w:val="0"/>
        <w:pageBreakBefore w:val="0"/>
        <w:kinsoku/>
        <w:wordWrap/>
        <w:overflowPunct/>
        <w:topLinePunct w:val="0"/>
        <w:autoSpaceDE/>
        <w:autoSpaceDN/>
        <w:bidi w:val="0"/>
        <w:adjustRightInd w:val="0"/>
        <w:snapToGrid w:val="0"/>
        <w:spacing w:line="576" w:lineRule="exact"/>
        <w:ind w:firstLine="664" w:firstLineChars="200"/>
        <w:rPr>
          <w:rFonts w:hint="eastAsia" w:ascii="仿宋_GB2312" w:hAnsi="宋体" w:eastAsia="仿宋_GB2312" w:cs="宋体"/>
          <w:bCs/>
          <w:spacing w:val="6"/>
          <w:kern w:val="0"/>
          <w:sz w:val="32"/>
          <w:szCs w:val="32"/>
          <w:highlight w:val="none"/>
        </w:rPr>
      </w:pPr>
      <w:r>
        <w:rPr>
          <w:rFonts w:hint="eastAsia" w:ascii="仿宋_GB2312" w:hAnsi="宋体" w:eastAsia="仿宋_GB2312" w:cs="宋体"/>
          <w:bCs/>
          <w:spacing w:val="6"/>
          <w:kern w:val="0"/>
          <w:sz w:val="32"/>
          <w:szCs w:val="32"/>
          <w:highlight w:val="none"/>
        </w:rPr>
        <w:t>社会保险基金支出预算</w:t>
      </w:r>
      <w:r>
        <w:rPr>
          <w:rFonts w:hint="eastAsia" w:ascii="仿宋_GB2312" w:hAnsi="宋体" w:eastAsia="仿宋_GB2312" w:cs="宋体"/>
          <w:bCs/>
          <w:spacing w:val="6"/>
          <w:kern w:val="0"/>
          <w:sz w:val="32"/>
          <w:szCs w:val="32"/>
          <w:highlight w:val="none"/>
          <w:lang w:val="en-US" w:eastAsia="zh-CN"/>
        </w:rPr>
        <w:t>3758</w:t>
      </w:r>
      <w:r>
        <w:rPr>
          <w:rFonts w:hint="eastAsia" w:ascii="仿宋_GB2312" w:hAnsi="宋体" w:eastAsia="仿宋_GB2312" w:cs="宋体"/>
          <w:bCs/>
          <w:spacing w:val="6"/>
          <w:kern w:val="0"/>
          <w:sz w:val="32"/>
          <w:szCs w:val="32"/>
          <w:highlight w:val="none"/>
        </w:rPr>
        <w:t>万元，其中:城乡居民基本养老保险基金支出</w:t>
      </w:r>
      <w:r>
        <w:rPr>
          <w:rFonts w:hint="eastAsia" w:ascii="仿宋_GB2312" w:hAnsi="宋体" w:eastAsia="仿宋_GB2312" w:cs="宋体"/>
          <w:bCs/>
          <w:spacing w:val="6"/>
          <w:kern w:val="0"/>
          <w:sz w:val="32"/>
          <w:szCs w:val="32"/>
          <w:highlight w:val="none"/>
          <w:lang w:val="en-US" w:eastAsia="zh-CN"/>
        </w:rPr>
        <w:t>3758</w:t>
      </w:r>
      <w:r>
        <w:rPr>
          <w:rFonts w:hint="eastAsia" w:ascii="仿宋_GB2312" w:hAnsi="宋体" w:eastAsia="仿宋_GB2312" w:cs="宋体"/>
          <w:bCs/>
          <w:spacing w:val="6"/>
          <w:kern w:val="0"/>
          <w:sz w:val="32"/>
          <w:szCs w:val="32"/>
          <w:highlight w:val="none"/>
        </w:rPr>
        <w:t>万元;本年收支结余</w:t>
      </w:r>
      <w:r>
        <w:rPr>
          <w:rFonts w:hint="eastAsia" w:ascii="仿宋_GB2312" w:hAnsi="宋体" w:eastAsia="仿宋_GB2312" w:cs="宋体"/>
          <w:bCs/>
          <w:spacing w:val="6"/>
          <w:kern w:val="0"/>
          <w:sz w:val="32"/>
          <w:szCs w:val="32"/>
          <w:highlight w:val="none"/>
          <w:lang w:val="en-US" w:eastAsia="zh-CN"/>
        </w:rPr>
        <w:t>1369</w:t>
      </w:r>
      <w:r>
        <w:rPr>
          <w:rFonts w:hint="eastAsia" w:ascii="仿宋_GB2312" w:hAnsi="宋体" w:eastAsia="仿宋_GB2312" w:cs="宋体"/>
          <w:bCs/>
          <w:spacing w:val="6"/>
          <w:kern w:val="0"/>
          <w:sz w:val="32"/>
          <w:szCs w:val="32"/>
          <w:highlight w:val="none"/>
        </w:rPr>
        <w:t>万元，年末滚存结余</w:t>
      </w:r>
      <w:r>
        <w:rPr>
          <w:rFonts w:hint="eastAsia" w:ascii="仿宋_GB2312" w:hAnsi="宋体" w:eastAsia="仿宋_GB2312" w:cs="宋体"/>
          <w:bCs/>
          <w:spacing w:val="6"/>
          <w:kern w:val="0"/>
          <w:sz w:val="32"/>
          <w:szCs w:val="32"/>
          <w:highlight w:val="none"/>
          <w:lang w:val="en-US" w:eastAsia="zh-CN"/>
        </w:rPr>
        <w:t>18989</w:t>
      </w:r>
      <w:r>
        <w:rPr>
          <w:rFonts w:hint="eastAsia" w:ascii="仿宋_GB2312" w:hAnsi="宋体" w:eastAsia="仿宋_GB2312" w:cs="宋体"/>
          <w:bCs/>
          <w:spacing w:val="6"/>
          <w:kern w:val="0"/>
          <w:sz w:val="32"/>
          <w:szCs w:val="32"/>
          <w:highlight w:val="none"/>
        </w:rPr>
        <w:t>万元。</w:t>
      </w:r>
      <w:r>
        <w:rPr>
          <w:rFonts w:hint="eastAsia" w:ascii="仿宋_GB2312" w:eastAsia="仿宋_GB2312" w:cs="Times New Roman"/>
          <w:spacing w:val="6"/>
          <w:sz w:val="32"/>
          <w:szCs w:val="32"/>
          <w:highlight w:val="none"/>
          <w:lang w:val="en-US" w:eastAsia="zh-CN"/>
        </w:rPr>
        <w:t>(详见附件5）</w:t>
      </w:r>
    </w:p>
    <w:p w14:paraId="29131A40">
      <w:pPr>
        <w:keepNext w:val="0"/>
        <w:keepLines w:val="0"/>
        <w:pageBreakBefore w:val="0"/>
        <w:kinsoku/>
        <w:wordWrap/>
        <w:overflowPunct/>
        <w:topLinePunct w:val="0"/>
        <w:autoSpaceDE/>
        <w:autoSpaceDN/>
        <w:bidi w:val="0"/>
        <w:adjustRightInd w:val="0"/>
        <w:snapToGrid w:val="0"/>
        <w:spacing w:line="576" w:lineRule="exact"/>
        <w:ind w:firstLine="664" w:firstLineChars="20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四、</w:t>
      </w:r>
      <w:r>
        <w:rPr>
          <w:rFonts w:hint="eastAsia" w:ascii="黑体" w:hAnsi="黑体" w:eastAsia="黑体" w:cs="黑体"/>
          <w:spacing w:val="6"/>
          <w:sz w:val="32"/>
          <w:szCs w:val="32"/>
          <w:lang w:eastAsia="zh-CN"/>
        </w:rPr>
        <w:t>扎实做好</w:t>
      </w:r>
      <w:r>
        <w:rPr>
          <w:rFonts w:hint="eastAsia" w:ascii="黑体" w:hAnsi="黑体" w:eastAsia="黑体" w:cs="黑体"/>
          <w:spacing w:val="6"/>
          <w:sz w:val="32"/>
          <w:szCs w:val="32"/>
          <w:lang w:val="en-US" w:eastAsia="zh-CN"/>
        </w:rPr>
        <w:t>2025年财政工作</w:t>
      </w:r>
    </w:p>
    <w:p w14:paraId="33C4D44A">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 年是“十四五”规划的收官之年，也是推进现代化新共和建设的重要一年。我们将认真落实更加积极的财政政策，全力以赴完成全年各项目标任务，重点抓好以下工作。</w:t>
      </w:r>
    </w:p>
    <w:p w14:paraId="4EE90481">
      <w:pPr>
        <w:pStyle w:val="12"/>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着力加强财政收支管理。</w:t>
      </w:r>
      <w:r>
        <w:rPr>
          <w:rFonts w:hint="eastAsia" w:ascii="仿宋_GB2312" w:hAnsi="仿宋_GB2312" w:eastAsia="仿宋_GB2312" w:cs="仿宋_GB2312"/>
          <w:sz w:val="32"/>
          <w:szCs w:val="32"/>
        </w:rPr>
        <w:t>发挥财政职能作用，聚力培植财源，加强各类资金、资产和资源的统筹力度，提高财政保障能力。</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加强与税务等征管部门协同联动，依法依规组织财政收入，深挖税收潜力，促进财政收入稳定增长。同时抓好政府性基金收入征管，提升保障能力。</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坚持把争取财力性转移支付补助资金作为首要任务，加大向上沟通衔接，最大限度争取各类财力性补助资金，紧盯国家政策方向和资金投向，配合部门争取更多项目资金，提高县级财力保障水平。</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加大国有资产清理盘活力度，深挖资源资产潜力，将盘活收入纳入预算管理，切实提高县级综合财力。</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抓住更加积极的财政政策机遇，组合使用好中央预算内投资、超长期特别国债、专项债券等多种政策工具，助力县域经济发展。</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落细落实结构性减税降费各项政策，运用好直达资金惠企利民的利好政策，为企业纾困解难，助力企业发展。</w:t>
      </w:r>
    </w:p>
    <w:p w14:paraId="2E0C3B86">
      <w:pPr>
        <w:pStyle w:val="1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）着力保障和改善民生。</w:t>
      </w:r>
      <w:r>
        <w:rPr>
          <w:rFonts w:hint="eastAsia" w:ascii="仿宋_GB2312" w:hAnsi="仿宋_GB2312" w:eastAsia="仿宋_GB2312" w:cs="仿宋_GB2312"/>
          <w:sz w:val="32"/>
          <w:szCs w:val="32"/>
        </w:rPr>
        <w:t>坚持尽力而为、量力而行，加大民生领域投入，扎实办好民生实事，兜住、兜准、兜牢民生底线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落实好教育投入“两个只增不减”要求，支持国家级学前教育普及普惠、义务教育优质均衡发展县创建，支持各个阶段学校办学条件改善，推动高质量教育体系建设。</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落实就业优先政策，开展多层次职业技能培训，做好重点群体创业就业。落实城乡居民基本养老保险筹资和待遇调整机制，落实特殊群体各项补贴政策，健全完善社会救助体系，保障困难群众基本生活。</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支持城区管网、老旧小区改造等城市更新工作，提升精细化管理水平，持续改善城乡居民居住环境。</w:t>
      </w:r>
    </w:p>
    <w:p w14:paraId="009E55CA">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eastAsia" w:ascii="仿宋_GB2312" w:hAnsi="仿宋_GB2312" w:eastAsia="仿宋_GB2312" w:cs="仿宋_GB2312"/>
          <w:sz w:val="32"/>
          <w:szCs w:val="32"/>
        </w:rPr>
      </w:pPr>
      <w:r>
        <w:rPr>
          <w:rStyle w:val="16"/>
          <w:rFonts w:hint="eastAsia" w:ascii="楷体_GB2312" w:hAnsi="楷体_GB2312" w:eastAsia="楷体_GB2312" w:cs="楷体_GB2312"/>
          <w:sz w:val="32"/>
          <w:szCs w:val="32"/>
        </w:rPr>
        <w:t>（</w:t>
      </w:r>
      <w:r>
        <w:rPr>
          <w:rStyle w:val="16"/>
          <w:rFonts w:hint="eastAsia" w:ascii="楷体_GB2312" w:hAnsi="楷体_GB2312" w:eastAsia="楷体_GB2312" w:cs="楷体_GB2312"/>
          <w:sz w:val="32"/>
          <w:szCs w:val="32"/>
          <w:lang w:eastAsia="zh-CN"/>
        </w:rPr>
        <w:t>三</w:t>
      </w:r>
      <w:r>
        <w:rPr>
          <w:rStyle w:val="16"/>
          <w:rFonts w:hint="eastAsia" w:ascii="楷体_GB2312" w:hAnsi="楷体_GB2312" w:eastAsia="楷体_GB2312" w:cs="楷体_GB2312"/>
          <w:sz w:val="32"/>
          <w:szCs w:val="32"/>
        </w:rPr>
        <w:t>）</w:t>
      </w:r>
      <w:r>
        <w:rPr>
          <w:rStyle w:val="16"/>
          <w:rFonts w:hint="eastAsia" w:ascii="楷体_GB2312" w:hAnsi="楷体_GB2312" w:eastAsia="楷体_GB2312" w:cs="楷体_GB2312"/>
          <w:sz w:val="32"/>
          <w:szCs w:val="32"/>
          <w:lang w:eastAsia="zh-CN"/>
        </w:rPr>
        <w:t>着力</w:t>
      </w:r>
      <w:r>
        <w:rPr>
          <w:rStyle w:val="16"/>
          <w:rFonts w:hint="eastAsia" w:ascii="楷体_GB2312" w:hAnsi="楷体_GB2312" w:eastAsia="楷体_GB2312" w:cs="楷体_GB2312"/>
          <w:sz w:val="32"/>
          <w:szCs w:val="32"/>
        </w:rPr>
        <w:t>保障重点工作</w:t>
      </w:r>
      <w:r>
        <w:rPr>
          <w:rStyle w:val="16"/>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紧盯巩固衔接、生态环保、农林水等重点领域支出事项，保持必要的支出强度。</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落实党政机关习惯过紧日子，严控一般性支出，从紧安排必要支出，精打细算，把有限财力用到民生保障和高质量发展的重点领域。</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支持农业农村发展，用好</w:t>
      </w:r>
      <w:r>
        <w:rPr>
          <w:rFonts w:hint="eastAsia" w:ascii="仿宋_GB2312" w:hAnsi="仿宋_GB2312" w:eastAsia="仿宋_GB2312" w:cs="仿宋_GB2312"/>
          <w:sz w:val="32"/>
          <w:szCs w:val="32"/>
          <w:lang w:eastAsia="zh-CN"/>
        </w:rPr>
        <w:t>省州县</w:t>
      </w:r>
      <w:r>
        <w:rPr>
          <w:rFonts w:hint="eastAsia" w:ascii="仿宋_GB2312" w:hAnsi="仿宋_GB2312" w:eastAsia="仿宋_GB2312" w:cs="仿宋_GB2312"/>
          <w:sz w:val="32"/>
          <w:szCs w:val="32"/>
        </w:rPr>
        <w:t>衔接资金，完善农村基础设施建设，加强产业和就业帮扶，促进群众持续增收、稳定致富。壮大农村集体经济组织，推动农村基础设施提档升级，补齐农村公共服务短板。用好高标准农田建设资金、农业专项发展资金等，落实耕地地力保护补贴、实际种粮农民一次性补贴、农机具购置补贴、农业保险保费补贴等各项涉农补贴政策，促进粮食稳产增产</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支持生态文明建设，扎实推进黄河流域</w:t>
      </w:r>
      <w:r>
        <w:rPr>
          <w:rFonts w:hint="eastAsia" w:ascii="仿宋_GB2312" w:hAnsi="仿宋_GB2312" w:eastAsia="仿宋_GB2312" w:cs="仿宋_GB2312"/>
          <w:sz w:val="32"/>
          <w:szCs w:val="32"/>
          <w:lang w:eastAsia="zh-CN"/>
        </w:rPr>
        <w:t>生态保护</w:t>
      </w:r>
      <w:r>
        <w:rPr>
          <w:rFonts w:hint="eastAsia" w:ascii="仿宋_GB2312" w:hAnsi="仿宋_GB2312" w:eastAsia="仿宋_GB2312" w:cs="仿宋_GB2312"/>
          <w:sz w:val="32"/>
          <w:szCs w:val="32"/>
        </w:rPr>
        <w:t>综合治理，支持土壤污染、大气污染等重点污染防治，筑牢生态安全屏障。</w:t>
      </w:r>
    </w:p>
    <w:p w14:paraId="61800973">
      <w:pPr>
        <w:pStyle w:val="1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）着力提升财政治理效能。</w:t>
      </w:r>
      <w:r>
        <w:rPr>
          <w:rFonts w:hint="eastAsia" w:ascii="仿宋_GB2312" w:hAnsi="仿宋_GB2312" w:eastAsia="仿宋_GB2312" w:cs="仿宋_GB2312"/>
          <w:sz w:val="32"/>
          <w:szCs w:val="32"/>
        </w:rPr>
        <w:t>牢固树立法治财政意识，深入开展《中华人民共和国预算法》《中华人民共和国会计法》《中华人民共和国政府采购法》宣传培训，不断提升依法理财水平，坚持把防范化解风险作为重要政治任务来抓，切实兜牢兜实财政安全底线。</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进一步优化支出结构，足额编制“三保”预算，优先安排“三保”支出，切实兜牢兜实“三保”底线。</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eastAsia="zh-CN"/>
        </w:rPr>
        <w:t>做好债务风险分析、研判和预警。依法合规化解存量隐性债务，</w:t>
      </w:r>
      <w:r>
        <w:rPr>
          <w:rFonts w:hint="eastAsia" w:ascii="仿宋_GB2312" w:hAnsi="仿宋_GB2312" w:eastAsia="仿宋_GB2312" w:cs="仿宋_GB2312"/>
          <w:sz w:val="32"/>
          <w:szCs w:val="32"/>
          <w:lang w:val="en-US" w:eastAsia="zh-CN"/>
        </w:rPr>
        <w:t>2025年我县将</w:t>
      </w:r>
      <w:r>
        <w:rPr>
          <w:rFonts w:hint="eastAsia" w:ascii="仿宋_GB2312" w:hAnsi="仿宋_GB2312" w:eastAsia="仿宋_GB2312" w:cs="仿宋_GB2312"/>
          <w:sz w:val="32"/>
          <w:szCs w:val="32"/>
        </w:rPr>
        <w:t>提前化解</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住建局</w:t>
      </w:r>
      <w:r>
        <w:rPr>
          <w:rFonts w:hint="eastAsia" w:ascii="仿宋_GB2312" w:hAnsi="仿宋_GB2312" w:eastAsia="仿宋_GB2312" w:cs="仿宋_GB2312"/>
          <w:sz w:val="32"/>
          <w:szCs w:val="32"/>
          <w:lang w:eastAsia="zh-CN"/>
        </w:rPr>
        <w:t>隐性债务</w:t>
      </w:r>
      <w:r>
        <w:rPr>
          <w:rFonts w:hint="eastAsia" w:ascii="仿宋_GB2312" w:hAnsi="仿宋_GB2312" w:eastAsia="仿宋_GB2312" w:cs="仿宋_GB2312"/>
          <w:sz w:val="32"/>
          <w:szCs w:val="32"/>
        </w:rPr>
        <w:t>8977.6万元，</w:t>
      </w:r>
      <w:r>
        <w:rPr>
          <w:rFonts w:hint="eastAsia" w:ascii="仿宋_GB2312" w:hAnsi="仿宋_GB2312" w:eastAsia="仿宋_GB2312" w:cs="仿宋_GB2312"/>
          <w:sz w:val="32"/>
          <w:szCs w:val="32"/>
          <w:lang w:eastAsia="zh-CN"/>
        </w:rPr>
        <w:t>实现隐性债务</w:t>
      </w:r>
      <w:r>
        <w:rPr>
          <w:rFonts w:hint="eastAsia" w:ascii="仿宋_GB2312" w:hAnsi="仿宋_GB2312" w:eastAsia="仿宋_GB2312" w:cs="仿宋_GB2312"/>
          <w:sz w:val="32"/>
          <w:szCs w:val="32"/>
        </w:rPr>
        <w:t>清零。</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进一步严肃财经纪律，加大财政资金监管力度，加强对各部门预算编制、预算执行、国库支付等业务闭环监管，强化财政资金动态监控和财务管理监督检查，管好用好各项财政资金。</w:t>
      </w:r>
    </w:p>
    <w:p w14:paraId="47BEFF05">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eastAsia" w:ascii="仿宋_GB2312" w:hAnsi="仿宋_GB2312" w:eastAsia="仿宋_GB2312" w:cs="仿宋_GB2312"/>
          <w:sz w:val="32"/>
          <w:szCs w:val="32"/>
        </w:rPr>
      </w:pPr>
      <w:r>
        <w:rPr>
          <w:rStyle w:val="16"/>
          <w:rFonts w:hint="eastAsia" w:ascii="楷体_GB2312" w:hAnsi="楷体_GB2312" w:eastAsia="楷体_GB2312" w:cs="楷体_GB2312"/>
          <w:b/>
          <w:bCs w:val="0"/>
          <w:sz w:val="32"/>
          <w:szCs w:val="32"/>
        </w:rPr>
        <w:t>（五）</w:t>
      </w:r>
      <w:r>
        <w:rPr>
          <w:rFonts w:hint="eastAsia" w:ascii="楷体_GB2312" w:hAnsi="楷体_GB2312" w:eastAsia="楷体_GB2312" w:cs="楷体_GB2312"/>
          <w:b/>
          <w:bCs w:val="0"/>
          <w:sz w:val="32"/>
          <w:szCs w:val="32"/>
        </w:rPr>
        <w:t>着力</w:t>
      </w:r>
      <w:r>
        <w:rPr>
          <w:rFonts w:hint="eastAsia" w:ascii="楷体_GB2312" w:hAnsi="楷体_GB2312" w:eastAsia="楷体_GB2312" w:cs="楷体_GB2312"/>
          <w:b/>
          <w:bCs w:val="0"/>
          <w:sz w:val="32"/>
          <w:szCs w:val="32"/>
          <w:lang w:eastAsia="zh-CN"/>
        </w:rPr>
        <w:t>加强</w:t>
      </w:r>
      <w:r>
        <w:rPr>
          <w:rStyle w:val="16"/>
          <w:rFonts w:hint="eastAsia" w:ascii="楷体_GB2312" w:hAnsi="楷体_GB2312" w:eastAsia="楷体_GB2312" w:cs="楷体_GB2312"/>
          <w:b/>
          <w:bCs w:val="0"/>
          <w:sz w:val="32"/>
          <w:szCs w:val="32"/>
        </w:rPr>
        <w:t>财政管理改革</w:t>
      </w:r>
      <w:r>
        <w:rPr>
          <w:rStyle w:val="16"/>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围绕预算管理一体化等财政管理改革，全力做好财政业务工作。</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lang w:eastAsia="zh-CN"/>
        </w:rPr>
        <w:t>深入推进零基预算改革，全面落实零基预算改革各项行动部署，提质增效加强预算评审等前置性审核，</w:t>
      </w:r>
      <w:r>
        <w:rPr>
          <w:rFonts w:hint="eastAsia" w:ascii="仿宋_GB2312" w:hAnsi="仿宋_GB2312" w:eastAsia="仿宋_GB2312" w:cs="仿宋_GB2312"/>
          <w:sz w:val="32"/>
          <w:szCs w:val="32"/>
        </w:rPr>
        <w:t>加强财政资源统筹，提高财政资源盘活和配置效率。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加强预算绩效管理，坚持项目支出绩效自评和整体支出绩效自评全覆盖，加强事前绩效评估、事中跟踪监控、事后评估问效，不断提高财政资金管理使用效益。</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szCs w:val="32"/>
        </w:rPr>
        <w:t>强化国有资产管理，</w:t>
      </w:r>
      <w:r>
        <w:rPr>
          <w:rFonts w:hint="eastAsia" w:ascii="仿宋_GB2312" w:hAnsi="仿宋_GB2312" w:eastAsia="仿宋_GB2312" w:cs="仿宋_GB2312"/>
          <w:sz w:val="32"/>
          <w:szCs w:val="32"/>
          <w:lang w:eastAsia="zh-CN"/>
        </w:rPr>
        <w:t>在全县范围内开展国有资产清查行动，</w:t>
      </w:r>
      <w:r>
        <w:rPr>
          <w:rFonts w:hint="eastAsia" w:ascii="仿宋_GB2312" w:hAnsi="仿宋_GB2312" w:eastAsia="仿宋_GB2312" w:cs="仿宋_GB2312"/>
          <w:sz w:val="32"/>
          <w:szCs w:val="32"/>
        </w:rPr>
        <w:t>规范国有资产配置、管理、处置程序，不断提高资产管理水平。</w:t>
      </w:r>
    </w:p>
    <w:p w14:paraId="5E53A829">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各位代表！</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我们将更加紧密地团结在以习近平同志为核心的党中央周围，在党的二十大精神指引下，在县委、县政府的正确领导下，在县人大、县政协的监督指导下，认真落实本次会议精神，为共和县经济高质量发展持续注入财政动能，为全面推进中国式现代化共和作出新的更大贡献。</w:t>
      </w:r>
    </w:p>
    <w:p w14:paraId="4EBE177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2EF9CFF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61508AEB">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472C941A">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79460E50">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13EFA881">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6714A61D">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4F41F5A4">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7B4E63F4">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6C277B06">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010FE6C8">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26398665">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464A21B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01D22F61">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ind w:left="0" w:firstLine="420"/>
        <w:jc w:val="both"/>
        <w:textAlignment w:val="auto"/>
        <w:rPr>
          <w:rFonts w:hint="eastAsia" w:ascii="仿宋_GB2312" w:hAnsi="仿宋_GB2312" w:eastAsia="仿宋_GB2312" w:cs="仿宋_GB2312"/>
          <w:sz w:val="32"/>
          <w:szCs w:val="32"/>
        </w:rPr>
      </w:pPr>
    </w:p>
    <w:p w14:paraId="4896040A">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76" w:lineRule="exact"/>
        <w:jc w:val="both"/>
        <w:textAlignment w:val="auto"/>
        <w:rPr>
          <w:rFonts w:hint="eastAsia" w:ascii="仿宋_GB2312" w:hAnsi="仿宋_GB2312" w:eastAsia="仿宋_GB2312" w:cs="仿宋_GB2312"/>
          <w:sz w:val="32"/>
          <w:szCs w:val="32"/>
        </w:rPr>
      </w:pPr>
    </w:p>
    <w:p w14:paraId="09BDA298">
      <w:pPr>
        <w:keepNext w:val="0"/>
        <w:keepLines w:val="0"/>
        <w:pageBreakBefore w:val="0"/>
        <w:kinsoku/>
        <w:wordWrap/>
        <w:overflowPunct/>
        <w:topLinePunct w:val="0"/>
        <w:autoSpaceDE/>
        <w:autoSpaceDN/>
        <w:bidi w:val="0"/>
        <w:adjustRightInd w:val="0"/>
        <w:snapToGrid w:val="0"/>
        <w:spacing w:line="576"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 词 解 释</w:t>
      </w:r>
    </w:p>
    <w:p w14:paraId="7D629359">
      <w:pPr>
        <w:keepNext w:val="0"/>
        <w:keepLines w:val="0"/>
        <w:pageBreakBefore w:val="0"/>
        <w:kinsoku/>
        <w:wordWrap/>
        <w:overflowPunct/>
        <w:topLinePunct w:val="0"/>
        <w:autoSpaceDE/>
        <w:autoSpaceDN/>
        <w:bidi w:val="0"/>
        <w:adjustRightInd w:val="0"/>
        <w:snapToGrid w:val="0"/>
        <w:spacing w:line="576" w:lineRule="exact"/>
        <w:ind w:firstLine="643" w:firstLineChars="200"/>
        <w:rPr>
          <w:rFonts w:ascii="仿宋_GB2312" w:hAnsi="仿宋_GB2312" w:eastAsia="仿宋_GB2312" w:cs="仿宋_GB2312"/>
          <w:b/>
          <w:bCs/>
          <w:sz w:val="32"/>
          <w:szCs w:val="32"/>
        </w:rPr>
      </w:pPr>
    </w:p>
    <w:p w14:paraId="314B2F3A">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7" w:firstLineChars="200"/>
        <w:jc w:val="both"/>
        <w:rPr>
          <w:rFonts w:ascii="仿宋_GB2312" w:hAnsi="仿宋_GB2312" w:eastAsia="仿宋_GB2312" w:cs="仿宋_GB2312"/>
          <w:spacing w:val="6"/>
          <w:kern w:val="2"/>
          <w:sz w:val="32"/>
          <w:szCs w:val="32"/>
        </w:rPr>
      </w:pPr>
      <w:r>
        <w:rPr>
          <w:rFonts w:hint="eastAsia" w:ascii="仿宋_GB2312" w:hAnsi="仿宋_GB2312" w:eastAsia="仿宋_GB2312" w:cs="仿宋_GB2312"/>
          <w:b/>
          <w:bCs/>
          <w:spacing w:val="6"/>
          <w:kern w:val="2"/>
          <w:sz w:val="32"/>
          <w:szCs w:val="32"/>
        </w:rPr>
        <w:t>1.一般公共预算：</w:t>
      </w:r>
      <w:r>
        <w:rPr>
          <w:rFonts w:hint="eastAsia" w:ascii="仿宋_GB2312" w:hAnsi="仿宋_GB2312" w:eastAsia="仿宋_GB2312" w:cs="仿宋_GB2312"/>
          <w:spacing w:val="6"/>
          <w:kern w:val="2"/>
          <w:sz w:val="32"/>
          <w:szCs w:val="32"/>
        </w:rPr>
        <w:t>指对以税收为主体的财政收入，安排用于保障和改善民生、推动经济社会发展、维护国家安全、维持机构正常运转等方面的收支预算。</w:t>
      </w:r>
    </w:p>
    <w:p w14:paraId="3780A888">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7"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b/>
          <w:bCs/>
          <w:spacing w:val="6"/>
          <w:kern w:val="2"/>
          <w:sz w:val="32"/>
          <w:szCs w:val="32"/>
        </w:rPr>
        <w:t xml:space="preserve"> 2.转移支付：</w:t>
      </w:r>
      <w:r>
        <w:rPr>
          <w:rFonts w:hint="eastAsia" w:ascii="仿宋_GB2312" w:hAnsi="仿宋_GB2312" w:eastAsia="仿宋_GB2312" w:cs="仿宋_GB2312"/>
          <w:spacing w:val="6"/>
          <w:kern w:val="2"/>
          <w:sz w:val="32"/>
          <w:szCs w:val="32"/>
        </w:rPr>
        <w:t>指上级政府通过预算安排的对下级政府无偿的资金补助。</w:t>
      </w:r>
      <w:r>
        <w:rPr>
          <w:rFonts w:hint="eastAsia" w:ascii="仿宋_GB2312" w:hAnsi="仿宋_GB2312" w:eastAsia="仿宋_GB2312" w:cs="仿宋_GB2312"/>
          <w:b/>
          <w:bCs/>
          <w:spacing w:val="6"/>
          <w:kern w:val="2"/>
          <w:sz w:val="32"/>
          <w:szCs w:val="32"/>
        </w:rPr>
        <w:t>专项转移支付：</w:t>
      </w:r>
      <w:r>
        <w:rPr>
          <w:rFonts w:hint="eastAsia" w:ascii="仿宋_GB2312" w:hAnsi="仿宋_GB2312" w:eastAsia="仿宋_GB2312" w:cs="仿宋_GB2312"/>
          <w:spacing w:val="6"/>
          <w:sz w:val="32"/>
          <w:szCs w:val="32"/>
        </w:rPr>
        <w:t>指下级政府因承担上级政府委托事务或政府间共同事务等，享受的上级政府补助资金，又称有条件补助或专项拨款，是为了实现上级的特定政策目标，必须专款专用。</w:t>
      </w:r>
    </w:p>
    <w:p w14:paraId="5DE4CF4E">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7"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3.预算稳定调节基金：</w:t>
      </w:r>
      <w:r>
        <w:rPr>
          <w:rFonts w:hint="eastAsia" w:ascii="仿宋_GB2312" w:hAnsi="仿宋_GB2312" w:eastAsia="仿宋_GB2312" w:cs="仿宋_GB2312"/>
          <w:spacing w:val="6"/>
          <w:sz w:val="32"/>
          <w:szCs w:val="32"/>
        </w:rPr>
        <w:t>指由政府设立的，从规定范围筹集的，用于调节和平衡本级预算平稳运行的预算储备资金，主要以以下渠道筹集:公共财政预算当年超收收入;公共财政预算财力性结余;政府性基金滚存结余;统筹整合的专项资金和财政存量资金盘活资金;政府批准的其他收入。本级预算稳定调节基金应当用于:弥补公共财政预算编制的收支缺口;弥补年度预算执行终了因收入短收形成的收支缺口;解决政府决定的重大支出等。</w:t>
      </w:r>
    </w:p>
    <w:p w14:paraId="3EB83BF4">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4"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b/>
          <w:bCs/>
          <w:spacing w:val="6"/>
          <w:sz w:val="32"/>
          <w:szCs w:val="32"/>
        </w:rPr>
        <w:t>“三保”支出:</w:t>
      </w:r>
      <w:r>
        <w:rPr>
          <w:rFonts w:hint="eastAsia" w:ascii="仿宋_GB2312" w:hAnsi="仿宋_GB2312" w:eastAsia="仿宋_GB2312" w:cs="仿宋_GB2312"/>
          <w:spacing w:val="6"/>
          <w:sz w:val="32"/>
          <w:szCs w:val="32"/>
        </w:rPr>
        <w:t>指“保基本民生、保工资、保运转”，分清轻重缓急,合理安排财政支出。为“三保”提供有力的保障。努力克服经济下行压力的影响，加强对重点税源、重点企业和重点税种的征管，严禁虚收空转,将新增财力全部用在保工资增量和促民生发展上。</w:t>
      </w:r>
    </w:p>
    <w:p w14:paraId="55D81604">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7"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5.权责发生制:</w:t>
      </w:r>
      <w:r>
        <w:rPr>
          <w:rFonts w:hint="eastAsia" w:ascii="仿宋_GB2312" w:hAnsi="仿宋_GB2312" w:eastAsia="仿宋_GB2312" w:cs="仿宋_GB2312"/>
          <w:spacing w:val="6"/>
          <w:sz w:val="32"/>
          <w:szCs w:val="32"/>
        </w:rPr>
        <w:t>指权责发生制指凡是应属本期的收入和费用，不论其款项是否收到或付出，都作为本期的收入和费用处理;反之，凡不属于本期的收入和费用，即使款项在本期收到或付出，也不应作为本期的收入和费用处理。</w:t>
      </w:r>
    </w:p>
    <w:p w14:paraId="663BADEB">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7"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6.预算绩效管理:</w:t>
      </w:r>
      <w:r>
        <w:rPr>
          <w:rFonts w:hint="eastAsia" w:ascii="仿宋_GB2312" w:hAnsi="仿宋_GB2312" w:eastAsia="仿宋_GB2312" w:cs="仿宋_GB2312"/>
          <w:spacing w:val="6"/>
          <w:sz w:val="32"/>
          <w:szCs w:val="32"/>
        </w:rPr>
        <w:t>指为优化财政资源配置、提升公共产品和公共服务水平，将绩效目标编制、运行跟踪、绩效评价、结果运用等绩效管理理念和管理方法，贯彻于预算编制、执行、监督、结果全过程，实现“预算编制有目标，预算执行有监控，预算完成有评价，评价结果又反馈，反馈结果有应用，绩效缺失有问责”的全过程预算绩效管理机制。</w:t>
      </w:r>
    </w:p>
    <w:p w14:paraId="03B49189">
      <w:pPr>
        <w:pStyle w:val="6"/>
        <w:keepNext w:val="0"/>
        <w:keepLines w:val="0"/>
        <w:pageBreakBefore w:val="0"/>
        <w:kinsoku/>
        <w:wordWrap/>
        <w:overflowPunct/>
        <w:topLinePunct w:val="0"/>
        <w:autoSpaceDE/>
        <w:autoSpaceDN/>
        <w:bidi w:val="0"/>
        <w:adjustRightInd w:val="0"/>
        <w:snapToGrid w:val="0"/>
        <w:spacing w:after="0" w:line="576" w:lineRule="exact"/>
        <w:ind w:firstLine="667" w:firstLineChars="200"/>
        <w:rPr>
          <w:rFonts w:ascii="仿宋_GB2312" w:hAnsi="仿宋_GB2312" w:eastAsia="仿宋_GB2312" w:cs="仿宋_GB2312"/>
          <w:spacing w:val="6"/>
          <w:szCs w:val="32"/>
        </w:rPr>
      </w:pPr>
      <w:r>
        <w:rPr>
          <w:rFonts w:hint="eastAsia" w:ascii="仿宋_GB2312" w:hAnsi="仿宋_GB2312" w:eastAsia="仿宋_GB2312" w:cs="仿宋_GB2312"/>
          <w:b/>
          <w:bCs/>
          <w:spacing w:val="6"/>
          <w:sz w:val="32"/>
          <w:szCs w:val="32"/>
        </w:rPr>
        <w:t>7.政府债务：</w:t>
      </w:r>
      <w:r>
        <w:rPr>
          <w:rFonts w:hint="eastAsia" w:ascii="仿宋_GB2312" w:hAnsi="仿宋_GB2312" w:eastAsia="仿宋_GB2312" w:cs="仿宋_GB2312"/>
          <w:spacing w:val="6"/>
          <w:sz w:val="32"/>
          <w:szCs w:val="32"/>
        </w:rPr>
        <w:t>指各级政府为公益性事业发展依法举借，需地方政府承担偿还责任的债务。具体包括：经国务院批准纳入政府债务管理的存量债务；通过发行地方政府债券形成的债务。分为一般债务和专项债务：</w:t>
      </w:r>
      <w:r>
        <w:rPr>
          <w:rFonts w:hint="eastAsia" w:ascii="仿宋_GB2312" w:hAnsi="仿宋_GB2312" w:eastAsia="仿宋_GB2312" w:cs="仿宋_GB2312"/>
          <w:b/>
          <w:bCs/>
          <w:spacing w:val="6"/>
          <w:sz w:val="32"/>
          <w:szCs w:val="32"/>
        </w:rPr>
        <w:t>一般债务</w:t>
      </w:r>
      <w:r>
        <w:rPr>
          <w:rFonts w:hint="eastAsia" w:ascii="仿宋_GB2312" w:hAnsi="仿宋_GB2312" w:eastAsia="仿宋_GB2312" w:cs="仿宋_GB2312"/>
          <w:spacing w:val="6"/>
          <w:sz w:val="32"/>
          <w:szCs w:val="32"/>
        </w:rPr>
        <w:t>指为没有收益的公益性事业发展举借，主要以一般公共预算收入偿还的政府债务；</w:t>
      </w:r>
      <w:r>
        <w:rPr>
          <w:rFonts w:hint="eastAsia" w:ascii="仿宋_GB2312" w:hAnsi="仿宋_GB2312" w:eastAsia="仿宋_GB2312" w:cs="仿宋_GB2312"/>
          <w:b/>
          <w:bCs/>
          <w:spacing w:val="6"/>
          <w:sz w:val="32"/>
          <w:szCs w:val="32"/>
        </w:rPr>
        <w:t>专项债务</w:t>
      </w:r>
      <w:r>
        <w:rPr>
          <w:rFonts w:hint="eastAsia" w:ascii="仿宋_GB2312" w:hAnsi="仿宋_GB2312" w:eastAsia="仿宋_GB2312" w:cs="仿宋_GB2312"/>
          <w:spacing w:val="6"/>
          <w:sz w:val="32"/>
          <w:szCs w:val="32"/>
        </w:rPr>
        <w:t>指为一定收益的公益性事业发展举借，主要以对应的政府性基金或专项收入偿还的政府债务。</w:t>
      </w:r>
    </w:p>
    <w:p w14:paraId="476FC83A">
      <w:pPr>
        <w:pStyle w:val="6"/>
        <w:keepNext w:val="0"/>
        <w:keepLines w:val="0"/>
        <w:pageBreakBefore w:val="0"/>
        <w:kinsoku/>
        <w:wordWrap/>
        <w:overflowPunct/>
        <w:topLinePunct w:val="0"/>
        <w:autoSpaceDE/>
        <w:autoSpaceDN/>
        <w:bidi w:val="0"/>
        <w:adjustRightInd w:val="0"/>
        <w:snapToGrid w:val="0"/>
        <w:spacing w:after="0" w:line="576" w:lineRule="exact"/>
        <w:ind w:firstLine="667" w:firstLineChars="200"/>
        <w:rPr>
          <w:rFonts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8.地方政府债券：</w:t>
      </w:r>
      <w:r>
        <w:rPr>
          <w:rFonts w:hint="eastAsia" w:ascii="仿宋_GB2312" w:hAnsi="仿宋_GB2312" w:eastAsia="仿宋_GB2312" w:cs="仿宋_GB2312"/>
          <w:spacing w:val="6"/>
          <w:sz w:val="32"/>
          <w:szCs w:val="32"/>
        </w:rPr>
        <w:t>指省、自治区、直辖县政府(含经省政府批准自办债券发行的计划单列县政府)为公益性项目发行的、约定一定期限内还本付息的政府债券，分为一般债券和专项债券:</w:t>
      </w:r>
      <w:r>
        <w:rPr>
          <w:rFonts w:hint="eastAsia" w:ascii="仿宋_GB2312" w:hAnsi="仿宋_GB2312" w:eastAsia="仿宋_GB2312" w:cs="仿宋_GB2312"/>
          <w:b/>
          <w:bCs/>
          <w:spacing w:val="6"/>
          <w:sz w:val="32"/>
          <w:szCs w:val="32"/>
        </w:rPr>
        <w:t>一般债券</w:t>
      </w:r>
      <w:r>
        <w:rPr>
          <w:rFonts w:hint="eastAsia" w:ascii="仿宋_GB2312" w:hAnsi="仿宋_GB2312" w:eastAsia="仿宋_GB2312" w:cs="仿宋_GB2312"/>
          <w:spacing w:val="6"/>
          <w:sz w:val="32"/>
          <w:szCs w:val="32"/>
        </w:rPr>
        <w:t>为没有收益的公益性资本项目发行，以一般公共预算收入还本付息;</w:t>
      </w:r>
      <w:r>
        <w:rPr>
          <w:rFonts w:hint="eastAsia" w:ascii="仿宋_GB2312" w:hAnsi="仿宋_GB2312" w:eastAsia="仿宋_GB2312" w:cs="仿宋_GB2312"/>
          <w:b/>
          <w:bCs/>
          <w:spacing w:val="6"/>
          <w:sz w:val="32"/>
          <w:szCs w:val="32"/>
        </w:rPr>
        <w:t>专项债券</w:t>
      </w:r>
      <w:r>
        <w:rPr>
          <w:rFonts w:hint="eastAsia" w:ascii="仿宋_GB2312" w:hAnsi="仿宋_GB2312" w:eastAsia="仿宋_GB2312" w:cs="仿宋_GB2312"/>
          <w:spacing w:val="6"/>
          <w:sz w:val="32"/>
          <w:szCs w:val="32"/>
        </w:rPr>
        <w:t>为有一定收益的公益性资本项目发行，以公益性项目对应的政府性基金或专项收入还本付息。</w:t>
      </w:r>
    </w:p>
    <w:p w14:paraId="12C62AE4">
      <w:pPr>
        <w:pStyle w:val="6"/>
        <w:keepNext w:val="0"/>
        <w:keepLines w:val="0"/>
        <w:pageBreakBefore w:val="0"/>
        <w:kinsoku/>
        <w:wordWrap/>
        <w:overflowPunct/>
        <w:topLinePunct w:val="0"/>
        <w:autoSpaceDE/>
        <w:autoSpaceDN/>
        <w:bidi w:val="0"/>
        <w:adjustRightInd w:val="0"/>
        <w:snapToGrid w:val="0"/>
        <w:spacing w:after="0" w:line="576" w:lineRule="exact"/>
        <w:ind w:firstLine="667" w:firstLineChars="200"/>
        <w:rPr>
          <w:rFonts w:ascii="仿宋_GB2312" w:hAnsi="仿宋_GB2312" w:eastAsia="仿宋_GB2312" w:cs="仿宋_GB2312"/>
          <w:spacing w:val="6"/>
          <w:szCs w:val="32"/>
        </w:rPr>
      </w:pPr>
      <w:r>
        <w:rPr>
          <w:rFonts w:hint="eastAsia" w:ascii="仿宋_GB2312" w:hAnsi="仿宋_GB2312" w:eastAsia="仿宋_GB2312" w:cs="仿宋_GB2312"/>
          <w:b/>
          <w:bCs/>
          <w:spacing w:val="6"/>
          <w:sz w:val="32"/>
          <w:szCs w:val="32"/>
        </w:rPr>
        <w:t>9.再融资债券：</w:t>
      </w:r>
      <w:r>
        <w:rPr>
          <w:rFonts w:hint="eastAsia" w:ascii="仿宋_GB2312" w:hAnsi="仿宋_GB2312" w:eastAsia="仿宋_GB2312" w:cs="仿宋_GB2312"/>
          <w:spacing w:val="6"/>
          <w:sz w:val="32"/>
          <w:szCs w:val="32"/>
        </w:rPr>
        <w:t>再融资债券是发行募集资金用于偿还部分到期地方政府债券本金的债券，是财政部对于债务预算的分类管理方式。再融资债券不能直接用于项目建设，但可为地方政府缓解政府偿债压力，降低利息负担。地方发行再融资债券实行限额管理。</w:t>
      </w:r>
    </w:p>
    <w:p w14:paraId="27F1AE53">
      <w:pPr>
        <w:keepNext w:val="0"/>
        <w:keepLines w:val="0"/>
        <w:pageBreakBefore w:val="0"/>
        <w:kinsoku/>
        <w:wordWrap/>
        <w:overflowPunct/>
        <w:topLinePunct w:val="0"/>
        <w:autoSpaceDE/>
        <w:autoSpaceDN/>
        <w:bidi w:val="0"/>
        <w:adjustRightInd w:val="0"/>
        <w:snapToGrid w:val="0"/>
        <w:spacing w:line="576" w:lineRule="exact"/>
        <w:ind w:firstLine="667" w:firstLineChars="200"/>
        <w:rPr>
          <w:rFonts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10.政府债务限额：</w:t>
      </w:r>
      <w:r>
        <w:rPr>
          <w:rFonts w:hint="eastAsia" w:ascii="仿宋_GB2312" w:hAnsi="仿宋_GB2312" w:eastAsia="仿宋_GB2312" w:cs="仿宋_GB2312"/>
          <w:spacing w:val="6"/>
          <w:sz w:val="32"/>
          <w:szCs w:val="32"/>
        </w:rPr>
        <w:t>指省政府实行债务规模控制，对地方政府债务余额实行限额管理，政府举债不得突破批准的限额。年度地方政府债务限额等于上年地方政府债务限额加上当年新增债务限额(或减去当年调减债务限额)，具体分为一般债务限额和专项债务限额。</w:t>
      </w:r>
    </w:p>
    <w:p w14:paraId="7A65663C">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7" w:firstLineChars="200"/>
        <w:jc w:val="both"/>
        <w:rPr>
          <w:rFonts w:eastAsia="仿宋_GB2312"/>
        </w:rPr>
      </w:pPr>
      <w:r>
        <w:rPr>
          <w:rFonts w:hint="eastAsia" w:ascii="仿宋_GB2312" w:hAnsi="仿宋_GB2312" w:eastAsia="仿宋_GB2312" w:cs="仿宋_GB2312"/>
          <w:b/>
          <w:bCs/>
          <w:spacing w:val="6"/>
          <w:kern w:val="2"/>
          <w:sz w:val="32"/>
          <w:szCs w:val="32"/>
        </w:rPr>
        <w:t>11.零基预算：</w:t>
      </w:r>
      <w:r>
        <w:rPr>
          <w:rFonts w:hint="eastAsia" w:ascii="仿宋_GB2312" w:hAnsi="仿宋_GB2312" w:eastAsia="仿宋_GB2312" w:cs="仿宋_GB2312"/>
          <w:spacing w:val="6"/>
          <w:kern w:val="2"/>
          <w:sz w:val="32"/>
          <w:szCs w:val="32"/>
        </w:rPr>
        <w:t>指不受以前年度预算安排情况影响，以零为基点，一切从实际出发，逐项审议预算年度内各项费用的内容及其开支标准，并结合财力状况、预算执行情况、绩效评价结果、年度工作任务及项目准备情况等编制的预算</w:t>
      </w:r>
      <w:r>
        <w:rPr>
          <w:rFonts w:hint="eastAsia"/>
          <w:shd w:val="clear" w:color="auto" w:fill="FFFFFF"/>
        </w:rPr>
        <w:t>。</w:t>
      </w:r>
    </w:p>
    <w:p w14:paraId="315CCAF5">
      <w:pPr>
        <w:keepNext w:val="0"/>
        <w:keepLines w:val="0"/>
        <w:pageBreakBefore w:val="0"/>
        <w:kinsoku/>
        <w:wordWrap/>
        <w:overflowPunct/>
        <w:topLinePunct w:val="0"/>
        <w:autoSpaceDE/>
        <w:autoSpaceDN/>
        <w:bidi w:val="0"/>
        <w:adjustRightInd w:val="0"/>
        <w:snapToGrid w:val="0"/>
        <w:spacing w:line="576" w:lineRule="exact"/>
        <w:ind w:firstLine="667" w:firstLineChars="200"/>
        <w:rPr>
          <w:rFonts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12.财政存量资金：</w:t>
      </w:r>
      <w:r>
        <w:rPr>
          <w:rFonts w:hint="eastAsia" w:ascii="仿宋_GB2312" w:hAnsi="仿宋_GB2312" w:eastAsia="仿宋_GB2312" w:cs="仿宋_GB2312"/>
          <w:spacing w:val="6"/>
          <w:sz w:val="32"/>
          <w:szCs w:val="32"/>
        </w:rPr>
        <w:t>财政存量资金是指各级财政部门未分配到部门和地方的预算资金及预算部门未形成实际支出的财政资金。不包含财政部门《中华人民共和国预算法》要求设立的预算稳定调节基金、预算周转金、预备费，以及财政部规定不纳入存量资金清理范围的社会保险基金、粮食风险基金、教育收费、外国政府和国际金融组织贷赠款、代管资金等财政专户资金。</w:t>
      </w:r>
    </w:p>
    <w:p w14:paraId="1A4523C1">
      <w:pPr>
        <w:keepNext w:val="0"/>
        <w:keepLines w:val="0"/>
        <w:pageBreakBefore w:val="0"/>
        <w:kinsoku/>
        <w:wordWrap/>
        <w:overflowPunct/>
        <w:topLinePunct w:val="0"/>
        <w:autoSpaceDE/>
        <w:autoSpaceDN/>
        <w:bidi w:val="0"/>
        <w:adjustRightInd w:val="0"/>
        <w:snapToGrid w:val="0"/>
        <w:spacing w:line="576" w:lineRule="exact"/>
        <w:ind w:firstLine="667" w:firstLineChars="200"/>
        <w:rPr>
          <w:rFonts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13.政府购买公共服务：</w:t>
      </w:r>
      <w:r>
        <w:rPr>
          <w:rFonts w:hint="eastAsia" w:ascii="仿宋_GB2312" w:hAnsi="仿宋_GB2312" w:eastAsia="仿宋_GB2312" w:cs="仿宋_GB2312"/>
          <w:spacing w:val="6"/>
          <w:sz w:val="32"/>
          <w:szCs w:val="32"/>
        </w:rPr>
        <w:t>指政府按照法定程序和采购目录，将原来由政府直接承担或通过事业单位承担的公共服务事项，以合同方式交予有资质的社会组织来完成，并根据后者提供服务的数量和质量，按照一定标准进行评估后支付服务费用。其主要方式是“县场运作、政府承担、定项委托、合同管理、评估兑现”。主要涵盖大多数公共服务领域，特别是养老、教育、公共卫生、文化、社会服务等。它是县场经济条件下社会发展的一项新事物，也是建设公共服务型政府的有效途径，既体现了政府追求效率和转变职能，又促进了社会组织的发展成熟，是政府与社会组织合作的一种崭新方式。</w:t>
      </w:r>
    </w:p>
    <w:p w14:paraId="7EEB1514">
      <w:pPr>
        <w:keepNext w:val="0"/>
        <w:keepLines w:val="0"/>
        <w:pageBreakBefore w:val="0"/>
        <w:kinsoku/>
        <w:wordWrap/>
        <w:overflowPunct/>
        <w:topLinePunct w:val="0"/>
        <w:autoSpaceDE/>
        <w:autoSpaceDN/>
        <w:bidi w:val="0"/>
        <w:adjustRightInd w:val="0"/>
        <w:snapToGrid w:val="0"/>
        <w:spacing w:line="576" w:lineRule="exact"/>
        <w:ind w:firstLine="667" w:firstLineChars="200"/>
        <w:rPr>
          <w:rFonts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14.政府采购：</w:t>
      </w:r>
      <w:r>
        <w:rPr>
          <w:rFonts w:hint="eastAsia" w:ascii="仿宋_GB2312" w:hAnsi="仿宋_GB2312" w:eastAsia="仿宋_GB2312" w:cs="仿宋_GB2312"/>
          <w:spacing w:val="6"/>
          <w:sz w:val="32"/>
          <w:szCs w:val="32"/>
        </w:rPr>
        <w:t>指各级国家机关、事业单位和团体组织，使用财政性资金采购依法制定的集中采购目录以内的或采购限额标准以上的货物、工程和服务的行为。</w:t>
      </w:r>
    </w:p>
    <w:p w14:paraId="5C5BD4F3">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仿宋_GB2312" w:eastAsia="仿宋_GB2312" w:cs="仿宋_GB2312"/>
          <w:sz w:val="32"/>
          <w:szCs w:val="32"/>
        </w:rPr>
      </w:pPr>
    </w:p>
    <w:p w14:paraId="214F2BE7">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仿宋_GB2312" w:eastAsia="仿宋_GB2312" w:cs="仿宋_GB2312"/>
          <w:sz w:val="32"/>
          <w:szCs w:val="32"/>
        </w:rPr>
      </w:pPr>
    </w:p>
    <w:p w14:paraId="67554949">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4" w:firstLineChars="200"/>
        <w:jc w:val="both"/>
        <w:rPr>
          <w:rFonts w:ascii="仿宋_GB2312" w:hAnsi="仿宋_GB2312" w:eastAsia="仿宋_GB2312" w:cs="仿宋_GB2312"/>
          <w:spacing w:val="6"/>
          <w:sz w:val="32"/>
          <w:szCs w:val="32"/>
        </w:rPr>
      </w:pPr>
    </w:p>
    <w:p w14:paraId="390E41A2">
      <w:pPr>
        <w:pStyle w:val="12"/>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6" w:lineRule="exact"/>
        <w:ind w:firstLine="664" w:firstLineChars="200"/>
        <w:jc w:val="both"/>
        <w:rPr>
          <w:rFonts w:ascii="仿宋_GB2312" w:hAnsi="仿宋_GB2312" w:eastAsia="仿宋_GB2312" w:cs="仿宋_GB2312"/>
          <w:spacing w:val="6"/>
          <w:sz w:val="32"/>
          <w:szCs w:val="32"/>
        </w:rPr>
      </w:pPr>
    </w:p>
    <w:p w14:paraId="64B627D8">
      <w:pPr>
        <w:keepNext w:val="0"/>
        <w:keepLines w:val="0"/>
        <w:pageBreakBefore w:val="0"/>
        <w:kinsoku/>
        <w:wordWrap/>
        <w:overflowPunct/>
        <w:topLinePunct w:val="0"/>
        <w:autoSpaceDE/>
        <w:autoSpaceDN/>
        <w:bidi w:val="0"/>
        <w:adjustRightInd w:val="0"/>
        <w:snapToGrid w:val="0"/>
        <w:spacing w:line="576" w:lineRule="exact"/>
        <w:ind w:firstLine="667" w:firstLineChars="200"/>
        <w:rPr>
          <w:rFonts w:ascii="仿宋_GB2312" w:hAnsi="仿宋_GB2312" w:eastAsia="仿宋_GB2312" w:cs="仿宋_GB2312"/>
          <w:b/>
          <w:bCs/>
          <w:spacing w:val="6"/>
          <w:sz w:val="32"/>
          <w:szCs w:val="32"/>
        </w:rPr>
      </w:pPr>
    </w:p>
    <w:p w14:paraId="16B0F536">
      <w:pPr>
        <w:pStyle w:val="23"/>
        <w:keepNext w:val="0"/>
        <w:keepLines w:val="0"/>
        <w:pageBreakBefore w:val="0"/>
        <w:kinsoku/>
        <w:wordWrap/>
        <w:overflowPunct/>
        <w:topLinePunct w:val="0"/>
        <w:autoSpaceDE/>
        <w:autoSpaceDN/>
        <w:bidi w:val="0"/>
        <w:adjustRightInd w:val="0"/>
        <w:snapToGrid w:val="0"/>
        <w:spacing w:line="576" w:lineRule="exact"/>
        <w:ind w:left="0" w:firstLine="664" w:firstLineChars="200"/>
        <w:rPr>
          <w:rFonts w:ascii="仿宋_GB2312" w:hAnsi="仿宋_GB2312" w:cs="仿宋_GB2312"/>
          <w:spacing w:val="6"/>
          <w:szCs w:val="32"/>
        </w:rPr>
      </w:pPr>
    </w:p>
    <w:p w14:paraId="410F619E">
      <w:pPr>
        <w:keepNext w:val="0"/>
        <w:keepLines w:val="0"/>
        <w:pageBreakBefore w:val="0"/>
        <w:tabs>
          <w:tab w:val="left" w:pos="5670"/>
        </w:tabs>
        <w:kinsoku/>
        <w:wordWrap/>
        <w:overflowPunct/>
        <w:topLinePunct w:val="0"/>
        <w:autoSpaceDE/>
        <w:autoSpaceDN/>
        <w:bidi w:val="0"/>
        <w:adjustRightInd w:val="0"/>
        <w:snapToGrid w:val="0"/>
        <w:spacing w:line="576" w:lineRule="exact"/>
        <w:ind w:firstLine="420" w:firstLineChars="200"/>
        <w:textAlignment w:val="auto"/>
        <w:rPr>
          <w:rFonts w:hint="eastAsia" w:ascii="仿宋_GB2312" w:hAnsi="仿宋_GB2312" w:eastAsia="仿宋_GB2312" w:cs="仿宋_GB2312"/>
          <w:szCs w:val="32"/>
          <w:lang w:eastAsia="zh-CN"/>
        </w:rPr>
      </w:pPr>
    </w:p>
    <w:p w14:paraId="78456EF8">
      <w:pPr>
        <w:pStyle w:val="23"/>
        <w:keepNext w:val="0"/>
        <w:keepLines w:val="0"/>
        <w:pageBreakBefore w:val="0"/>
        <w:kinsoku/>
        <w:wordWrap/>
        <w:overflowPunct/>
        <w:topLinePunct w:val="0"/>
        <w:autoSpaceDE/>
        <w:autoSpaceDN/>
        <w:bidi w:val="0"/>
        <w:adjustRightInd w:val="0"/>
        <w:snapToGrid w:val="0"/>
        <w:spacing w:line="576" w:lineRule="exact"/>
        <w:ind w:left="0" w:firstLine="664" w:firstLineChars="200"/>
        <w:rPr>
          <w:rFonts w:ascii="仿宋_GB2312" w:hAnsi="仿宋_GB2312" w:cs="仿宋_GB2312"/>
          <w:spacing w:val="6"/>
          <w:szCs w:val="32"/>
        </w:rPr>
      </w:pPr>
    </w:p>
    <w:sectPr>
      <w:footerReference r:id="rId3" w:type="default"/>
      <w:pgSz w:w="11906" w:h="16838"/>
      <w:pgMar w:top="2098" w:right="1474" w:bottom="1984" w:left="1587" w:header="851" w:footer="794" w:gutter="0"/>
      <w:pgNumType w:fmt="decimal"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Himalaya">
    <w:panose1 w:val="01010100010101010101"/>
    <w:charset w:val="00"/>
    <w:family w:val="auto"/>
    <w:pitch w:val="default"/>
    <w:sig w:usb0="80000003" w:usb1="00010000" w:usb2="00000040" w:usb3="00000000" w:csb0="0000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07F0">
    <w:pPr>
      <w:pStyle w:val="10"/>
      <w:tabs>
        <w:tab w:val="left" w:pos="218"/>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3BF68"/>
    <w:multiLevelType w:val="singleLevel"/>
    <w:tmpl w:val="6373BF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NDA2YjdkYzJlZWViMjE0NGI4MDI4ZTgwNmUyNTUifQ=="/>
  </w:docVars>
  <w:rsids>
    <w:rsidRoot w:val="00172A27"/>
    <w:rsid w:val="00003A9F"/>
    <w:rsid w:val="00017048"/>
    <w:rsid w:val="00034DB9"/>
    <w:rsid w:val="00042576"/>
    <w:rsid w:val="0004624A"/>
    <w:rsid w:val="00082DF8"/>
    <w:rsid w:val="00096145"/>
    <w:rsid w:val="000B0B6E"/>
    <w:rsid w:val="000D685A"/>
    <w:rsid w:val="000D7A8F"/>
    <w:rsid w:val="000F0E0B"/>
    <w:rsid w:val="000F2B3E"/>
    <w:rsid w:val="000F674F"/>
    <w:rsid w:val="00110AF6"/>
    <w:rsid w:val="0011242A"/>
    <w:rsid w:val="00112D1D"/>
    <w:rsid w:val="00146263"/>
    <w:rsid w:val="001465D6"/>
    <w:rsid w:val="00165D87"/>
    <w:rsid w:val="00170F7B"/>
    <w:rsid w:val="00172A27"/>
    <w:rsid w:val="00187444"/>
    <w:rsid w:val="00197C94"/>
    <w:rsid w:val="001C7FB0"/>
    <w:rsid w:val="001D5049"/>
    <w:rsid w:val="001F2FAB"/>
    <w:rsid w:val="0020741A"/>
    <w:rsid w:val="00212BC9"/>
    <w:rsid w:val="00247B45"/>
    <w:rsid w:val="00252708"/>
    <w:rsid w:val="00271142"/>
    <w:rsid w:val="00293C71"/>
    <w:rsid w:val="002A041A"/>
    <w:rsid w:val="002A2AA7"/>
    <w:rsid w:val="002B2666"/>
    <w:rsid w:val="002B310D"/>
    <w:rsid w:val="002B7904"/>
    <w:rsid w:val="002C57F2"/>
    <w:rsid w:val="002C7DC6"/>
    <w:rsid w:val="002D1C92"/>
    <w:rsid w:val="002F4F6A"/>
    <w:rsid w:val="00304947"/>
    <w:rsid w:val="00312DB9"/>
    <w:rsid w:val="00324CED"/>
    <w:rsid w:val="00362D5B"/>
    <w:rsid w:val="00367433"/>
    <w:rsid w:val="003A09CB"/>
    <w:rsid w:val="003A5374"/>
    <w:rsid w:val="003C1FDB"/>
    <w:rsid w:val="003E73FE"/>
    <w:rsid w:val="00422004"/>
    <w:rsid w:val="004234A8"/>
    <w:rsid w:val="0044719E"/>
    <w:rsid w:val="00457CD6"/>
    <w:rsid w:val="004849A9"/>
    <w:rsid w:val="004B46C0"/>
    <w:rsid w:val="004B7BA0"/>
    <w:rsid w:val="004D2E61"/>
    <w:rsid w:val="004E4EA1"/>
    <w:rsid w:val="004E5DD6"/>
    <w:rsid w:val="004F1F53"/>
    <w:rsid w:val="004F4B90"/>
    <w:rsid w:val="00501359"/>
    <w:rsid w:val="00524825"/>
    <w:rsid w:val="00551574"/>
    <w:rsid w:val="00553C59"/>
    <w:rsid w:val="00597814"/>
    <w:rsid w:val="005D08A5"/>
    <w:rsid w:val="005E576A"/>
    <w:rsid w:val="005F53CC"/>
    <w:rsid w:val="00612E1C"/>
    <w:rsid w:val="00621494"/>
    <w:rsid w:val="00661684"/>
    <w:rsid w:val="00662369"/>
    <w:rsid w:val="00682738"/>
    <w:rsid w:val="0069018C"/>
    <w:rsid w:val="006A5C0B"/>
    <w:rsid w:val="006E1830"/>
    <w:rsid w:val="006E5F72"/>
    <w:rsid w:val="006E6024"/>
    <w:rsid w:val="0072546C"/>
    <w:rsid w:val="00743C88"/>
    <w:rsid w:val="00743F19"/>
    <w:rsid w:val="00743F90"/>
    <w:rsid w:val="00757EF1"/>
    <w:rsid w:val="00771FC6"/>
    <w:rsid w:val="00780580"/>
    <w:rsid w:val="00786BEE"/>
    <w:rsid w:val="007A33D8"/>
    <w:rsid w:val="007A675F"/>
    <w:rsid w:val="007B7B11"/>
    <w:rsid w:val="0080664E"/>
    <w:rsid w:val="008078C1"/>
    <w:rsid w:val="00813FBE"/>
    <w:rsid w:val="0085136B"/>
    <w:rsid w:val="00867A27"/>
    <w:rsid w:val="008E08A6"/>
    <w:rsid w:val="0090278F"/>
    <w:rsid w:val="00911FD0"/>
    <w:rsid w:val="009403E8"/>
    <w:rsid w:val="00951C8F"/>
    <w:rsid w:val="0097567D"/>
    <w:rsid w:val="0098778E"/>
    <w:rsid w:val="0099754E"/>
    <w:rsid w:val="009C078C"/>
    <w:rsid w:val="009C70DA"/>
    <w:rsid w:val="00A01E5E"/>
    <w:rsid w:val="00A259DE"/>
    <w:rsid w:val="00A53C07"/>
    <w:rsid w:val="00A67514"/>
    <w:rsid w:val="00A94A09"/>
    <w:rsid w:val="00A94F4C"/>
    <w:rsid w:val="00AB1F11"/>
    <w:rsid w:val="00AC57DB"/>
    <w:rsid w:val="00AE5984"/>
    <w:rsid w:val="00AE672B"/>
    <w:rsid w:val="00B04C42"/>
    <w:rsid w:val="00B075C5"/>
    <w:rsid w:val="00B11621"/>
    <w:rsid w:val="00B21A9A"/>
    <w:rsid w:val="00B3283A"/>
    <w:rsid w:val="00B40896"/>
    <w:rsid w:val="00B44965"/>
    <w:rsid w:val="00B46F38"/>
    <w:rsid w:val="00B6192A"/>
    <w:rsid w:val="00B86D50"/>
    <w:rsid w:val="00B90AA6"/>
    <w:rsid w:val="00BA39D7"/>
    <w:rsid w:val="00BB0D7D"/>
    <w:rsid w:val="00BB470F"/>
    <w:rsid w:val="00BB6591"/>
    <w:rsid w:val="00BC48C3"/>
    <w:rsid w:val="00BE0634"/>
    <w:rsid w:val="00BE3257"/>
    <w:rsid w:val="00BE6107"/>
    <w:rsid w:val="00BF650A"/>
    <w:rsid w:val="00BF676B"/>
    <w:rsid w:val="00C07A0D"/>
    <w:rsid w:val="00C22B16"/>
    <w:rsid w:val="00C567E9"/>
    <w:rsid w:val="00C619D5"/>
    <w:rsid w:val="00C61A40"/>
    <w:rsid w:val="00C70F89"/>
    <w:rsid w:val="00C84291"/>
    <w:rsid w:val="00CA6325"/>
    <w:rsid w:val="00CA66FD"/>
    <w:rsid w:val="00CA6FA9"/>
    <w:rsid w:val="00CB2D43"/>
    <w:rsid w:val="00CC641C"/>
    <w:rsid w:val="00CE1280"/>
    <w:rsid w:val="00CE1F45"/>
    <w:rsid w:val="00D07362"/>
    <w:rsid w:val="00D13A3F"/>
    <w:rsid w:val="00D15773"/>
    <w:rsid w:val="00D34B17"/>
    <w:rsid w:val="00D5063D"/>
    <w:rsid w:val="00D51446"/>
    <w:rsid w:val="00D53F59"/>
    <w:rsid w:val="00D600D2"/>
    <w:rsid w:val="00D62792"/>
    <w:rsid w:val="00D66AED"/>
    <w:rsid w:val="00D72607"/>
    <w:rsid w:val="00D84937"/>
    <w:rsid w:val="00D84E91"/>
    <w:rsid w:val="00D90AF2"/>
    <w:rsid w:val="00D91232"/>
    <w:rsid w:val="00D94B3B"/>
    <w:rsid w:val="00DB191B"/>
    <w:rsid w:val="00DB4910"/>
    <w:rsid w:val="00DD2FC3"/>
    <w:rsid w:val="00DE28C7"/>
    <w:rsid w:val="00DF6161"/>
    <w:rsid w:val="00E06A16"/>
    <w:rsid w:val="00E10A7D"/>
    <w:rsid w:val="00E128FE"/>
    <w:rsid w:val="00E20397"/>
    <w:rsid w:val="00E26CFE"/>
    <w:rsid w:val="00E31217"/>
    <w:rsid w:val="00E442C6"/>
    <w:rsid w:val="00E50146"/>
    <w:rsid w:val="00E570C0"/>
    <w:rsid w:val="00E6167B"/>
    <w:rsid w:val="00E83D52"/>
    <w:rsid w:val="00E8419B"/>
    <w:rsid w:val="00E87516"/>
    <w:rsid w:val="00E95245"/>
    <w:rsid w:val="00EB1E48"/>
    <w:rsid w:val="00ED4D70"/>
    <w:rsid w:val="00EF4E5A"/>
    <w:rsid w:val="00F00564"/>
    <w:rsid w:val="00F00CF8"/>
    <w:rsid w:val="00F01CF3"/>
    <w:rsid w:val="00F02F2C"/>
    <w:rsid w:val="00F10310"/>
    <w:rsid w:val="00F2674B"/>
    <w:rsid w:val="00F31253"/>
    <w:rsid w:val="00F32C7D"/>
    <w:rsid w:val="00F41E86"/>
    <w:rsid w:val="00F53306"/>
    <w:rsid w:val="00F57869"/>
    <w:rsid w:val="00F646EC"/>
    <w:rsid w:val="00F712CA"/>
    <w:rsid w:val="00F8077F"/>
    <w:rsid w:val="00F86C38"/>
    <w:rsid w:val="00F9239B"/>
    <w:rsid w:val="00F96175"/>
    <w:rsid w:val="00FC755D"/>
    <w:rsid w:val="00FE4A38"/>
    <w:rsid w:val="00FF1DB3"/>
    <w:rsid w:val="00FF7157"/>
    <w:rsid w:val="019A72C3"/>
    <w:rsid w:val="01BD7A4F"/>
    <w:rsid w:val="01FD609D"/>
    <w:rsid w:val="021B3A51"/>
    <w:rsid w:val="02467A44"/>
    <w:rsid w:val="02485D4E"/>
    <w:rsid w:val="02502671"/>
    <w:rsid w:val="028D5673"/>
    <w:rsid w:val="02A74B69"/>
    <w:rsid w:val="030D40BE"/>
    <w:rsid w:val="036D7252"/>
    <w:rsid w:val="039C3694"/>
    <w:rsid w:val="03B517B6"/>
    <w:rsid w:val="03D80B70"/>
    <w:rsid w:val="04041B84"/>
    <w:rsid w:val="04244C2B"/>
    <w:rsid w:val="04637F4A"/>
    <w:rsid w:val="047A1C27"/>
    <w:rsid w:val="0481160A"/>
    <w:rsid w:val="05137045"/>
    <w:rsid w:val="055C132D"/>
    <w:rsid w:val="056F1060"/>
    <w:rsid w:val="05AF4AD5"/>
    <w:rsid w:val="05BA5726"/>
    <w:rsid w:val="05C55124"/>
    <w:rsid w:val="05CC6835"/>
    <w:rsid w:val="06047505"/>
    <w:rsid w:val="0630207D"/>
    <w:rsid w:val="06410273"/>
    <w:rsid w:val="06D55B7F"/>
    <w:rsid w:val="07084981"/>
    <w:rsid w:val="07126147"/>
    <w:rsid w:val="0720731E"/>
    <w:rsid w:val="07C733D5"/>
    <w:rsid w:val="07CF5DE6"/>
    <w:rsid w:val="081221F3"/>
    <w:rsid w:val="08517143"/>
    <w:rsid w:val="08732C15"/>
    <w:rsid w:val="08DC060A"/>
    <w:rsid w:val="08DE0857"/>
    <w:rsid w:val="092C49E1"/>
    <w:rsid w:val="09A92503"/>
    <w:rsid w:val="09BC6344"/>
    <w:rsid w:val="0A3C1915"/>
    <w:rsid w:val="0A5174AF"/>
    <w:rsid w:val="0ABB4D47"/>
    <w:rsid w:val="0ACC483E"/>
    <w:rsid w:val="0B2156D9"/>
    <w:rsid w:val="0B4D776A"/>
    <w:rsid w:val="0B563C8D"/>
    <w:rsid w:val="0B643275"/>
    <w:rsid w:val="0BBB09FA"/>
    <w:rsid w:val="0C0A6D84"/>
    <w:rsid w:val="0C21076C"/>
    <w:rsid w:val="0CE819B9"/>
    <w:rsid w:val="0D12612A"/>
    <w:rsid w:val="0D4F1601"/>
    <w:rsid w:val="0D5A1288"/>
    <w:rsid w:val="0D811A27"/>
    <w:rsid w:val="0DB42D0D"/>
    <w:rsid w:val="0DEB066E"/>
    <w:rsid w:val="0E0D7C07"/>
    <w:rsid w:val="0E107158"/>
    <w:rsid w:val="0E1078EC"/>
    <w:rsid w:val="0E206326"/>
    <w:rsid w:val="0E24793C"/>
    <w:rsid w:val="0E694B22"/>
    <w:rsid w:val="0E984C00"/>
    <w:rsid w:val="0ECA0936"/>
    <w:rsid w:val="0ED168E7"/>
    <w:rsid w:val="0F5F7DDB"/>
    <w:rsid w:val="0F781459"/>
    <w:rsid w:val="0FA47B58"/>
    <w:rsid w:val="0FFA0530"/>
    <w:rsid w:val="0FFD6DBB"/>
    <w:rsid w:val="10064B6E"/>
    <w:rsid w:val="10094CB2"/>
    <w:rsid w:val="104D6442"/>
    <w:rsid w:val="106E4516"/>
    <w:rsid w:val="107E334F"/>
    <w:rsid w:val="10901DC8"/>
    <w:rsid w:val="10A35B47"/>
    <w:rsid w:val="10BD32FC"/>
    <w:rsid w:val="10CD30DE"/>
    <w:rsid w:val="10F25464"/>
    <w:rsid w:val="112E4E6A"/>
    <w:rsid w:val="115E01DA"/>
    <w:rsid w:val="11731ED8"/>
    <w:rsid w:val="11A43388"/>
    <w:rsid w:val="11DE59CB"/>
    <w:rsid w:val="11FC47FC"/>
    <w:rsid w:val="12632B44"/>
    <w:rsid w:val="12E70D48"/>
    <w:rsid w:val="13174832"/>
    <w:rsid w:val="13900D91"/>
    <w:rsid w:val="141D4DF6"/>
    <w:rsid w:val="145E7833"/>
    <w:rsid w:val="14840AEE"/>
    <w:rsid w:val="14C8078D"/>
    <w:rsid w:val="15020B6D"/>
    <w:rsid w:val="15192D96"/>
    <w:rsid w:val="15485D0C"/>
    <w:rsid w:val="157F58D1"/>
    <w:rsid w:val="15920B34"/>
    <w:rsid w:val="16227A29"/>
    <w:rsid w:val="163E4320"/>
    <w:rsid w:val="167F2A48"/>
    <w:rsid w:val="16E838E4"/>
    <w:rsid w:val="176A2DC7"/>
    <w:rsid w:val="17D411F6"/>
    <w:rsid w:val="17FA6EAF"/>
    <w:rsid w:val="1807337A"/>
    <w:rsid w:val="18356139"/>
    <w:rsid w:val="18982466"/>
    <w:rsid w:val="18AD3F21"/>
    <w:rsid w:val="18D23D72"/>
    <w:rsid w:val="18F57676"/>
    <w:rsid w:val="18F90F15"/>
    <w:rsid w:val="19247C5E"/>
    <w:rsid w:val="19571BA8"/>
    <w:rsid w:val="19A416FC"/>
    <w:rsid w:val="19B402D7"/>
    <w:rsid w:val="19C56D0D"/>
    <w:rsid w:val="19D64A65"/>
    <w:rsid w:val="19E32408"/>
    <w:rsid w:val="1A025464"/>
    <w:rsid w:val="1A19011F"/>
    <w:rsid w:val="1ACD4355"/>
    <w:rsid w:val="1B001394"/>
    <w:rsid w:val="1B3004D9"/>
    <w:rsid w:val="1B4965A8"/>
    <w:rsid w:val="1B9967F8"/>
    <w:rsid w:val="1BCB4C3A"/>
    <w:rsid w:val="1BF15C18"/>
    <w:rsid w:val="1C4458B8"/>
    <w:rsid w:val="1C5172BA"/>
    <w:rsid w:val="1CAD0241"/>
    <w:rsid w:val="1CBC00AC"/>
    <w:rsid w:val="1CD23133"/>
    <w:rsid w:val="1CDD746A"/>
    <w:rsid w:val="1D440BCC"/>
    <w:rsid w:val="1D622CB7"/>
    <w:rsid w:val="1D81772B"/>
    <w:rsid w:val="1DA0364C"/>
    <w:rsid w:val="1DE877AA"/>
    <w:rsid w:val="1E0C01A8"/>
    <w:rsid w:val="1E504B05"/>
    <w:rsid w:val="1E9D7455"/>
    <w:rsid w:val="1EB3656C"/>
    <w:rsid w:val="1EB678A8"/>
    <w:rsid w:val="1EFF4C85"/>
    <w:rsid w:val="1F5D5F2E"/>
    <w:rsid w:val="1F911CDF"/>
    <w:rsid w:val="1F9D6372"/>
    <w:rsid w:val="1FBB65EE"/>
    <w:rsid w:val="20140D2A"/>
    <w:rsid w:val="20210D51"/>
    <w:rsid w:val="20D01204"/>
    <w:rsid w:val="21854DC4"/>
    <w:rsid w:val="218C2F7B"/>
    <w:rsid w:val="21A41057"/>
    <w:rsid w:val="22011E87"/>
    <w:rsid w:val="222044F5"/>
    <w:rsid w:val="223672F9"/>
    <w:rsid w:val="223B390C"/>
    <w:rsid w:val="22570400"/>
    <w:rsid w:val="228710B6"/>
    <w:rsid w:val="22874EBD"/>
    <w:rsid w:val="22D27FDA"/>
    <w:rsid w:val="23033CC6"/>
    <w:rsid w:val="234C67A9"/>
    <w:rsid w:val="2368252B"/>
    <w:rsid w:val="23841D23"/>
    <w:rsid w:val="23A76F89"/>
    <w:rsid w:val="24525F11"/>
    <w:rsid w:val="246A7EC5"/>
    <w:rsid w:val="246C2EE2"/>
    <w:rsid w:val="247D0516"/>
    <w:rsid w:val="24C90AB3"/>
    <w:rsid w:val="25A8285D"/>
    <w:rsid w:val="263E2807"/>
    <w:rsid w:val="26437C73"/>
    <w:rsid w:val="26801958"/>
    <w:rsid w:val="2681079B"/>
    <w:rsid w:val="26D0702D"/>
    <w:rsid w:val="26EF1BA9"/>
    <w:rsid w:val="271C2272"/>
    <w:rsid w:val="27487A38"/>
    <w:rsid w:val="275126C2"/>
    <w:rsid w:val="27675BE3"/>
    <w:rsid w:val="278247CB"/>
    <w:rsid w:val="27A75888"/>
    <w:rsid w:val="27BA0284"/>
    <w:rsid w:val="284173D1"/>
    <w:rsid w:val="284B2E0F"/>
    <w:rsid w:val="28B071F0"/>
    <w:rsid w:val="2929461C"/>
    <w:rsid w:val="296357C2"/>
    <w:rsid w:val="296F0BE0"/>
    <w:rsid w:val="299B2F17"/>
    <w:rsid w:val="29A3687F"/>
    <w:rsid w:val="29C54CA5"/>
    <w:rsid w:val="29FA6444"/>
    <w:rsid w:val="2A1D050C"/>
    <w:rsid w:val="2A293771"/>
    <w:rsid w:val="2A5F59F9"/>
    <w:rsid w:val="2AC84BEB"/>
    <w:rsid w:val="2B30460B"/>
    <w:rsid w:val="2B3202B6"/>
    <w:rsid w:val="2B6310DF"/>
    <w:rsid w:val="2BF47306"/>
    <w:rsid w:val="2C4228B5"/>
    <w:rsid w:val="2C433E70"/>
    <w:rsid w:val="2C5A5D2B"/>
    <w:rsid w:val="2C9F5E1F"/>
    <w:rsid w:val="2D056347"/>
    <w:rsid w:val="2D0F08AF"/>
    <w:rsid w:val="2D591D56"/>
    <w:rsid w:val="2DF420DB"/>
    <w:rsid w:val="2E4C37F6"/>
    <w:rsid w:val="2E55090F"/>
    <w:rsid w:val="2E7654B7"/>
    <w:rsid w:val="2EC437BF"/>
    <w:rsid w:val="2EDF69A7"/>
    <w:rsid w:val="2EE6563F"/>
    <w:rsid w:val="2F327118"/>
    <w:rsid w:val="2F3E291A"/>
    <w:rsid w:val="2FF67A56"/>
    <w:rsid w:val="308467C3"/>
    <w:rsid w:val="30BD7063"/>
    <w:rsid w:val="30FB0F24"/>
    <w:rsid w:val="31230DCD"/>
    <w:rsid w:val="31293F09"/>
    <w:rsid w:val="314A7D51"/>
    <w:rsid w:val="316166EE"/>
    <w:rsid w:val="31723BE8"/>
    <w:rsid w:val="318D26EA"/>
    <w:rsid w:val="318F3C1E"/>
    <w:rsid w:val="320878B3"/>
    <w:rsid w:val="32192170"/>
    <w:rsid w:val="322F075A"/>
    <w:rsid w:val="32D26095"/>
    <w:rsid w:val="32F35448"/>
    <w:rsid w:val="336F0C4C"/>
    <w:rsid w:val="33720C8C"/>
    <w:rsid w:val="34293AED"/>
    <w:rsid w:val="342F7A89"/>
    <w:rsid w:val="35284C04"/>
    <w:rsid w:val="354237EC"/>
    <w:rsid w:val="35EE32DB"/>
    <w:rsid w:val="35EF74CF"/>
    <w:rsid w:val="36582A3B"/>
    <w:rsid w:val="366B6586"/>
    <w:rsid w:val="368340BC"/>
    <w:rsid w:val="36A71957"/>
    <w:rsid w:val="36BF3346"/>
    <w:rsid w:val="36FD3E6E"/>
    <w:rsid w:val="37384FFF"/>
    <w:rsid w:val="373B4F5B"/>
    <w:rsid w:val="37841E99"/>
    <w:rsid w:val="37F34E69"/>
    <w:rsid w:val="37F76901"/>
    <w:rsid w:val="3810714A"/>
    <w:rsid w:val="38141592"/>
    <w:rsid w:val="383034F5"/>
    <w:rsid w:val="385F1C95"/>
    <w:rsid w:val="386115E2"/>
    <w:rsid w:val="389B16E6"/>
    <w:rsid w:val="38C42F04"/>
    <w:rsid w:val="38E30E42"/>
    <w:rsid w:val="39190AF4"/>
    <w:rsid w:val="39352EB8"/>
    <w:rsid w:val="398C0E94"/>
    <w:rsid w:val="3A192D6D"/>
    <w:rsid w:val="3A3053DE"/>
    <w:rsid w:val="3A6164C2"/>
    <w:rsid w:val="3A7360DE"/>
    <w:rsid w:val="3A7E52C6"/>
    <w:rsid w:val="3AA13CDB"/>
    <w:rsid w:val="3AC96650"/>
    <w:rsid w:val="3AF92B9E"/>
    <w:rsid w:val="3B4E12CF"/>
    <w:rsid w:val="3B5A61DE"/>
    <w:rsid w:val="3B7235DF"/>
    <w:rsid w:val="3BA020B1"/>
    <w:rsid w:val="3BCE5DD9"/>
    <w:rsid w:val="3BD55978"/>
    <w:rsid w:val="3BE4693D"/>
    <w:rsid w:val="3BF323D7"/>
    <w:rsid w:val="3C300288"/>
    <w:rsid w:val="3CF96E86"/>
    <w:rsid w:val="3D066566"/>
    <w:rsid w:val="3D2345BF"/>
    <w:rsid w:val="3D2D7D8C"/>
    <w:rsid w:val="3D646E47"/>
    <w:rsid w:val="3D8B5F3C"/>
    <w:rsid w:val="3DCA5CC6"/>
    <w:rsid w:val="3DF05D9E"/>
    <w:rsid w:val="3DF409AE"/>
    <w:rsid w:val="3E171CB9"/>
    <w:rsid w:val="3E66047D"/>
    <w:rsid w:val="3EF90734"/>
    <w:rsid w:val="3F117728"/>
    <w:rsid w:val="3F6A6D7E"/>
    <w:rsid w:val="3F9123ED"/>
    <w:rsid w:val="3FBE2D3B"/>
    <w:rsid w:val="3FDB0975"/>
    <w:rsid w:val="3FE736DD"/>
    <w:rsid w:val="40291830"/>
    <w:rsid w:val="402B1BAA"/>
    <w:rsid w:val="403E177F"/>
    <w:rsid w:val="409A44DC"/>
    <w:rsid w:val="40AC4411"/>
    <w:rsid w:val="40DA2725"/>
    <w:rsid w:val="41016F3C"/>
    <w:rsid w:val="416D3833"/>
    <w:rsid w:val="417B60BB"/>
    <w:rsid w:val="418A5458"/>
    <w:rsid w:val="418E1DC0"/>
    <w:rsid w:val="42072045"/>
    <w:rsid w:val="422E0FAE"/>
    <w:rsid w:val="42723962"/>
    <w:rsid w:val="42903E8E"/>
    <w:rsid w:val="429B7313"/>
    <w:rsid w:val="42A41373"/>
    <w:rsid w:val="43265F3B"/>
    <w:rsid w:val="439515E0"/>
    <w:rsid w:val="43A01E09"/>
    <w:rsid w:val="43DC4103"/>
    <w:rsid w:val="44C47F1C"/>
    <w:rsid w:val="452572E5"/>
    <w:rsid w:val="45E56AC1"/>
    <w:rsid w:val="462A3576"/>
    <w:rsid w:val="466D4964"/>
    <w:rsid w:val="46B5206F"/>
    <w:rsid w:val="46C44060"/>
    <w:rsid w:val="46DA412D"/>
    <w:rsid w:val="46DC4913"/>
    <w:rsid w:val="46DD157B"/>
    <w:rsid w:val="46E60F7F"/>
    <w:rsid w:val="473D5595"/>
    <w:rsid w:val="47E4750D"/>
    <w:rsid w:val="48741AB6"/>
    <w:rsid w:val="48774220"/>
    <w:rsid w:val="48AA69E3"/>
    <w:rsid w:val="48AD7D90"/>
    <w:rsid w:val="495B488E"/>
    <w:rsid w:val="49651BBB"/>
    <w:rsid w:val="49E50EBD"/>
    <w:rsid w:val="4A000B55"/>
    <w:rsid w:val="4A13027D"/>
    <w:rsid w:val="4A1C2BC4"/>
    <w:rsid w:val="4A226450"/>
    <w:rsid w:val="4A5C0B99"/>
    <w:rsid w:val="4A5C2ABF"/>
    <w:rsid w:val="4A7E48B0"/>
    <w:rsid w:val="4A8E707A"/>
    <w:rsid w:val="4B15132F"/>
    <w:rsid w:val="4BE551A5"/>
    <w:rsid w:val="4BE84DFF"/>
    <w:rsid w:val="4C13537E"/>
    <w:rsid w:val="4C735741"/>
    <w:rsid w:val="4C856040"/>
    <w:rsid w:val="4CC72756"/>
    <w:rsid w:val="4D5D6FBD"/>
    <w:rsid w:val="4D73233C"/>
    <w:rsid w:val="4DAF7DAA"/>
    <w:rsid w:val="4E143B1F"/>
    <w:rsid w:val="4E1C5A3D"/>
    <w:rsid w:val="4E404914"/>
    <w:rsid w:val="4E54015F"/>
    <w:rsid w:val="4EC3367F"/>
    <w:rsid w:val="4F2B64A3"/>
    <w:rsid w:val="4F552641"/>
    <w:rsid w:val="4F731FA8"/>
    <w:rsid w:val="4F743445"/>
    <w:rsid w:val="4FF7153F"/>
    <w:rsid w:val="503A7029"/>
    <w:rsid w:val="50CE4BF3"/>
    <w:rsid w:val="50DD28EE"/>
    <w:rsid w:val="51086A6C"/>
    <w:rsid w:val="51263E3D"/>
    <w:rsid w:val="51C21AE4"/>
    <w:rsid w:val="520B348B"/>
    <w:rsid w:val="52305F74"/>
    <w:rsid w:val="5240242F"/>
    <w:rsid w:val="527F3531"/>
    <w:rsid w:val="529225ED"/>
    <w:rsid w:val="52D7511B"/>
    <w:rsid w:val="530F3211"/>
    <w:rsid w:val="53283BC9"/>
    <w:rsid w:val="534B5E10"/>
    <w:rsid w:val="5361671E"/>
    <w:rsid w:val="53780C68"/>
    <w:rsid w:val="537C4891"/>
    <w:rsid w:val="53FC6270"/>
    <w:rsid w:val="544248FD"/>
    <w:rsid w:val="54B261F9"/>
    <w:rsid w:val="54B576DE"/>
    <w:rsid w:val="54E0636E"/>
    <w:rsid w:val="54ED50CA"/>
    <w:rsid w:val="54F52345"/>
    <w:rsid w:val="551D175C"/>
    <w:rsid w:val="5554184F"/>
    <w:rsid w:val="55572F5F"/>
    <w:rsid w:val="559A6F24"/>
    <w:rsid w:val="55A75279"/>
    <w:rsid w:val="55F33F61"/>
    <w:rsid w:val="55FC5E1B"/>
    <w:rsid w:val="560439C7"/>
    <w:rsid w:val="565B2BB4"/>
    <w:rsid w:val="56B57E6A"/>
    <w:rsid w:val="56CD6F61"/>
    <w:rsid w:val="56EC7DB0"/>
    <w:rsid w:val="57871740"/>
    <w:rsid w:val="578728C0"/>
    <w:rsid w:val="57905034"/>
    <w:rsid w:val="57EB2076"/>
    <w:rsid w:val="583A7EEE"/>
    <w:rsid w:val="583D46F0"/>
    <w:rsid w:val="589C25D9"/>
    <w:rsid w:val="58CA7830"/>
    <w:rsid w:val="58D83293"/>
    <w:rsid w:val="58DA5965"/>
    <w:rsid w:val="595A74AC"/>
    <w:rsid w:val="59626B1C"/>
    <w:rsid w:val="598002E5"/>
    <w:rsid w:val="598B6C60"/>
    <w:rsid w:val="59B976C6"/>
    <w:rsid w:val="5A46284E"/>
    <w:rsid w:val="5A470DD9"/>
    <w:rsid w:val="5A6E0A5B"/>
    <w:rsid w:val="5A7E2748"/>
    <w:rsid w:val="5B635104"/>
    <w:rsid w:val="5B7E4CCE"/>
    <w:rsid w:val="5B9E2C7A"/>
    <w:rsid w:val="5BBE331C"/>
    <w:rsid w:val="5BFF211A"/>
    <w:rsid w:val="5C1F61D9"/>
    <w:rsid w:val="5C687516"/>
    <w:rsid w:val="5C9F72CD"/>
    <w:rsid w:val="5CC91F79"/>
    <w:rsid w:val="5CE764F9"/>
    <w:rsid w:val="5D7874FB"/>
    <w:rsid w:val="5D7E6BD8"/>
    <w:rsid w:val="5DDB01B6"/>
    <w:rsid w:val="5E3668B4"/>
    <w:rsid w:val="5E3E6E2C"/>
    <w:rsid w:val="5E473A9D"/>
    <w:rsid w:val="5E4B41A7"/>
    <w:rsid w:val="5EC034D2"/>
    <w:rsid w:val="5ECB2CD4"/>
    <w:rsid w:val="5ED21ABB"/>
    <w:rsid w:val="5EDF3CD6"/>
    <w:rsid w:val="5EEF2947"/>
    <w:rsid w:val="5F053010"/>
    <w:rsid w:val="5F103E8F"/>
    <w:rsid w:val="5F36141C"/>
    <w:rsid w:val="5F4D284C"/>
    <w:rsid w:val="5FC2250C"/>
    <w:rsid w:val="5FF5072D"/>
    <w:rsid w:val="600F790C"/>
    <w:rsid w:val="60B151FE"/>
    <w:rsid w:val="60B847DE"/>
    <w:rsid w:val="60CC028A"/>
    <w:rsid w:val="60E41582"/>
    <w:rsid w:val="60EC4488"/>
    <w:rsid w:val="611917FB"/>
    <w:rsid w:val="616B35FF"/>
    <w:rsid w:val="616E4564"/>
    <w:rsid w:val="618F6C7B"/>
    <w:rsid w:val="619A2136"/>
    <w:rsid w:val="61A53EEA"/>
    <w:rsid w:val="61B9080E"/>
    <w:rsid w:val="622639C9"/>
    <w:rsid w:val="62C84A81"/>
    <w:rsid w:val="63BC45E5"/>
    <w:rsid w:val="63D74F7B"/>
    <w:rsid w:val="63E50B16"/>
    <w:rsid w:val="63F0428F"/>
    <w:rsid w:val="63F57AF7"/>
    <w:rsid w:val="642F3009"/>
    <w:rsid w:val="644D16E1"/>
    <w:rsid w:val="64833BB3"/>
    <w:rsid w:val="64BD1529"/>
    <w:rsid w:val="6509385A"/>
    <w:rsid w:val="656268A5"/>
    <w:rsid w:val="65B25DA9"/>
    <w:rsid w:val="65DF2E70"/>
    <w:rsid w:val="66131883"/>
    <w:rsid w:val="664621D7"/>
    <w:rsid w:val="66741CD9"/>
    <w:rsid w:val="66E75E1D"/>
    <w:rsid w:val="67204DF1"/>
    <w:rsid w:val="676A4FB9"/>
    <w:rsid w:val="67C9107F"/>
    <w:rsid w:val="681A7B2C"/>
    <w:rsid w:val="686804BD"/>
    <w:rsid w:val="68B946CD"/>
    <w:rsid w:val="68C265F6"/>
    <w:rsid w:val="68D30FE6"/>
    <w:rsid w:val="68EE6105"/>
    <w:rsid w:val="69007D21"/>
    <w:rsid w:val="69BD3298"/>
    <w:rsid w:val="6A0520D4"/>
    <w:rsid w:val="6A5A662A"/>
    <w:rsid w:val="6B0A2C9B"/>
    <w:rsid w:val="6B65422C"/>
    <w:rsid w:val="6B6A2106"/>
    <w:rsid w:val="6B737C7F"/>
    <w:rsid w:val="6B9320D0"/>
    <w:rsid w:val="6BBB1721"/>
    <w:rsid w:val="6BBD7D63"/>
    <w:rsid w:val="6C50330F"/>
    <w:rsid w:val="6C9D3246"/>
    <w:rsid w:val="6D2E5676"/>
    <w:rsid w:val="6D4318D3"/>
    <w:rsid w:val="6D4D2752"/>
    <w:rsid w:val="6E073809"/>
    <w:rsid w:val="6E19496C"/>
    <w:rsid w:val="6E580BFC"/>
    <w:rsid w:val="6E5D69C5"/>
    <w:rsid w:val="6E6E75D4"/>
    <w:rsid w:val="6EC36FA8"/>
    <w:rsid w:val="6F683873"/>
    <w:rsid w:val="6FF11ABB"/>
    <w:rsid w:val="701A6601"/>
    <w:rsid w:val="70232D80"/>
    <w:rsid w:val="70C83E0C"/>
    <w:rsid w:val="712825BD"/>
    <w:rsid w:val="714248E6"/>
    <w:rsid w:val="716314C9"/>
    <w:rsid w:val="719B1CDE"/>
    <w:rsid w:val="71B54D7D"/>
    <w:rsid w:val="71C31235"/>
    <w:rsid w:val="71F907B3"/>
    <w:rsid w:val="72850298"/>
    <w:rsid w:val="72BD5C84"/>
    <w:rsid w:val="72D456AE"/>
    <w:rsid w:val="73612AB3"/>
    <w:rsid w:val="738F25F9"/>
    <w:rsid w:val="739C4E05"/>
    <w:rsid w:val="741B2182"/>
    <w:rsid w:val="741B30D4"/>
    <w:rsid w:val="7434610D"/>
    <w:rsid w:val="752866F5"/>
    <w:rsid w:val="756643B1"/>
    <w:rsid w:val="757F42FF"/>
    <w:rsid w:val="7621299C"/>
    <w:rsid w:val="764E733D"/>
    <w:rsid w:val="765E152C"/>
    <w:rsid w:val="76773BC4"/>
    <w:rsid w:val="768705F7"/>
    <w:rsid w:val="76E01F41"/>
    <w:rsid w:val="76EB2151"/>
    <w:rsid w:val="77304C77"/>
    <w:rsid w:val="775D7A36"/>
    <w:rsid w:val="776D6F63"/>
    <w:rsid w:val="777A517D"/>
    <w:rsid w:val="77B73636"/>
    <w:rsid w:val="77C41912"/>
    <w:rsid w:val="77E74C20"/>
    <w:rsid w:val="77FA7033"/>
    <w:rsid w:val="786C06AD"/>
    <w:rsid w:val="79181E66"/>
    <w:rsid w:val="792112DC"/>
    <w:rsid w:val="792E05CD"/>
    <w:rsid w:val="79382508"/>
    <w:rsid w:val="7961416E"/>
    <w:rsid w:val="79A25BD4"/>
    <w:rsid w:val="7A04733B"/>
    <w:rsid w:val="7A275E65"/>
    <w:rsid w:val="7A331974"/>
    <w:rsid w:val="7A47723D"/>
    <w:rsid w:val="7A601041"/>
    <w:rsid w:val="7A7F056E"/>
    <w:rsid w:val="7B787050"/>
    <w:rsid w:val="7BDD17B9"/>
    <w:rsid w:val="7C0A2B75"/>
    <w:rsid w:val="7C1F175E"/>
    <w:rsid w:val="7C4864CC"/>
    <w:rsid w:val="7CA0289E"/>
    <w:rsid w:val="7CC12815"/>
    <w:rsid w:val="7CE364C8"/>
    <w:rsid w:val="7CE434CA"/>
    <w:rsid w:val="7D270F62"/>
    <w:rsid w:val="7D4C1980"/>
    <w:rsid w:val="7D4E22FA"/>
    <w:rsid w:val="7DA31DEA"/>
    <w:rsid w:val="7DB76E0E"/>
    <w:rsid w:val="7DF9468E"/>
    <w:rsid w:val="7E007736"/>
    <w:rsid w:val="7E395F6A"/>
    <w:rsid w:val="7E3A4DF2"/>
    <w:rsid w:val="7EC23458"/>
    <w:rsid w:val="7ED9389D"/>
    <w:rsid w:val="7F3177DE"/>
    <w:rsid w:val="7FB3519E"/>
    <w:rsid w:val="7FC559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Microsoft Himalaya"/>
      <w:kern w:val="2"/>
      <w:sz w:val="21"/>
      <w:szCs w:val="22"/>
      <w:lang w:val="en-US" w:eastAsia="zh-CN" w:bidi="ar-SA"/>
    </w:rPr>
  </w:style>
  <w:style w:type="paragraph" w:styleId="2">
    <w:name w:val="heading 1"/>
    <w:basedOn w:val="1"/>
    <w:next w:val="1"/>
    <w:autoRedefine/>
    <w:qFormat/>
    <w:locked/>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locked/>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locked/>
    <w:uiPriority w:val="0"/>
    <w:pPr>
      <w:keepNext/>
      <w:keepLines/>
      <w:spacing w:before="260" w:after="260" w:line="413" w:lineRule="auto"/>
      <w:outlineLvl w:val="2"/>
    </w:pPr>
    <w:rPr>
      <w:b/>
      <w:sz w:val="32"/>
    </w:rPr>
  </w:style>
  <w:style w:type="paragraph" w:styleId="5">
    <w:name w:val="heading 4"/>
    <w:basedOn w:val="1"/>
    <w:next w:val="1"/>
    <w:autoRedefine/>
    <w:unhideWhenUsed/>
    <w:qFormat/>
    <w:locked/>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next w:val="7"/>
    <w:link w:val="24"/>
    <w:autoRedefine/>
    <w:qFormat/>
    <w:uiPriority w:val="99"/>
    <w:pPr>
      <w:spacing w:after="120"/>
    </w:pPr>
    <w:rPr>
      <w:rFonts w:ascii="Cambria" w:hAnsi="Cambria" w:cs="Cambria"/>
      <w:szCs w:val="24"/>
    </w:rPr>
  </w:style>
  <w:style w:type="paragraph" w:styleId="7">
    <w:name w:val="Body Text Indent"/>
    <w:basedOn w:val="1"/>
    <w:next w:val="1"/>
    <w:autoRedefine/>
    <w:qFormat/>
    <w:uiPriority w:val="0"/>
    <w:pPr>
      <w:adjustRightInd w:val="0"/>
      <w:snapToGrid w:val="0"/>
      <w:spacing w:line="500" w:lineRule="exact"/>
      <w:ind w:right="567" w:firstLine="720"/>
    </w:pPr>
  </w:style>
  <w:style w:type="paragraph" w:styleId="8">
    <w:name w:val="Date"/>
    <w:basedOn w:val="1"/>
    <w:next w:val="1"/>
    <w:link w:val="25"/>
    <w:autoRedefine/>
    <w:semiHidden/>
    <w:qFormat/>
    <w:uiPriority w:val="99"/>
    <w:pPr>
      <w:ind w:left="100" w:leftChars="2500"/>
    </w:pPr>
  </w:style>
  <w:style w:type="paragraph" w:styleId="9">
    <w:name w:val="Balloon Text"/>
    <w:basedOn w:val="1"/>
    <w:link w:val="26"/>
    <w:autoRedefine/>
    <w:semiHidden/>
    <w:qFormat/>
    <w:uiPriority w:val="99"/>
    <w:rPr>
      <w:sz w:val="18"/>
      <w:szCs w:val="18"/>
    </w:rPr>
  </w:style>
  <w:style w:type="paragraph" w:styleId="10">
    <w:name w:val="footer"/>
    <w:basedOn w:val="1"/>
    <w:link w:val="27"/>
    <w:autoRedefine/>
    <w:qFormat/>
    <w:uiPriority w:val="99"/>
    <w:pPr>
      <w:tabs>
        <w:tab w:val="center" w:pos="4153"/>
        <w:tab w:val="right" w:pos="8306"/>
      </w:tabs>
      <w:snapToGrid w:val="0"/>
      <w:jc w:val="left"/>
    </w:pPr>
    <w:rPr>
      <w:sz w:val="18"/>
      <w:szCs w:val="18"/>
    </w:rPr>
  </w:style>
  <w:style w:type="paragraph" w:styleId="11">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link w:val="29"/>
    <w:autoRedefine/>
    <w:qFormat/>
    <w:uiPriority w:val="99"/>
    <w:pPr>
      <w:spacing w:before="240" w:after="60"/>
      <w:jc w:val="center"/>
      <w:outlineLvl w:val="0"/>
    </w:pPr>
    <w:rPr>
      <w:rFonts w:ascii="Cambria" w:hAnsi="Cambria" w:cs="Times New Roman"/>
      <w:b/>
      <w:bCs/>
      <w:sz w:val="32"/>
      <w:szCs w:val="32"/>
    </w:rPr>
  </w:style>
  <w:style w:type="character" w:styleId="16">
    <w:name w:val="Strong"/>
    <w:basedOn w:val="15"/>
    <w:autoRedefine/>
    <w:qFormat/>
    <w:uiPriority w:val="99"/>
    <w:rPr>
      <w:rFonts w:cs="Times New Roman"/>
      <w:b/>
    </w:rPr>
  </w:style>
  <w:style w:type="character" w:styleId="17">
    <w:name w:val="FollowedHyperlink"/>
    <w:basedOn w:val="15"/>
    <w:autoRedefine/>
    <w:semiHidden/>
    <w:unhideWhenUsed/>
    <w:qFormat/>
    <w:uiPriority w:val="99"/>
    <w:rPr>
      <w:color w:val="004C7E"/>
      <w:u w:val="none"/>
    </w:rPr>
  </w:style>
  <w:style w:type="character" w:styleId="18">
    <w:name w:val="HTML Definition"/>
    <w:basedOn w:val="15"/>
    <w:autoRedefine/>
    <w:semiHidden/>
    <w:unhideWhenUsed/>
    <w:qFormat/>
    <w:uiPriority w:val="99"/>
    <w:rPr>
      <w:i/>
      <w:iCs/>
    </w:rPr>
  </w:style>
  <w:style w:type="character" w:styleId="19">
    <w:name w:val="Hyperlink"/>
    <w:basedOn w:val="15"/>
    <w:autoRedefine/>
    <w:semiHidden/>
    <w:unhideWhenUsed/>
    <w:qFormat/>
    <w:uiPriority w:val="99"/>
    <w:rPr>
      <w:color w:val="004C7E"/>
      <w:u w:val="none"/>
    </w:rPr>
  </w:style>
  <w:style w:type="character" w:styleId="20">
    <w:name w:val="HTML Code"/>
    <w:basedOn w:val="15"/>
    <w:autoRedefine/>
    <w:semiHidden/>
    <w:unhideWhenUsed/>
    <w:qFormat/>
    <w:uiPriority w:val="99"/>
    <w:rPr>
      <w:rFonts w:ascii="monospace" w:hAnsi="monospace" w:eastAsia="monospace" w:cs="monospace"/>
      <w:sz w:val="21"/>
      <w:szCs w:val="21"/>
    </w:rPr>
  </w:style>
  <w:style w:type="character" w:styleId="21">
    <w:name w:val="HTML Keyboard"/>
    <w:basedOn w:val="15"/>
    <w:autoRedefine/>
    <w:semiHidden/>
    <w:unhideWhenUsed/>
    <w:qFormat/>
    <w:uiPriority w:val="99"/>
    <w:rPr>
      <w:rFonts w:hint="default" w:ascii="monospace" w:hAnsi="monospace" w:eastAsia="monospace" w:cs="monospace"/>
      <w:sz w:val="21"/>
      <w:szCs w:val="21"/>
    </w:rPr>
  </w:style>
  <w:style w:type="character" w:styleId="22">
    <w:name w:val="HTML Sample"/>
    <w:basedOn w:val="15"/>
    <w:autoRedefine/>
    <w:semiHidden/>
    <w:unhideWhenUsed/>
    <w:qFormat/>
    <w:uiPriority w:val="99"/>
    <w:rPr>
      <w:rFonts w:hint="default" w:ascii="monospace" w:hAnsi="monospace" w:eastAsia="monospace" w:cs="monospace"/>
      <w:sz w:val="21"/>
      <w:szCs w:val="21"/>
    </w:rPr>
  </w:style>
  <w:style w:type="paragraph" w:customStyle="1" w:styleId="23">
    <w:name w:val="文件格式"/>
    <w:autoRedefine/>
    <w:qFormat/>
    <w:uiPriority w:val="0"/>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character" w:customStyle="1" w:styleId="24">
    <w:name w:val="正文文本 Char"/>
    <w:basedOn w:val="15"/>
    <w:link w:val="6"/>
    <w:autoRedefine/>
    <w:qFormat/>
    <w:locked/>
    <w:uiPriority w:val="99"/>
    <w:rPr>
      <w:rFonts w:ascii="Cambria" w:hAnsi="Cambria" w:eastAsia="宋体" w:cs="Cambria"/>
      <w:sz w:val="24"/>
      <w:szCs w:val="24"/>
    </w:rPr>
  </w:style>
  <w:style w:type="character" w:customStyle="1" w:styleId="25">
    <w:name w:val="日期 Char"/>
    <w:basedOn w:val="15"/>
    <w:link w:val="8"/>
    <w:autoRedefine/>
    <w:semiHidden/>
    <w:qFormat/>
    <w:locked/>
    <w:uiPriority w:val="99"/>
    <w:rPr>
      <w:rFonts w:cs="Times New Roman"/>
    </w:rPr>
  </w:style>
  <w:style w:type="character" w:customStyle="1" w:styleId="26">
    <w:name w:val="批注框文本 Char"/>
    <w:basedOn w:val="15"/>
    <w:link w:val="9"/>
    <w:autoRedefine/>
    <w:semiHidden/>
    <w:qFormat/>
    <w:locked/>
    <w:uiPriority w:val="99"/>
    <w:rPr>
      <w:rFonts w:cs="Times New Roman"/>
      <w:sz w:val="18"/>
      <w:szCs w:val="18"/>
    </w:rPr>
  </w:style>
  <w:style w:type="character" w:customStyle="1" w:styleId="27">
    <w:name w:val="页脚 Char"/>
    <w:basedOn w:val="15"/>
    <w:link w:val="10"/>
    <w:autoRedefine/>
    <w:qFormat/>
    <w:locked/>
    <w:uiPriority w:val="99"/>
    <w:rPr>
      <w:rFonts w:cs="Times New Roman"/>
      <w:sz w:val="18"/>
      <w:szCs w:val="18"/>
    </w:rPr>
  </w:style>
  <w:style w:type="character" w:customStyle="1" w:styleId="28">
    <w:name w:val="页眉 Char"/>
    <w:basedOn w:val="15"/>
    <w:link w:val="11"/>
    <w:autoRedefine/>
    <w:qFormat/>
    <w:locked/>
    <w:uiPriority w:val="99"/>
    <w:rPr>
      <w:rFonts w:cs="Times New Roman"/>
      <w:sz w:val="18"/>
      <w:szCs w:val="18"/>
    </w:rPr>
  </w:style>
  <w:style w:type="character" w:customStyle="1" w:styleId="29">
    <w:name w:val="标题 Char"/>
    <w:basedOn w:val="15"/>
    <w:link w:val="13"/>
    <w:autoRedefine/>
    <w:qFormat/>
    <w:locked/>
    <w:uiPriority w:val="99"/>
    <w:rPr>
      <w:rFonts w:ascii="Cambria" w:hAnsi="Cambria" w:eastAsia="宋体" w:cs="Times New Roman"/>
      <w:b/>
      <w:bCs/>
      <w:sz w:val="32"/>
      <w:szCs w:val="32"/>
    </w:rPr>
  </w:style>
  <w:style w:type="paragraph" w:styleId="30">
    <w:name w:val="List Paragraph"/>
    <w:basedOn w:val="1"/>
    <w:autoRedefine/>
    <w:qFormat/>
    <w:uiPriority w:val="99"/>
    <w:pPr>
      <w:ind w:firstLine="420" w:firstLineChars="200"/>
    </w:pPr>
    <w:rPr>
      <w:rFonts w:cs="Times New Roman"/>
    </w:rPr>
  </w:style>
  <w:style w:type="character" w:customStyle="1" w:styleId="31">
    <w:name w:val="codemirror-matchingbracket"/>
    <w:basedOn w:val="15"/>
    <w:autoRedefine/>
    <w:qFormat/>
    <w:uiPriority w:val="0"/>
    <w:rPr>
      <w:color w:val="00FF00"/>
    </w:rPr>
  </w:style>
  <w:style w:type="character" w:customStyle="1" w:styleId="32">
    <w:name w:val="codemirror-selectedtext"/>
    <w:basedOn w:val="15"/>
    <w:autoRedefine/>
    <w:qFormat/>
    <w:uiPriority w:val="0"/>
  </w:style>
  <w:style w:type="character" w:customStyle="1" w:styleId="33">
    <w:name w:val="ep4"/>
    <w:basedOn w:val="15"/>
    <w:autoRedefine/>
    <w:qFormat/>
    <w:uiPriority w:val="0"/>
    <w:rPr>
      <w:color w:val="36A75D"/>
    </w:rPr>
  </w:style>
  <w:style w:type="character" w:customStyle="1" w:styleId="34">
    <w:name w:val="codemirror-nonmatchingbracket"/>
    <w:basedOn w:val="15"/>
    <w:autoRedefine/>
    <w:qFormat/>
    <w:uiPriority w:val="0"/>
    <w:rPr>
      <w:color w:val="FF22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17</Pages>
  <Words>7787</Words>
  <Characters>8288</Characters>
  <Lines>45</Lines>
  <Paragraphs>12</Paragraphs>
  <TotalTime>2</TotalTime>
  <ScaleCrop>false</ScaleCrop>
  <LinksUpToDate>false</LinksUpToDate>
  <CharactersWithSpaces>8294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2021-02-24T12:59:00Z</dcterms:created>
  <dc:creator>ylf</dc:creator>
  <cp:lastModifiedBy>0℃</cp:lastModifiedBy>
  <cp:lastPrinted>2025-02-09T07:52:00Z</cp:lastPrinted>
  <dcterms:modified xsi:type="dcterms:W3CDTF">2025-04-10T09:12:44Z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SaveFontToCloudKey">
    <vt:lpwstr>290365266_cloud</vt:lpwstr>
  </property>
  <property fmtid="{D5CDD505-2E9C-101B-9397-08002B2CF9AE}" pid="4" name="ICV">
    <vt:lpwstr>D531EE0E9F8C4EF8B27E2B0BACA172EE_13</vt:lpwstr>
  </property>
  <property fmtid="{D5CDD505-2E9C-101B-9397-08002B2CF9AE}" pid="5" name="KSOTemplateDocerSaveRecord">
    <vt:lpwstr>eyJoZGlkIjoiYTQzYTNkYjEyMDg1ZDQzNjYyMTVjZmU1ZjQwMjQ4Y2IiLCJ1c2VySWQiOiIzNjAzNzEyMDMifQ==</vt:lpwstr>
  </property>
</Properties>
</file>