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94676F">
      <w:pPr>
        <w:pStyle w:val="25"/>
        <w:tabs>
          <w:tab w:val="right" w:leader="dot" w:pos="8306"/>
        </w:tabs>
        <w:spacing w:before="0" w:after="0" w:line="240" w:lineRule="auto"/>
        <w:ind w:firstLine="0" w:firstLineChars="0"/>
        <w:jc w:val="center"/>
        <w:rPr>
          <w:rFonts w:hint="eastAsia" w:ascii="方正小标宋_GBK" w:hAnsi="黑体" w:eastAsia="方正小标宋_GBK" w:cstheme="minorBidi"/>
          <w:b w:val="0"/>
          <w:bCs w:val="0"/>
          <w:caps w:val="0"/>
          <w:sz w:val="36"/>
          <w:szCs w:val="36"/>
        </w:rPr>
      </w:pPr>
      <w:bookmarkStart w:id="0" w:name="_Toc137159448"/>
      <w:bookmarkStart w:id="1" w:name="_Toc135567126"/>
      <w:bookmarkStart w:id="2" w:name="_Toc134965132"/>
      <w:bookmarkStart w:id="3" w:name="_Toc136980517"/>
      <w:bookmarkStart w:id="4" w:name="_Toc136502355"/>
      <w:bookmarkStart w:id="5" w:name="_Toc135596445"/>
      <w:bookmarkStart w:id="6" w:name="_Toc146063353"/>
      <w:bookmarkStart w:id="7" w:name="_Toc135940985"/>
      <w:bookmarkStart w:id="8" w:name="_Toc135575687"/>
      <w:bookmarkStart w:id="9" w:name="_Toc135150608"/>
      <w:bookmarkStart w:id="10" w:name="_Toc137395875"/>
      <w:bookmarkStart w:id="11" w:name="_Toc136471054"/>
      <w:r>
        <w:rPr>
          <w:rFonts w:hint="eastAsia" w:ascii="方正小标宋_GBK" w:hAnsi="黑体" w:eastAsia="方正小标宋_GBK" w:cstheme="minorBidi"/>
          <w:b w:val="0"/>
          <w:bCs w:val="0"/>
          <w:caps w:val="0"/>
          <w:sz w:val="36"/>
          <w:szCs w:val="36"/>
        </w:rPr>
        <w:t>目录</w:t>
      </w:r>
      <w:bookmarkEnd w:id="0"/>
      <w:bookmarkEnd w:id="1"/>
      <w:bookmarkEnd w:id="2"/>
      <w:bookmarkEnd w:id="3"/>
      <w:bookmarkEnd w:id="4"/>
      <w:bookmarkEnd w:id="5"/>
      <w:bookmarkEnd w:id="6"/>
      <w:bookmarkEnd w:id="7"/>
      <w:bookmarkEnd w:id="8"/>
      <w:bookmarkEnd w:id="9"/>
      <w:bookmarkEnd w:id="10"/>
      <w:bookmarkEnd w:id="11"/>
    </w:p>
    <w:p w14:paraId="280F6442">
      <w:pPr>
        <w:pStyle w:val="25"/>
        <w:keepNext w:val="0"/>
        <w:keepLines w:val="0"/>
        <w:pageBreakBefore w:val="0"/>
        <w:widowControl w:val="0"/>
        <w:tabs>
          <w:tab w:val="right" w:leader="dot" w:pos="8306"/>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方正小标宋_GBK" w:hAnsi="黑体" w:eastAsia="方正小标宋_GBK" w:cs="Times New Roman"/>
          <w:sz w:val="36"/>
          <w:szCs w:val="36"/>
        </w:rPr>
        <w:fldChar w:fldCharType="begin"/>
      </w:r>
      <w:r>
        <w:rPr>
          <w:rFonts w:hint="eastAsia" w:ascii="方正小标宋_GBK" w:hAnsi="黑体" w:eastAsia="方正小标宋_GBK" w:cs="Times New Roman"/>
          <w:sz w:val="36"/>
          <w:szCs w:val="36"/>
        </w:rPr>
        <w:instrText xml:space="preserve">TOC \o "1-2" \h \u </w:instrText>
      </w:r>
      <w:r>
        <w:rPr>
          <w:rFonts w:hint="eastAsia" w:ascii="方正小标宋_GBK" w:hAnsi="黑体" w:eastAsia="方正小标宋_GBK" w:cs="Times New Roman"/>
          <w:sz w:val="36"/>
          <w:szCs w:val="36"/>
        </w:rPr>
        <w:fldChar w:fldCharType="separate"/>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_Toc3238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前</w:t>
      </w:r>
      <w:r>
        <w:rPr>
          <w:rFonts w:hint="eastAsia" w:ascii="黑体" w:hAnsi="黑体" w:eastAsia="黑体" w:cs="黑体"/>
          <w:b w:val="0"/>
          <w:bCs w:val="0"/>
          <w:caps/>
          <w:sz w:val="30"/>
          <w:szCs w:val="30"/>
          <w:lang w:val="en-US" w:eastAsia="zh-CN"/>
        </w:rPr>
        <w:t xml:space="preserve"> </w:t>
      </w:r>
      <w:r>
        <w:rPr>
          <w:rFonts w:hint="eastAsia" w:ascii="黑体" w:hAnsi="黑体" w:eastAsia="黑体" w:cs="黑体"/>
          <w:b w:val="0"/>
          <w:bCs w:val="0"/>
          <w:caps/>
          <w:sz w:val="30"/>
          <w:szCs w:val="30"/>
        </w:rPr>
        <w:t>言</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_Toc3238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1</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6772A2E5">
      <w:pPr>
        <w:pStyle w:val="25"/>
        <w:keepNext w:val="0"/>
        <w:keepLines w:val="0"/>
        <w:pageBreakBefore w:val="0"/>
        <w:widowControl w:val="0"/>
        <w:tabs>
          <w:tab w:val="right" w:leader="dot" w:pos="8306"/>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_Toc30768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 xml:space="preserve">第一章 </w:t>
      </w:r>
      <w:r>
        <w:rPr>
          <w:rFonts w:hint="eastAsia" w:ascii="黑体" w:hAnsi="黑体" w:eastAsia="黑体" w:cs="黑体"/>
          <w:b w:val="0"/>
          <w:bCs w:val="0"/>
          <w:caps/>
          <w:sz w:val="30"/>
          <w:szCs w:val="30"/>
          <w:lang w:val="en-US" w:eastAsia="zh-CN"/>
        </w:rPr>
        <w:t>规划背景</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_Toc30768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3</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0C145762">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_Toc797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rPr>
        <w:t>第一节 禀赋与条件</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_Toc797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3</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42500DAB">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_Toc1959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rPr>
        <w:t xml:space="preserve">第二节 </w:t>
      </w:r>
      <w:r>
        <w:rPr>
          <w:rFonts w:hint="eastAsia" w:ascii="仿宋_GB2312" w:hAnsi="仿宋_GB2312" w:eastAsia="仿宋_GB2312" w:cs="仿宋_GB2312"/>
          <w:smallCaps/>
          <w:sz w:val="30"/>
          <w:szCs w:val="30"/>
          <w:lang w:val="en-US" w:eastAsia="zh-CN"/>
        </w:rPr>
        <w:t>现状与问题</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_Toc1959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5</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1FCE9AD5">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_Toc8266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第三节 机遇与挑战</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_Toc8266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7</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37DB08CE">
      <w:pPr>
        <w:pStyle w:val="25"/>
        <w:keepNext w:val="0"/>
        <w:keepLines w:val="0"/>
        <w:pageBreakBefore w:val="0"/>
        <w:widowControl w:val="0"/>
        <w:tabs>
          <w:tab w:val="right" w:leader="dot" w:pos="8306"/>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_Toc24848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lang w:val="en-US" w:eastAsia="zh-CN"/>
        </w:rPr>
        <w:t>第二章 指导思想与目标战略</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_Toc24848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9</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0B1551C0">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_Toc18018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第一节 </w:t>
      </w:r>
      <w:r>
        <w:rPr>
          <w:rFonts w:hint="eastAsia" w:ascii="仿宋_GB2312" w:hAnsi="仿宋_GB2312" w:eastAsia="仿宋_GB2312" w:cs="仿宋_GB2312"/>
          <w:smallCaps/>
          <w:sz w:val="30"/>
          <w:szCs w:val="30"/>
          <w:lang w:val="en-US" w:eastAsia="zh-CN"/>
        </w:rPr>
        <w:t>指导思想和基本原则</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_Toc18018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9</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05D8630F">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_Toc2154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eastAsia="zh-CN"/>
        </w:rPr>
        <w:t>第二节 总体定位</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_Toc2154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11</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3C6ECA0D">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_Toc29060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eastAsia="zh-CN"/>
        </w:rPr>
        <w:t>第三节 开发保护目标与战略</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_Toc29060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12</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168B134D">
      <w:pPr>
        <w:pStyle w:val="25"/>
        <w:keepNext w:val="0"/>
        <w:keepLines w:val="0"/>
        <w:pageBreakBefore w:val="0"/>
        <w:widowControl w:val="0"/>
        <w:tabs>
          <w:tab w:val="right" w:leader="dot" w:pos="8306"/>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_Toc22804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lang w:val="en-US" w:eastAsia="zh-CN"/>
        </w:rPr>
        <w:t>第三章 构建国土空间开发保护新格局</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_Toc22804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17</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783AEF85">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_Toc26752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第一节 </w:t>
      </w:r>
      <w:r>
        <w:rPr>
          <w:rFonts w:hint="eastAsia" w:ascii="仿宋_GB2312" w:hAnsi="仿宋_GB2312" w:eastAsia="仿宋_GB2312" w:cs="仿宋_GB2312"/>
          <w:smallCaps/>
          <w:sz w:val="30"/>
          <w:szCs w:val="30"/>
          <w:lang w:val="en-US" w:eastAsia="zh-CN"/>
        </w:rPr>
        <w:t>筑牢安全发展的空间基础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_Toc26752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17</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0532674E">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_Toc7127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第二节 </w:t>
      </w:r>
      <w:r>
        <w:rPr>
          <w:rFonts w:hint="eastAsia" w:ascii="仿宋_GB2312" w:hAnsi="仿宋_GB2312" w:eastAsia="仿宋_GB2312" w:cs="仿宋_GB2312"/>
          <w:smallCaps/>
          <w:sz w:val="30"/>
          <w:szCs w:val="30"/>
          <w:lang w:val="en-US" w:eastAsia="zh-CN"/>
        </w:rPr>
        <w:t>细化落实主体功能区布局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_Toc7127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24</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66AE5301">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_Toc305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第三节 </w:t>
      </w:r>
      <w:r>
        <w:rPr>
          <w:rFonts w:hint="eastAsia" w:ascii="仿宋_GB2312" w:hAnsi="仿宋_GB2312" w:eastAsia="仿宋_GB2312" w:cs="仿宋_GB2312"/>
          <w:smallCaps/>
          <w:sz w:val="30"/>
          <w:szCs w:val="30"/>
          <w:lang w:val="en-US" w:eastAsia="zh-CN"/>
        </w:rPr>
        <w:t>构建</w:t>
      </w:r>
      <w:r>
        <w:rPr>
          <w:rFonts w:hint="eastAsia" w:ascii="仿宋_GB2312" w:hAnsi="仿宋_GB2312" w:eastAsia="仿宋_GB2312" w:cs="仿宋_GB2312"/>
          <w:smallCaps/>
          <w:sz w:val="30"/>
          <w:szCs w:val="30"/>
        </w:rPr>
        <w:t>国土空间开发保护</w:t>
      </w:r>
      <w:r>
        <w:rPr>
          <w:rFonts w:hint="eastAsia" w:ascii="仿宋_GB2312" w:hAnsi="仿宋_GB2312" w:eastAsia="仿宋_GB2312" w:cs="仿宋_GB2312"/>
          <w:smallCaps/>
          <w:sz w:val="30"/>
          <w:szCs w:val="30"/>
          <w:lang w:val="en-US" w:eastAsia="zh-CN"/>
        </w:rPr>
        <w:t>新</w:t>
      </w:r>
      <w:r>
        <w:rPr>
          <w:rFonts w:hint="eastAsia" w:ascii="仿宋_GB2312" w:hAnsi="仿宋_GB2312" w:eastAsia="仿宋_GB2312" w:cs="仿宋_GB2312"/>
          <w:smallCaps/>
          <w:sz w:val="30"/>
          <w:szCs w:val="30"/>
        </w:rPr>
        <w:t>格局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_Toc305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24</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2D644AD6">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_Toc9848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第四节 </w:t>
      </w:r>
      <w:r>
        <w:rPr>
          <w:rFonts w:hint="eastAsia" w:ascii="仿宋_GB2312" w:hAnsi="仿宋_GB2312" w:eastAsia="仿宋_GB2312" w:cs="仿宋_GB2312"/>
          <w:smallCaps/>
          <w:sz w:val="30"/>
          <w:szCs w:val="30"/>
          <w:lang w:val="en-US" w:eastAsia="zh-CN"/>
        </w:rPr>
        <w:t>国土空间规划分区与用途管制</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_Toc9848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25</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0DDE8D21">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_Toc31825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第五节 </w:t>
      </w:r>
      <w:r>
        <w:rPr>
          <w:rFonts w:hint="eastAsia" w:ascii="仿宋_GB2312" w:hAnsi="仿宋_GB2312" w:eastAsia="仿宋_GB2312" w:cs="仿宋_GB2312"/>
          <w:smallCaps/>
          <w:sz w:val="30"/>
          <w:szCs w:val="30"/>
          <w:lang w:val="en-US" w:eastAsia="zh-CN"/>
        </w:rPr>
        <w:t>国土空间</w:t>
      </w:r>
      <w:r>
        <w:rPr>
          <w:rFonts w:hint="eastAsia" w:ascii="仿宋_GB2312" w:hAnsi="仿宋_GB2312" w:eastAsia="仿宋_GB2312" w:cs="仿宋_GB2312"/>
          <w:smallCaps/>
          <w:sz w:val="30"/>
          <w:szCs w:val="30"/>
        </w:rPr>
        <w:t>用途结构</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_Toc31825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26</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12D01046">
      <w:pPr>
        <w:pStyle w:val="25"/>
        <w:keepNext w:val="0"/>
        <w:keepLines w:val="0"/>
        <w:pageBreakBefore w:val="0"/>
        <w:widowControl w:val="0"/>
        <w:tabs>
          <w:tab w:val="right" w:leader="dot" w:pos="8306"/>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_Toc6313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lang w:val="en-US" w:eastAsia="zh-CN"/>
        </w:rPr>
        <w:t>第四章 保护生态空间，筑牢区域生态安全屏障</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_Toc6313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28</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05B28E6B">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_Toc23849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第一节 保护生态空间“山清水秀”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_Toc23849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28</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3FB3DC5B">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_Toc10628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第二节 增强水资源刚性约束和管控</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_Toc10628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29</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3B1443E8">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_Toc912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eastAsia="zh-CN"/>
        </w:rPr>
        <w:t>第三节 加强生态资源保护与利用</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_Toc912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31</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6BF2AD9D">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_Toc20995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eastAsia="zh-CN"/>
        </w:rPr>
        <w:t>第四节 实施山水林田湖草沙一体化保护和系统治理</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_Toc20995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32</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033CADEF">
      <w:pPr>
        <w:pStyle w:val="25"/>
        <w:keepNext w:val="0"/>
        <w:keepLines w:val="0"/>
        <w:pageBreakBefore w:val="0"/>
        <w:widowControl w:val="0"/>
        <w:tabs>
          <w:tab w:val="right" w:leader="dot" w:pos="8306"/>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_Toc17172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lang w:val="en-US" w:eastAsia="zh-CN"/>
        </w:rPr>
        <w:t>第五章 夯实农业空间，提标升级绿色有机农畜产品</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_Toc17172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36</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25AC61BC">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_Toc17423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第一节 保障农业空间“提质增效”</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_Toc17423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36</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237C29FB">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_Toc18504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第二节 实施耕地数量、质量、生态“三位一体”保护</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_Toc18504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36</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50B06378">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_Toc23314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第三节 重点拓展农畜产品生产空间</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_Toc23314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38</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490ED1CF">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_Toc25984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第四节 加强草地资源保护利用</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_Toc25984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39</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1A721BEA">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_Toc23106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eastAsia="zh-CN"/>
        </w:rPr>
        <w:t>第五节 有序实施</w:t>
      </w:r>
      <w:r>
        <w:rPr>
          <w:rFonts w:hint="eastAsia" w:ascii="仿宋_GB2312" w:hAnsi="仿宋_GB2312" w:eastAsia="仿宋_GB2312" w:cs="仿宋_GB2312"/>
          <w:smallCaps/>
          <w:sz w:val="30"/>
          <w:szCs w:val="30"/>
          <w:lang w:val="en-US" w:eastAsia="zh-CN"/>
        </w:rPr>
        <w:t>农用地</w:t>
      </w:r>
      <w:r>
        <w:rPr>
          <w:rFonts w:hint="eastAsia" w:ascii="仿宋_GB2312" w:hAnsi="仿宋_GB2312" w:eastAsia="仿宋_GB2312" w:cs="仿宋_GB2312"/>
          <w:smallCaps/>
          <w:sz w:val="30"/>
          <w:szCs w:val="30"/>
          <w:lang w:val="zh-CN" w:eastAsia="zh-CN"/>
        </w:rPr>
        <w:t>综合整治</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_Toc23106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41</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3B163100">
      <w:pPr>
        <w:pStyle w:val="25"/>
        <w:keepNext w:val="0"/>
        <w:keepLines w:val="0"/>
        <w:pageBreakBefore w:val="0"/>
        <w:widowControl w:val="0"/>
        <w:tabs>
          <w:tab w:val="right" w:leader="dot" w:pos="8306"/>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_Toc27276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lang w:val="en-US" w:eastAsia="zh-CN"/>
        </w:rPr>
        <w:t>第六章 优化建设空间，推进以人为本的新型城镇化</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_Toc27276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42</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480F677C">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_Toc11759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第一节 促进建设空间“紧凑集聚”</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_Toc11759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42</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0E332549">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_Toc1841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第二节 </w:t>
      </w:r>
      <w:r>
        <w:rPr>
          <w:rFonts w:hint="eastAsia" w:ascii="仿宋_GB2312" w:hAnsi="仿宋_GB2312" w:eastAsia="仿宋_GB2312" w:cs="仿宋_GB2312"/>
          <w:smallCaps/>
          <w:sz w:val="30"/>
          <w:szCs w:val="30"/>
          <w:lang w:val="en-US" w:eastAsia="zh-CN"/>
        </w:rPr>
        <w:t>优化</w:t>
      </w:r>
      <w:r>
        <w:rPr>
          <w:rFonts w:hint="eastAsia" w:ascii="仿宋_GB2312" w:hAnsi="仿宋_GB2312" w:eastAsia="仿宋_GB2312" w:cs="仿宋_GB2312"/>
          <w:smallCaps/>
          <w:sz w:val="30"/>
          <w:szCs w:val="30"/>
        </w:rPr>
        <w:t>镇村</w:t>
      </w:r>
      <w:r>
        <w:rPr>
          <w:rFonts w:hint="eastAsia" w:ascii="仿宋_GB2312" w:hAnsi="仿宋_GB2312" w:eastAsia="仿宋_GB2312" w:cs="仿宋_GB2312"/>
          <w:smallCaps/>
          <w:sz w:val="30"/>
          <w:szCs w:val="30"/>
          <w:lang w:val="en-US" w:eastAsia="zh-CN"/>
        </w:rPr>
        <w:t>空间</w:t>
      </w:r>
      <w:r>
        <w:rPr>
          <w:rFonts w:hint="eastAsia" w:ascii="仿宋_GB2312" w:hAnsi="仿宋_GB2312" w:eastAsia="仿宋_GB2312" w:cs="仿宋_GB2312"/>
          <w:smallCaps/>
          <w:sz w:val="30"/>
          <w:szCs w:val="30"/>
        </w:rPr>
        <w:t>体系</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_Toc1841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42</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0C0B0A10">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_Toc20638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 xml:space="preserve">第三节 </w:t>
      </w:r>
      <w:r>
        <w:rPr>
          <w:rFonts w:hint="eastAsia" w:ascii="仿宋_GB2312" w:hAnsi="仿宋_GB2312" w:eastAsia="仿宋_GB2312" w:cs="仿宋_GB2312"/>
          <w:smallCaps/>
          <w:sz w:val="30"/>
          <w:szCs w:val="30"/>
          <w:lang w:val="zh-CN"/>
        </w:rPr>
        <w:t>统筹优化乡村空间布局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_Toc20638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43</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5DA17FE3">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_Toc30313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第四节 引导产业空间布局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_Toc30313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48</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7548E523">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_Toc14786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第五节 </w:t>
      </w:r>
      <w:r>
        <w:rPr>
          <w:rFonts w:hint="eastAsia" w:ascii="仿宋_GB2312" w:hAnsi="仿宋_GB2312" w:eastAsia="仿宋_GB2312" w:cs="仿宋_GB2312"/>
          <w:smallCaps/>
          <w:sz w:val="30"/>
          <w:szCs w:val="30"/>
          <w:lang w:val="en-US" w:eastAsia="zh-CN"/>
        </w:rPr>
        <w:t>完善公共服务设施布局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_Toc14786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50</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443F7F72">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_Toc24760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第六节 促进城乡建设用地节约集约</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_Toc24760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52</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6A3B9F68">
      <w:pPr>
        <w:pStyle w:val="25"/>
        <w:keepNext w:val="0"/>
        <w:keepLines w:val="0"/>
        <w:pageBreakBefore w:val="0"/>
        <w:widowControl w:val="0"/>
        <w:tabs>
          <w:tab w:val="right" w:leader="dot" w:pos="8306"/>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_Toc11072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lang w:val="en-US" w:eastAsia="zh-CN"/>
        </w:rPr>
        <w:t>第七章 强化镇区建设，培育区域核心城镇</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_Toc11072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54</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5F93FF03">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_Toc5657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第一节 </w:t>
      </w:r>
      <w:r>
        <w:rPr>
          <w:rFonts w:hint="eastAsia" w:ascii="仿宋_GB2312" w:hAnsi="仿宋_GB2312" w:eastAsia="仿宋_GB2312" w:cs="仿宋_GB2312"/>
          <w:smallCaps/>
          <w:sz w:val="30"/>
          <w:szCs w:val="30"/>
          <w:lang w:val="en-US" w:eastAsia="zh-CN"/>
        </w:rPr>
        <w:t>功能与</w:t>
      </w:r>
      <w:r>
        <w:rPr>
          <w:rFonts w:hint="eastAsia" w:ascii="仿宋_GB2312" w:hAnsi="仿宋_GB2312" w:eastAsia="仿宋_GB2312" w:cs="仿宋_GB2312"/>
          <w:smallCaps/>
          <w:sz w:val="30"/>
          <w:szCs w:val="30"/>
        </w:rPr>
        <w:t>用地布局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_Toc5657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54</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6F3233A6">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_Toc7213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第二节 </w:t>
      </w:r>
      <w:r>
        <w:rPr>
          <w:rFonts w:hint="eastAsia" w:ascii="仿宋_GB2312" w:hAnsi="仿宋_GB2312" w:eastAsia="仿宋_GB2312" w:cs="仿宋_GB2312"/>
          <w:smallCaps/>
          <w:sz w:val="30"/>
          <w:szCs w:val="30"/>
          <w:lang w:val="en-US" w:eastAsia="zh-CN"/>
        </w:rPr>
        <w:t>居住与</w:t>
      </w:r>
      <w:r>
        <w:rPr>
          <w:rFonts w:hint="eastAsia" w:ascii="仿宋_GB2312" w:hAnsi="仿宋_GB2312" w:eastAsia="仿宋_GB2312" w:cs="仿宋_GB2312"/>
          <w:smallCaps/>
          <w:sz w:val="30"/>
          <w:szCs w:val="30"/>
        </w:rPr>
        <w:t>住房</w:t>
      </w:r>
      <w:r>
        <w:rPr>
          <w:rFonts w:hint="eastAsia" w:ascii="仿宋_GB2312" w:hAnsi="仿宋_GB2312" w:eastAsia="仿宋_GB2312" w:cs="仿宋_GB2312"/>
          <w:smallCaps/>
          <w:sz w:val="30"/>
          <w:szCs w:val="30"/>
          <w:lang w:val="en-US" w:eastAsia="zh-CN"/>
        </w:rPr>
        <w:t>保障</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_Toc7213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55</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5CD2E340">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_Toc1096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第三节 </w:t>
      </w:r>
      <w:r>
        <w:rPr>
          <w:rFonts w:hint="eastAsia" w:ascii="仿宋_GB2312" w:hAnsi="仿宋_GB2312" w:eastAsia="仿宋_GB2312" w:cs="仿宋_GB2312"/>
          <w:smallCaps/>
          <w:sz w:val="30"/>
          <w:szCs w:val="30"/>
          <w:lang w:val="en-US" w:eastAsia="zh-CN"/>
        </w:rPr>
        <w:t>公共服务</w:t>
      </w:r>
      <w:r>
        <w:rPr>
          <w:rFonts w:hint="eastAsia" w:ascii="仿宋_GB2312" w:hAnsi="仿宋_GB2312" w:eastAsia="仿宋_GB2312" w:cs="仿宋_GB2312"/>
          <w:smallCaps/>
          <w:sz w:val="30"/>
          <w:szCs w:val="30"/>
        </w:rPr>
        <w:t>设施</w:t>
      </w:r>
      <w:r>
        <w:rPr>
          <w:rFonts w:hint="eastAsia" w:ascii="仿宋_GB2312" w:hAnsi="仿宋_GB2312" w:eastAsia="仿宋_GB2312" w:cs="仿宋_GB2312"/>
          <w:smallCaps/>
          <w:sz w:val="30"/>
          <w:szCs w:val="30"/>
          <w:lang w:val="en-US" w:eastAsia="zh-CN"/>
        </w:rPr>
        <w:t>布局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_Toc1096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55</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78CB1470">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_Toc12900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第四节 </w:t>
      </w:r>
      <w:r>
        <w:rPr>
          <w:rFonts w:hint="eastAsia" w:ascii="仿宋_GB2312" w:hAnsi="仿宋_GB2312" w:eastAsia="仿宋_GB2312" w:cs="仿宋_GB2312"/>
          <w:smallCaps/>
          <w:sz w:val="30"/>
          <w:szCs w:val="30"/>
          <w:lang w:val="zh-CN"/>
        </w:rPr>
        <w:t>绿地和开敞</w:t>
      </w:r>
      <w:r>
        <w:rPr>
          <w:rFonts w:hint="eastAsia" w:ascii="仿宋_GB2312" w:hAnsi="仿宋_GB2312" w:eastAsia="仿宋_GB2312" w:cs="仿宋_GB2312"/>
          <w:smallCaps/>
          <w:sz w:val="30"/>
          <w:szCs w:val="30"/>
          <w:lang w:val="en-US" w:eastAsia="zh-CN"/>
        </w:rPr>
        <w:t>空间</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_Toc12900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56</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1D439FD2">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_Toc13433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第五节 </w:t>
      </w:r>
      <w:r>
        <w:rPr>
          <w:rFonts w:hint="eastAsia" w:ascii="仿宋_GB2312" w:hAnsi="仿宋_GB2312" w:eastAsia="仿宋_GB2312" w:cs="仿宋_GB2312"/>
          <w:smallCaps/>
          <w:sz w:val="30"/>
          <w:szCs w:val="30"/>
          <w:lang w:val="en-US" w:eastAsia="zh-CN"/>
        </w:rPr>
        <w:t>综合交通体系</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_Toc13433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56</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1402257D">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_Toc2536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第六节 市政</w:t>
      </w:r>
      <w:r>
        <w:rPr>
          <w:rFonts w:hint="eastAsia" w:ascii="仿宋_GB2312" w:hAnsi="仿宋_GB2312" w:eastAsia="仿宋_GB2312" w:cs="仿宋_GB2312"/>
          <w:smallCaps/>
          <w:sz w:val="30"/>
          <w:szCs w:val="30"/>
          <w:lang w:val="en-US" w:eastAsia="zh-CN"/>
        </w:rPr>
        <w:t>基础</w:t>
      </w:r>
      <w:r>
        <w:rPr>
          <w:rFonts w:hint="eastAsia" w:ascii="仿宋_GB2312" w:hAnsi="仿宋_GB2312" w:eastAsia="仿宋_GB2312" w:cs="仿宋_GB2312"/>
          <w:smallCaps/>
          <w:sz w:val="30"/>
          <w:szCs w:val="30"/>
        </w:rPr>
        <w:t>设施</w:t>
      </w:r>
      <w:r>
        <w:rPr>
          <w:rFonts w:hint="eastAsia" w:ascii="仿宋_GB2312" w:hAnsi="仿宋_GB2312" w:eastAsia="仿宋_GB2312" w:cs="仿宋_GB2312"/>
          <w:smallCaps/>
          <w:sz w:val="30"/>
          <w:szCs w:val="30"/>
          <w:lang w:val="en-US" w:eastAsia="zh-CN"/>
        </w:rPr>
        <w:t>布局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_Toc2536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58</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599F6C82">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_Toc13252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第七节 综合防灾</w:t>
      </w:r>
      <w:r>
        <w:rPr>
          <w:rFonts w:hint="eastAsia" w:ascii="仿宋_GB2312" w:hAnsi="仿宋_GB2312" w:eastAsia="仿宋_GB2312" w:cs="仿宋_GB2312"/>
          <w:smallCaps/>
          <w:sz w:val="30"/>
          <w:szCs w:val="30"/>
          <w:lang w:val="en-US" w:eastAsia="zh-CN"/>
        </w:rPr>
        <w:t>减灾</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_Toc13252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62</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0195F05D">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_Toc16425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第八节 </w:t>
      </w:r>
      <w:r>
        <w:rPr>
          <w:rFonts w:hint="eastAsia" w:ascii="仿宋_GB2312" w:hAnsi="仿宋_GB2312" w:eastAsia="仿宋_GB2312" w:cs="仿宋_GB2312"/>
          <w:smallCaps/>
          <w:sz w:val="30"/>
          <w:szCs w:val="30"/>
          <w:lang w:val="en-US" w:eastAsia="zh-CN"/>
        </w:rPr>
        <w:t>城镇风貌引导与管控</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_Toc16425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64</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6E4DBAFB">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_Toc9150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第九节 五线管控</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_Toc9150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66</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50A65183">
      <w:pPr>
        <w:pStyle w:val="25"/>
        <w:keepNext w:val="0"/>
        <w:keepLines w:val="0"/>
        <w:pageBreakBefore w:val="0"/>
        <w:widowControl w:val="0"/>
        <w:tabs>
          <w:tab w:val="right" w:leader="dot" w:pos="8306"/>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_Toc10920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lang w:val="en-US" w:eastAsia="zh-CN"/>
        </w:rPr>
        <w:t>第八章 历史文化与景观风貌</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_Toc10920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69</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3AF067A4">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_Toc23836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第一节 </w:t>
      </w:r>
      <w:r>
        <w:rPr>
          <w:rFonts w:hint="eastAsia" w:ascii="仿宋_GB2312" w:hAnsi="仿宋_GB2312" w:eastAsia="仿宋_GB2312" w:cs="仿宋_GB2312"/>
          <w:smallCaps/>
          <w:sz w:val="30"/>
          <w:szCs w:val="30"/>
          <w:lang w:val="zh-CN"/>
        </w:rPr>
        <w:t>整体保护文化遗产，传承历史文化价值</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_Toc23836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69</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093A7D03">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_Toc7060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第二节 </w:t>
      </w:r>
      <w:r>
        <w:rPr>
          <w:rFonts w:hint="eastAsia" w:ascii="仿宋_GB2312" w:hAnsi="仿宋_GB2312" w:eastAsia="仿宋_GB2312" w:cs="仿宋_GB2312"/>
          <w:smallCaps/>
          <w:sz w:val="30"/>
          <w:szCs w:val="30"/>
          <w:lang w:val="en-US" w:eastAsia="zh-CN"/>
        </w:rPr>
        <w:t>美丽城镇建设与</w:t>
      </w:r>
      <w:r>
        <w:rPr>
          <w:rFonts w:hint="eastAsia" w:ascii="仿宋_GB2312" w:hAnsi="仿宋_GB2312" w:eastAsia="仿宋_GB2312" w:cs="仿宋_GB2312"/>
          <w:smallCaps/>
          <w:sz w:val="30"/>
          <w:szCs w:val="30"/>
        </w:rPr>
        <w:t>风貌</w:t>
      </w:r>
      <w:r>
        <w:rPr>
          <w:rFonts w:hint="eastAsia" w:ascii="仿宋_GB2312" w:hAnsi="仿宋_GB2312" w:eastAsia="仿宋_GB2312" w:cs="仿宋_GB2312"/>
          <w:smallCaps/>
          <w:sz w:val="30"/>
          <w:szCs w:val="30"/>
          <w:lang w:val="en-US" w:eastAsia="zh-CN"/>
        </w:rPr>
        <w:t>引导</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_Toc7060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71</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4F9717CF">
      <w:pPr>
        <w:pStyle w:val="25"/>
        <w:keepNext w:val="0"/>
        <w:keepLines w:val="0"/>
        <w:pageBreakBefore w:val="0"/>
        <w:widowControl w:val="0"/>
        <w:tabs>
          <w:tab w:val="right" w:leader="dot" w:pos="8306"/>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_Toc7267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lang w:val="en-US" w:eastAsia="zh-CN"/>
        </w:rPr>
        <w:t>第九章 统筹设施空间，保障重大基础设施建设</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_Toc7267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73</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788BBD15">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_Toc27718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第一节 优化综合（立体）交通和物流网络布局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_Toc27718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73</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61159FFB">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_Toc12506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第二节 </w:t>
      </w:r>
      <w:r>
        <w:rPr>
          <w:rFonts w:hint="eastAsia" w:ascii="仿宋_GB2312" w:hAnsi="仿宋_GB2312" w:eastAsia="仿宋_GB2312" w:cs="仿宋_GB2312"/>
          <w:smallCaps/>
          <w:sz w:val="30"/>
          <w:szCs w:val="30"/>
          <w:lang w:val="en-US" w:eastAsia="zh-CN"/>
        </w:rPr>
        <w:t>构建安全可靠水利基础设施网络</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_Toc12506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76</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10583F7F">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_Toc1238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第三节 能源利用规划</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_Toc1238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77</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1B8F268D">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_Toc10341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第四节 系统布局新型基础设施</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_Toc10341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78</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022A9206">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_Toc4381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第五节 </w:t>
      </w:r>
      <w:r>
        <w:rPr>
          <w:rFonts w:hint="eastAsia" w:ascii="仿宋_GB2312" w:hAnsi="仿宋_GB2312" w:eastAsia="仿宋_GB2312" w:cs="仿宋_GB2312"/>
          <w:smallCaps/>
          <w:sz w:val="30"/>
          <w:szCs w:val="30"/>
          <w:lang w:val="en-US" w:eastAsia="zh-CN"/>
        </w:rPr>
        <w:t>构建韧性安全的综合防灾体系</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_Toc4381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82</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107625B0">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_Toc1784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第六节 保障基础设施用地</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_Toc1784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86</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3138775E">
      <w:pPr>
        <w:pStyle w:val="25"/>
        <w:keepNext w:val="0"/>
        <w:keepLines w:val="0"/>
        <w:pageBreakBefore w:val="0"/>
        <w:widowControl w:val="0"/>
        <w:tabs>
          <w:tab w:val="right" w:leader="dot" w:pos="8306"/>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_Toc22226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lang w:val="en-US" w:eastAsia="zh-CN"/>
        </w:rPr>
        <w:t xml:space="preserve">第十章 </w:t>
      </w:r>
      <w:r>
        <w:rPr>
          <w:rFonts w:hint="eastAsia" w:ascii="黑体" w:hAnsi="黑体" w:eastAsia="黑体" w:cs="黑体"/>
          <w:b w:val="0"/>
          <w:bCs w:val="0"/>
          <w:caps/>
          <w:sz w:val="30"/>
          <w:szCs w:val="30"/>
        </w:rPr>
        <w:t>加强区域协调，引领</w:t>
      </w:r>
      <w:r>
        <w:rPr>
          <w:rFonts w:hint="eastAsia" w:ascii="黑体" w:hAnsi="黑体" w:eastAsia="黑体" w:cs="黑体"/>
          <w:b w:val="0"/>
          <w:bCs w:val="0"/>
          <w:caps/>
          <w:sz w:val="30"/>
          <w:szCs w:val="30"/>
          <w:lang w:val="en-US" w:eastAsia="zh-CN"/>
        </w:rPr>
        <w:t>黑马河发展</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_Toc22226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89</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1EF3392D">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_Toc20147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第一节 加快融入国家区域协调发展战略</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_Toc20147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89</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68D69CB0">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_Toc32180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第二节 引领黑马河镇发展</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_Toc32180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90</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5A6DF159">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_Toc1525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eastAsia="zh-CN"/>
        </w:rPr>
        <w:t xml:space="preserve">第三节 </w:t>
      </w:r>
      <w:r>
        <w:rPr>
          <w:rFonts w:hint="eastAsia" w:ascii="仿宋_GB2312" w:hAnsi="仿宋_GB2312" w:eastAsia="仿宋_GB2312" w:cs="仿宋_GB2312"/>
          <w:smallCaps/>
          <w:sz w:val="30"/>
          <w:szCs w:val="30"/>
          <w:lang w:val="en-US" w:eastAsia="zh-CN"/>
        </w:rPr>
        <w:t>辐射带动周边城镇保护与发展</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_Toc1525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91</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7EE5A2B0">
      <w:pPr>
        <w:pStyle w:val="25"/>
        <w:keepNext w:val="0"/>
        <w:keepLines w:val="0"/>
        <w:pageBreakBefore w:val="0"/>
        <w:widowControl w:val="0"/>
        <w:tabs>
          <w:tab w:val="right" w:leader="dot" w:pos="8306"/>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_Toc25050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lang w:val="en-US" w:eastAsia="zh-CN"/>
        </w:rPr>
        <w:t>第十一章 完善体制机制，高质量做好规划实施保障</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_Toc25050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92</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64808ECE">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_Toc4832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第一节 加强党的领导</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_Toc4832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92</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5B9C5988">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_Toc2461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第二节 健全配套政策</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_Toc2461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93</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417A853F">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_Toc16424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第三节 强化规划传导与用途管制</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_Toc16424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93</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514FE37B">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_Toc25529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第四节 近期安排</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_Toc25529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94</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44A350E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outlineLvl w:val="0"/>
        <w:rPr>
          <w:rFonts w:hint="eastAsia" w:ascii="方正小标宋_GBK" w:hAnsi="黑体" w:eastAsia="方正小标宋_GBK" w:cs="Times New Roman"/>
          <w:szCs w:val="36"/>
        </w:rPr>
        <w:sectPr>
          <w:headerReference r:id="rId5" w:type="default"/>
          <w:footerReference r:id="rId6" w:type="default"/>
          <w:pgSz w:w="11906" w:h="16838"/>
          <w:pgMar w:top="1440" w:right="1800" w:bottom="1440" w:left="1800" w:header="964" w:footer="624"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方正小标宋_GBK" w:hAnsi="黑体" w:eastAsia="方正小标宋_GBK" w:cs="Times New Roman"/>
          <w:szCs w:val="36"/>
        </w:rPr>
        <w:fldChar w:fldCharType="end"/>
      </w:r>
      <w:bookmarkStart w:id="12" w:name="_Toc26612"/>
    </w:p>
    <w:p w14:paraId="7925B81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outlineLvl w:val="0"/>
        <w:rPr>
          <w:rFonts w:hint="eastAsia" w:ascii="方正小标宋_GBK" w:hAnsi="方正小标宋_GBK" w:eastAsia="方正小标宋_GBK" w:cs="方正小标宋_GBK"/>
          <w:b/>
          <w:bCs/>
          <w:sz w:val="44"/>
          <w:szCs w:val="44"/>
        </w:rPr>
      </w:pPr>
      <w:bookmarkStart w:id="13" w:name="_Toc3238"/>
      <w:r>
        <w:rPr>
          <w:rFonts w:hint="eastAsia" w:ascii="方正小标宋_GBK" w:hAnsi="方正小标宋_GBK" w:eastAsia="方正小标宋_GBK" w:cs="方正小标宋_GBK"/>
          <w:b w:val="0"/>
          <w:bCs w:val="0"/>
          <w:sz w:val="44"/>
          <w:szCs w:val="44"/>
        </w:rPr>
        <w:t>前</w:t>
      </w:r>
      <w:r>
        <w:rPr>
          <w:rFonts w:hint="eastAsia" w:ascii="方正小标宋_GBK" w:hAnsi="方正小标宋_GBK" w:eastAsia="方正小标宋_GBK" w:cs="方正小标宋_GBK"/>
          <w:b w:val="0"/>
          <w:bCs w:val="0"/>
          <w:sz w:val="44"/>
          <w:szCs w:val="44"/>
          <w:lang w:val="en-US" w:eastAsia="zh-CN"/>
        </w:rPr>
        <w:t xml:space="preserve"> </w:t>
      </w:r>
      <w:r>
        <w:rPr>
          <w:rFonts w:hint="eastAsia" w:ascii="方正小标宋_GBK" w:hAnsi="方正小标宋_GBK" w:eastAsia="方正小标宋_GBK" w:cs="方正小标宋_GBK"/>
          <w:b w:val="0"/>
          <w:bCs w:val="0"/>
          <w:sz w:val="44"/>
          <w:szCs w:val="44"/>
        </w:rPr>
        <w:t>言</w:t>
      </w:r>
      <w:bookmarkEnd w:id="12"/>
      <w:bookmarkEnd w:id="13"/>
    </w:p>
    <w:p w14:paraId="3C9E817D">
      <w:pPr>
        <w:rPr>
          <w:rFonts w:hint="eastAsia" w:ascii="仿宋_GB2312" w:hAnsi="仿宋_GB2312" w:eastAsia="仿宋_GB2312" w:cs="仿宋_GB2312"/>
          <w:lang w:eastAsia="zh-CN"/>
        </w:rPr>
      </w:pPr>
      <w:r>
        <w:rPr>
          <w:rFonts w:hint="eastAsia" w:ascii="仿宋_GB2312" w:hAnsi="仿宋_GB2312" w:eastAsia="仿宋_GB2312" w:cs="仿宋_GB2312"/>
        </w:rPr>
        <w:t>黑马河镇，隶属于青海省海南藏族自治州共和县，位于青海省共和县县境西北部，青海湖南岸，青海南山北麓</w:t>
      </w:r>
      <w:r>
        <w:rPr>
          <w:rFonts w:hint="eastAsia" w:ascii="仿宋_GB2312" w:hAnsi="仿宋_GB2312" w:cs="仿宋_GB2312"/>
          <w:lang w:eastAsia="zh-CN"/>
        </w:rPr>
        <w:t>，</w:t>
      </w:r>
      <w:r>
        <w:rPr>
          <w:rFonts w:hint="eastAsia" w:ascii="仿宋_GB2312" w:hAnsi="仿宋_GB2312" w:eastAsia="仿宋_GB2312" w:cs="Times New Roman"/>
          <w:sz w:val="32"/>
          <w:szCs w:val="32"/>
          <w:lang w:val="en-US" w:eastAsia="zh-CN"/>
        </w:rPr>
        <w:t>有着“</w:t>
      </w:r>
      <w:r>
        <w:rPr>
          <w:rFonts w:hint="eastAsia" w:ascii="仿宋_GB2312" w:hAnsi="仿宋_GB2312" w:cs="Times New Roman"/>
          <w:sz w:val="32"/>
          <w:szCs w:val="32"/>
          <w:lang w:val="en-US" w:eastAsia="zh-CN"/>
        </w:rPr>
        <w:t>日出之城</w:t>
      </w:r>
      <w:r>
        <w:rPr>
          <w:rFonts w:hint="eastAsia" w:ascii="仿宋_GB2312" w:hAnsi="仿宋_GB2312" w:eastAsia="仿宋_GB2312" w:cs="Times New Roman"/>
          <w:sz w:val="32"/>
          <w:szCs w:val="32"/>
          <w:lang w:val="en-US" w:eastAsia="zh-CN"/>
        </w:rPr>
        <w:t>”之美誉。</w:t>
      </w:r>
    </w:p>
    <w:p w14:paraId="554DB34E">
      <w:pPr>
        <w:rPr>
          <w:rFonts w:hint="eastAsia" w:ascii="仿宋_GB2312" w:hAnsi="仿宋_GB2312" w:eastAsia="仿宋_GB2312" w:cs="仿宋_GB2312"/>
        </w:rPr>
      </w:pPr>
      <w:r>
        <w:rPr>
          <w:rFonts w:hint="eastAsia" w:ascii="仿宋_GB2312" w:hAnsi="仿宋_GB2312" w:eastAsia="仿宋_GB2312" w:cs="仿宋_GB2312"/>
        </w:rPr>
        <w:t>以习近平新时代中国特色社会主义思想为指导，立足青海“三个最大”省情定位、“三个更加重要”战略地位，推进“三个先行区”建设，科学把握新发展阶段、深入贯彻新发展理念、加快构建新发展格局，推进青藏高原生态保护和高质量发展，落实全省建设“六个现代化新青海”奋斗目标、着力打造生态文明高地、着力构建产业“四地”的要求，围绕建设国家可持续发展议程创新示范区、打造泛共和盆地绿色发展新增长极、紧抓区域发展重大战略机遇，守护好“碧波荡漾青海湖”。按照《中共中央 国务院关于建立国土空间规划体系并监督实施的若干意见》（中发〔2019〕18 号）、《自然资源部关于全面开展国土空间规划工作的通知》（自然资发〔2019〕87 号）以及青海省《关于建立全省国土空间规划体系并监督实施的意见》（青办发〔2020〕13 号）等相关政策，构建共和县“两级三类”国土空间规划体系，编制《共和县</w:t>
      </w:r>
      <w:r>
        <w:rPr>
          <w:rFonts w:hint="eastAsia" w:ascii="仿宋_GB2312" w:hAnsi="仿宋_GB2312" w:cs="仿宋_GB2312"/>
          <w:lang w:val="en-US" w:eastAsia="zh-CN"/>
        </w:rPr>
        <w:t>黑马河</w:t>
      </w:r>
      <w:r>
        <w:rPr>
          <w:rFonts w:hint="eastAsia" w:ascii="仿宋_GB2312" w:hAnsi="仿宋_GB2312" w:eastAsia="仿宋_GB2312" w:cs="仿宋_GB2312"/>
        </w:rPr>
        <w:t>镇国土空间总体规划（2021-2035年）》（以下简称《规划》）。</w:t>
      </w:r>
    </w:p>
    <w:p w14:paraId="5E13241C">
      <w:pPr>
        <w:rPr>
          <w:rFonts w:hint="eastAsia" w:ascii="仿宋_GB2312" w:hAnsi="仿宋_GB2312" w:eastAsia="仿宋_GB2312" w:cs="仿宋_GB2312"/>
        </w:rPr>
      </w:pPr>
      <w:r>
        <w:rPr>
          <w:rFonts w:hint="eastAsia" w:ascii="仿宋_GB2312" w:hAnsi="仿宋_GB2312" w:eastAsia="仿宋_GB2312" w:cs="仿宋_GB2312"/>
        </w:rPr>
        <w:t>《规划》是对《</w:t>
      </w:r>
      <w:r>
        <w:rPr>
          <w:rFonts w:hint="eastAsia" w:ascii="仿宋_GB2312" w:hAnsi="仿宋_GB2312" w:cs="仿宋_GB2312"/>
          <w:lang w:val="en-US" w:eastAsia="zh-CN"/>
        </w:rPr>
        <w:t>海南藏族自治州国土空间总体规划（2021-2035年）</w:t>
      </w:r>
      <w:r>
        <w:rPr>
          <w:rFonts w:hint="eastAsia" w:ascii="仿宋_GB2312" w:hAnsi="仿宋_GB2312" w:eastAsia="仿宋_GB2312" w:cs="仿宋_GB2312"/>
        </w:rPr>
        <w:t>》和《共和县国土空间总体规划（2021-2035年）》的落实和细化，是统筹全镇国土空间保护、开发、利用、修复作出的具体安排和部署，是各层次空间规划的编制依据，是开展各类开发保护建设活动、实施国土空间用途管制的基本依据。</w:t>
      </w:r>
    </w:p>
    <w:p w14:paraId="35E43000">
      <w:pPr>
        <w:rPr>
          <w:rFonts w:hint="eastAsia" w:ascii="仿宋_GB2312" w:hAnsi="仿宋_GB2312" w:eastAsia="仿宋_GB2312" w:cs="仿宋_GB2312"/>
        </w:rPr>
      </w:pPr>
      <w:r>
        <w:rPr>
          <w:rFonts w:hint="eastAsia" w:ascii="仿宋_GB2312" w:hAnsi="仿宋_GB2312" w:cs="仿宋_GB2312"/>
          <w:lang w:val="en-US" w:eastAsia="zh-CN"/>
        </w:rPr>
        <w:t>本规划范围涉及镇域和镇区两个层次。镇域规划范围为黑马河镇行政辖区内范围，统筹全域全要素规划管理，对国土空间开发保护做出的具体部署，对县级国土空间规划细化落实；镇区范围</w:t>
      </w:r>
      <w:r>
        <w:rPr>
          <w:rFonts w:hint="eastAsia" w:ascii="仿宋_GB2312" w:hAnsi="仿宋_GB2312" w:eastAsia="仿宋_GB2312" w:cs="仿宋_GB2312"/>
        </w:rPr>
        <w:t>北至</w:t>
      </w:r>
      <w:r>
        <w:rPr>
          <w:rFonts w:hint="eastAsia" w:ascii="仿宋_GB2312" w:hAnsi="仿宋_GB2312" w:cs="仿宋_GB2312"/>
          <w:lang w:val="en-US" w:eastAsia="zh-CN"/>
        </w:rPr>
        <w:t>观日路</w:t>
      </w:r>
      <w:r>
        <w:rPr>
          <w:rFonts w:hint="eastAsia" w:ascii="仿宋_GB2312" w:hAnsi="仿宋_GB2312" w:eastAsia="仿宋_GB2312" w:cs="仿宋_GB2312"/>
        </w:rPr>
        <w:t>、南至</w:t>
      </w:r>
      <w:r>
        <w:rPr>
          <w:rFonts w:hint="eastAsia" w:ascii="仿宋_GB2312" w:hAnsi="仿宋_GB2312" w:cs="仿宋_GB2312"/>
          <w:lang w:val="en-US" w:eastAsia="zh-CN"/>
        </w:rPr>
        <w:t>滨河路</w:t>
      </w:r>
      <w:r>
        <w:rPr>
          <w:rFonts w:hint="eastAsia" w:ascii="仿宋_GB2312" w:hAnsi="仿宋_GB2312" w:eastAsia="仿宋_GB2312" w:cs="仿宋_GB2312"/>
        </w:rPr>
        <w:t>、东至</w:t>
      </w:r>
      <w:r>
        <w:rPr>
          <w:rFonts w:hint="eastAsia" w:ascii="仿宋_GB2312" w:hAnsi="仿宋_GB2312" w:cs="仿宋_GB2312"/>
          <w:lang w:val="en-US" w:eastAsia="zh-CN"/>
        </w:rPr>
        <w:t>黑马河</w:t>
      </w:r>
      <w:r>
        <w:rPr>
          <w:rFonts w:hint="eastAsia" w:ascii="仿宋_GB2312" w:hAnsi="仿宋_GB2312" w:eastAsia="仿宋_GB2312" w:cs="仿宋_GB2312"/>
        </w:rPr>
        <w:t>、西至</w:t>
      </w:r>
      <w:r>
        <w:rPr>
          <w:rFonts w:hint="eastAsia" w:ascii="仿宋_GB2312" w:hAnsi="仿宋_GB2312" w:cs="仿宋_GB2312"/>
          <w:lang w:val="en-US" w:eastAsia="zh-CN"/>
        </w:rPr>
        <w:t>青年路</w:t>
      </w:r>
      <w:r>
        <w:rPr>
          <w:rFonts w:hint="eastAsia" w:ascii="仿宋_GB2312" w:hAnsi="仿宋_GB2312" w:eastAsia="仿宋_GB2312" w:cs="仿宋_GB2312"/>
        </w:rPr>
        <w:t>，面积</w:t>
      </w:r>
      <w:r>
        <w:rPr>
          <w:rFonts w:hint="eastAsia" w:ascii="仿宋_GB2312" w:hAnsi="仿宋_GB2312" w:eastAsia="仿宋_GB2312" w:cs="仿宋_GB2312"/>
          <w:lang w:val="en-US" w:eastAsia="zh-CN"/>
        </w:rPr>
        <w:t>106.64</w:t>
      </w:r>
      <w:r>
        <w:rPr>
          <w:rFonts w:hint="eastAsia" w:ascii="仿宋_GB2312" w:hAnsi="仿宋_GB2312" w:eastAsia="仿宋_GB2312" w:cs="仿宋_GB2312"/>
        </w:rPr>
        <w:t>公顷，重点细化土地使用和空间布局，侧重功能完善和结构优化；镇域与镇区要落实重要管控要素的系统传导和衔接。规划基期为2020年，规划期限为2021-2035年，近期到2025年，远景展望到2050年。</w:t>
      </w:r>
    </w:p>
    <w:p w14:paraId="73A8461C">
      <w:pPr>
        <w:rPr>
          <w:rFonts w:hint="eastAsia" w:ascii="仿宋_GB2312" w:hAnsi="仿宋_GB2312" w:eastAsia="仿宋_GB2312" w:cs="仿宋_GB2312"/>
        </w:rPr>
      </w:pPr>
      <w:r>
        <w:rPr>
          <w:rFonts w:hint="eastAsia" w:ascii="仿宋_GB2312" w:hAnsi="仿宋_GB2312" w:eastAsia="仿宋_GB2312" w:cs="仿宋_GB2312"/>
        </w:rPr>
        <w:t>文本中加下划线的内容以及附表中约束性指标为规划的强制性内容。本规划自海南州人民政府批复之日起生效，由</w:t>
      </w:r>
      <w:r>
        <w:rPr>
          <w:rFonts w:hint="eastAsia" w:ascii="仿宋_GB2312" w:hAnsi="仿宋_GB2312" w:cs="仿宋_GB2312"/>
          <w:lang w:val="en-US" w:eastAsia="zh-CN"/>
        </w:rPr>
        <w:t>黑马河</w:t>
      </w:r>
      <w:r>
        <w:rPr>
          <w:rFonts w:hint="eastAsia" w:ascii="仿宋_GB2312" w:hAnsi="仿宋_GB2312" w:eastAsia="仿宋_GB2312" w:cs="仿宋_GB2312"/>
        </w:rPr>
        <w:t>镇人民政府组织实施，任何单位和个人不得违反和擅自修改。因国家重大战略调整、重大项目建设或者行政区划调整等确需修改本规划的，须按照法定程序进行修改。</w:t>
      </w:r>
    </w:p>
    <w:p w14:paraId="3F735EEF">
      <w:pPr>
        <w:rPr>
          <w:rFonts w:hint="eastAsia" w:ascii="仿宋_GB2312" w:hAnsi="仿宋_GB2312" w:eastAsia="仿宋_GB2312" w:cs="仿宋_GB2312"/>
        </w:rPr>
      </w:pPr>
      <w:r>
        <w:rPr>
          <w:rFonts w:hint="eastAsia" w:ascii="仿宋_GB2312" w:hAnsi="仿宋_GB2312" w:eastAsia="仿宋_GB2312" w:cs="仿宋_GB2312"/>
        </w:rPr>
        <w:br w:type="page"/>
      </w:r>
    </w:p>
    <w:p w14:paraId="1B713DB7">
      <w:pPr>
        <w:pStyle w:val="2"/>
        <w:ind w:left="-140"/>
        <w:rPr>
          <w:rFonts w:hint="eastAsia" w:ascii="方正小标宋简体" w:hAnsi="方正小标宋简体" w:eastAsia="方正小标宋简体" w:cs="方正小标宋简体"/>
          <w:b w:val="0"/>
          <w:bCs w:val="0"/>
        </w:rPr>
      </w:pPr>
      <w:bookmarkStart w:id="14" w:name="_Toc30768"/>
      <w:bookmarkStart w:id="15" w:name="_Toc10397"/>
      <w:r>
        <w:rPr>
          <w:rFonts w:hint="eastAsia" w:ascii="方正小标宋简体" w:hAnsi="方正小标宋简体" w:eastAsia="方正小标宋简体" w:cs="方正小标宋简体"/>
          <w:b w:val="0"/>
          <w:bCs w:val="0"/>
          <w:lang w:val="en-US" w:eastAsia="zh-CN"/>
        </w:rPr>
        <w:t>规划背景</w:t>
      </w:r>
      <w:bookmarkEnd w:id="14"/>
      <w:bookmarkEnd w:id="15"/>
    </w:p>
    <w:p w14:paraId="5664461E">
      <w:pPr>
        <w:pStyle w:val="3"/>
        <w:keepNext/>
        <w:keepLines/>
        <w:pageBreakBefore w:val="0"/>
        <w:widowControl w:val="0"/>
        <w:numPr>
          <w:ilvl w:val="1"/>
          <w:numId w:val="7"/>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16" w:name="_Toc797"/>
      <w:bookmarkStart w:id="17" w:name="_Toc31465"/>
      <w:r>
        <w:rPr>
          <w:rFonts w:hint="eastAsia" w:ascii="Arial" w:hAnsi="Arial" w:eastAsia="黑体" w:cs="Times New Roman"/>
          <w:b w:val="0"/>
          <w:lang w:val="zh-CN"/>
        </w:rPr>
        <w:t>禀赋与条件</w:t>
      </w:r>
      <w:bookmarkEnd w:id="16"/>
      <w:bookmarkEnd w:id="17"/>
    </w:p>
    <w:p w14:paraId="1A77393D">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基本情况</w:t>
      </w:r>
    </w:p>
    <w:p w14:paraId="1D640124">
      <w:pPr>
        <w:ind w:firstLine="560"/>
        <w:rPr>
          <w:rFonts w:hint="default" w:ascii="仿宋_GB2312" w:hAnsi="仿宋_GB2312" w:eastAsia="仿宋_GB2312" w:cs="仿宋_GB2312"/>
          <w:lang w:val="en-US" w:eastAsia="zh-CN"/>
        </w:rPr>
      </w:pPr>
      <w:r>
        <w:rPr>
          <w:rFonts w:hint="eastAsia" w:ascii="楷体_GB2312" w:hAnsi="楷体_GB2312" w:eastAsia="楷体_GB2312" w:cs="楷体_GB2312"/>
          <w:b w:val="0"/>
          <w:bCs w:val="0"/>
          <w:lang w:val="en-US" w:eastAsia="zh-CN"/>
        </w:rPr>
        <w:t>自然地理格局清晰。</w:t>
      </w:r>
      <w:r>
        <w:rPr>
          <w:rFonts w:hint="eastAsia" w:ascii="仿宋_GB2312" w:hAnsi="仿宋_GB2312" w:eastAsia="仿宋_GB2312" w:cs="仿宋_GB2312"/>
          <w:lang w:val="en-US" w:eastAsia="zh-CN"/>
        </w:rPr>
        <w:t>镇域中部青海南山山脉将镇域一分为二，整体地势呈中部高南北低的形态。镇域北部地势相对低洼，平坦开阔，为临湖草原地带，南部为草原和部分耕地。</w:t>
      </w:r>
    </w:p>
    <w:p w14:paraId="1D9C4966">
      <w:pPr>
        <w:keepNext w:val="0"/>
        <w:keepLines w:val="0"/>
        <w:pageBreakBefore w:val="0"/>
        <w:widowControl w:val="0"/>
        <w:kinsoku/>
        <w:wordWrap/>
        <w:overflowPunct/>
        <w:topLinePunct w:val="0"/>
        <w:autoSpaceDE/>
        <w:autoSpaceDN/>
        <w:bidi w:val="0"/>
        <w:adjustRightInd/>
        <w:snapToGrid/>
        <w:spacing w:after="120" w:line="600" w:lineRule="exact"/>
        <w:ind w:firstLine="640" w:firstLineChars="200"/>
        <w:textAlignment w:val="auto"/>
        <w:rPr>
          <w:rFonts w:hint="eastAsia" w:ascii="仿宋_GB2312" w:hAnsi="仿宋_GB2312" w:eastAsia="仿宋_GB2312" w:cs="仿宋_GB2312"/>
          <w:bCs/>
          <w:kern w:val="2"/>
          <w:sz w:val="32"/>
          <w:szCs w:val="24"/>
          <w:lang w:val="en-US" w:eastAsia="zh-CN" w:bidi="ar-SA"/>
        </w:rPr>
      </w:pPr>
      <w:r>
        <w:rPr>
          <w:rFonts w:hint="eastAsia" w:ascii="楷体_GB2312" w:hAnsi="楷体_GB2312" w:eastAsia="楷体_GB2312" w:cs="楷体_GB2312"/>
          <w:bCs/>
          <w:kern w:val="2"/>
          <w:sz w:val="32"/>
          <w:szCs w:val="24"/>
          <w:lang w:val="en-US" w:eastAsia="zh-CN" w:bidi="ar-SA"/>
        </w:rPr>
        <w:t>生态本底良好，生态重要性突出。</w:t>
      </w:r>
      <w:r>
        <w:rPr>
          <w:rFonts w:hint="eastAsia" w:ascii="仿宋_GB2312" w:hAnsi="仿宋_GB2312" w:eastAsia="仿宋_GB2312" w:cs="仿宋_GB2312"/>
          <w:bCs/>
          <w:kern w:val="2"/>
          <w:sz w:val="32"/>
          <w:szCs w:val="24"/>
          <w:lang w:val="en-US" w:eastAsia="zh-CN" w:bidi="ar-SA"/>
        </w:rPr>
        <w:t>镇域范围内山水林田湖草资源齐备，生态环境良好。西部青海湖是我国内陆最大的咸水湖，是全国重要的生态及物种多样性保护区域。</w:t>
      </w:r>
    </w:p>
    <w:p w14:paraId="6B12AF38">
      <w:pPr>
        <w:ind w:firstLine="560"/>
        <w:rPr>
          <w:rFonts w:hint="eastAsia" w:ascii="仿宋_GB2312" w:hAnsi="仿宋_GB2312" w:eastAsia="仿宋_GB2312" w:cs="仿宋_GB2312"/>
        </w:rPr>
      </w:pPr>
      <w:r>
        <w:rPr>
          <w:rFonts w:hint="eastAsia" w:ascii="楷体_GB2312" w:hAnsi="楷体_GB2312" w:eastAsia="楷体_GB2312" w:cs="楷体_GB2312"/>
          <w:b w:val="0"/>
          <w:bCs w:val="0"/>
          <w:lang w:val="en-US" w:eastAsia="zh-CN"/>
        </w:rPr>
        <w:t>文化底蕴魅力突出。</w:t>
      </w:r>
      <w:r>
        <w:rPr>
          <w:rFonts w:hint="eastAsia" w:ascii="仿宋_GB2312" w:hAnsi="仿宋_GB2312" w:eastAsia="仿宋_GB2312" w:cs="仿宋_GB2312"/>
        </w:rPr>
        <w:t>黑马河镇拥有深厚的藏传佛教文化底蕴</w:t>
      </w:r>
      <w:r>
        <w:rPr>
          <w:rFonts w:hint="eastAsia" w:ascii="仿宋_GB2312" w:hAnsi="仿宋_GB2312" w:eastAsia="仿宋_GB2312" w:cs="仿宋_GB2312"/>
          <w:lang w:eastAsia="zh-CN"/>
        </w:rPr>
        <w:t>，</w:t>
      </w:r>
      <w:r>
        <w:rPr>
          <w:rFonts w:hint="eastAsia" w:ascii="仿宋_GB2312" w:hAnsi="仿宋_GB2312" w:eastAsia="仿宋_GB2312" w:cs="仿宋_GB2312"/>
        </w:rPr>
        <w:t>藏传佛教内涵丰富，涵盖生活民俗、礼仪规范、天文历算、藏医、藏文、宗教信仰、政教制度，以及歌舞绘画艺术等多个方面。</w:t>
      </w:r>
    </w:p>
    <w:p w14:paraId="2676E9C2">
      <w:pPr>
        <w:ind w:firstLine="560"/>
        <w:rPr>
          <w:rFonts w:hint="eastAsia" w:ascii="仿宋_GB2312" w:hAnsi="仿宋_GB2312" w:eastAsia="仿宋_GB2312" w:cs="仿宋_GB2312"/>
        </w:rPr>
      </w:pPr>
      <w:r>
        <w:rPr>
          <w:rFonts w:hint="eastAsia" w:ascii="楷体_GB2312" w:hAnsi="楷体_GB2312" w:eastAsia="楷体_GB2312" w:cs="楷体_GB2312"/>
          <w:b w:val="0"/>
          <w:bCs w:val="0"/>
          <w:lang w:val="en-US" w:eastAsia="zh-CN"/>
        </w:rPr>
        <w:t>区位交通优势明显。</w:t>
      </w:r>
      <w:r>
        <w:rPr>
          <w:rFonts w:hint="eastAsia" w:ascii="仿宋_GB2312" w:hAnsi="仿宋_GB2312" w:eastAsia="仿宋_GB2312" w:cs="仿宋_GB2312"/>
          <w:lang w:val="en-US" w:eastAsia="zh-CN"/>
        </w:rPr>
        <w:t>黑马河镇毗邻青海湖南侧，</w:t>
      </w:r>
      <w:r>
        <w:rPr>
          <w:rFonts w:hint="eastAsia" w:ascii="仿宋_GB2312" w:hAnsi="仿宋_GB2312" w:eastAsia="仿宋_GB2312" w:cs="仿宋_GB2312"/>
          <w:b w:val="0"/>
          <w:bCs w:val="0"/>
          <w:lang w:val="en-US" w:eastAsia="zh-CN"/>
        </w:rPr>
        <w:t>地处环青海湖旅游核心区</w:t>
      </w:r>
      <w:r>
        <w:rPr>
          <w:rFonts w:hint="eastAsia" w:ascii="仿宋_GB2312" w:hAnsi="仿宋_GB2312" w:eastAsia="仿宋_GB2312" w:cs="仿宋_GB2312"/>
          <w:b/>
          <w:bCs/>
          <w:lang w:val="en-US" w:eastAsia="zh-CN"/>
        </w:rPr>
        <w:t>，</w:t>
      </w:r>
      <w:r>
        <w:rPr>
          <w:rFonts w:hint="eastAsia" w:ascii="仿宋_GB2312" w:hAnsi="仿宋_GB2312" w:eastAsia="仿宋_GB2312" w:cs="仿宋_GB2312"/>
          <w:lang w:val="en-US" w:eastAsia="zh-CN"/>
        </w:rPr>
        <w:t>青海湖旅游专线</w:t>
      </w:r>
      <w:r>
        <w:rPr>
          <w:rFonts w:hint="eastAsia" w:ascii="仿宋_GB2312" w:hAnsi="仿宋_GB2312" w:cs="仿宋_GB2312"/>
          <w:lang w:val="en-US" w:eastAsia="zh-CN"/>
        </w:rPr>
        <w:t>、</w:t>
      </w:r>
      <w:r>
        <w:rPr>
          <w:rFonts w:hint="eastAsia" w:ascii="仿宋_GB2312" w:hAnsi="仿宋_GB2312" w:eastAsia="仿宋_GB2312" w:cs="仿宋_GB2312"/>
          <w:lang w:val="en-US" w:eastAsia="zh-CN"/>
        </w:rPr>
        <w:t>省道S208穿</w:t>
      </w:r>
      <w:r>
        <w:rPr>
          <w:rFonts w:hint="eastAsia" w:ascii="仿宋_GB2312" w:hAnsi="仿宋_GB2312" w:eastAsia="仿宋_GB2312" w:cs="仿宋_GB2312"/>
        </w:rPr>
        <w:t>镇区</w:t>
      </w:r>
      <w:r>
        <w:rPr>
          <w:rFonts w:hint="eastAsia" w:ascii="仿宋_GB2312" w:hAnsi="仿宋_GB2312" w:eastAsia="仿宋_GB2312" w:cs="仿宋_GB2312"/>
          <w:lang w:val="en-US" w:eastAsia="zh-CN"/>
        </w:rPr>
        <w:t>而过，镇域</w:t>
      </w:r>
      <w:r>
        <w:rPr>
          <w:rFonts w:hint="eastAsia" w:ascii="仿宋_GB2312" w:hAnsi="仿宋_GB2312" w:eastAsia="仿宋_GB2312" w:cs="仿宋_GB2312"/>
        </w:rPr>
        <w:t>南部有京藏高速</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G6</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东西向穿境而过，</w:t>
      </w:r>
      <w:r>
        <w:rPr>
          <w:rFonts w:hint="eastAsia" w:ascii="仿宋_GB2312" w:hAnsi="仿宋_GB2312" w:eastAsia="仿宋_GB2312" w:cs="仿宋_GB2312"/>
        </w:rPr>
        <w:t>是进藏的通道的重要节点。</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02981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96" w:type="dxa"/>
            <w:tcBorders>
              <w:top w:val="single" w:color="auto" w:sz="4" w:space="0"/>
              <w:left w:val="single" w:color="auto" w:sz="4" w:space="0"/>
              <w:bottom w:val="single" w:color="auto" w:sz="4" w:space="0"/>
              <w:right w:val="single" w:color="auto" w:sz="4" w:space="0"/>
            </w:tcBorders>
          </w:tcPr>
          <w:p w14:paraId="2FF798B0">
            <w:pPr>
              <w:tabs>
                <w:tab w:val="left" w:pos="353"/>
              </w:tabs>
              <w:spacing w:line="600" w:lineRule="exact"/>
              <w:ind w:firstLine="21" w:firstLineChars="7"/>
              <w:jc w:val="center"/>
              <w:rPr>
                <w:rFonts w:ascii="黑体" w:hAnsi="黑体" w:eastAsia="黑体" w:cs="Times New Roman"/>
                <w:sz w:val="30"/>
                <w:szCs w:val="30"/>
              </w:rPr>
            </w:pPr>
            <w:r>
              <w:rPr>
                <w:rFonts w:hint="eastAsia" w:ascii="黑体" w:hAnsi="黑体" w:eastAsia="黑体" w:cs="Times New Roman"/>
                <w:sz w:val="30"/>
                <w:szCs w:val="30"/>
              </w:rPr>
              <w:t>专栏</w:t>
            </w:r>
            <w:r>
              <w:rPr>
                <w:rFonts w:ascii="黑体" w:hAnsi="黑体" w:eastAsia="黑体" w:cs="Times New Roman"/>
                <w:sz w:val="30"/>
                <w:szCs w:val="30"/>
              </w:rPr>
              <w:t xml:space="preserve">1 </w:t>
            </w:r>
            <w:r>
              <w:rPr>
                <w:rFonts w:hint="eastAsia" w:ascii="黑体" w:hAnsi="黑体" w:eastAsia="黑体" w:cs="Times New Roman"/>
                <w:sz w:val="30"/>
                <w:szCs w:val="30"/>
              </w:rPr>
              <w:t>主要自然资源总体状况</w:t>
            </w:r>
          </w:p>
        </w:tc>
      </w:tr>
      <w:tr w14:paraId="2DBF4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96" w:type="dxa"/>
            <w:tcBorders>
              <w:top w:val="single" w:color="auto" w:sz="4" w:space="0"/>
              <w:left w:val="single" w:color="auto" w:sz="4" w:space="0"/>
              <w:bottom w:val="single" w:color="auto" w:sz="4" w:space="0"/>
              <w:right w:val="single" w:color="auto" w:sz="4" w:space="0"/>
            </w:tcBorders>
          </w:tcPr>
          <w:p w14:paraId="2F004597">
            <w:pPr>
              <w:keepNext w:val="0"/>
              <w:keepLines w:val="0"/>
              <w:pageBreakBefore w:val="0"/>
              <w:widowControl w:val="0"/>
              <w:kinsoku/>
              <w:wordWrap/>
              <w:overflowPunct/>
              <w:topLinePunct w:val="0"/>
              <w:autoSpaceDE/>
              <w:autoSpaceDN/>
              <w:bidi w:val="0"/>
              <w:adjustRightInd/>
              <w:snapToGrid/>
              <w:spacing w:after="0" w:line="600" w:lineRule="exact"/>
              <w:ind w:firstLine="480" w:firstLineChars="200"/>
              <w:jc w:val="both"/>
              <w:textAlignment w:val="auto"/>
              <w:rPr>
                <w:rFonts w:ascii="楷体_GB2312" w:hAnsi="仿宋_GB2312" w:eastAsia="楷体_GB2312" w:cs="Times New Roman"/>
                <w:kern w:val="2"/>
                <w:sz w:val="24"/>
                <w:szCs w:val="24"/>
                <w:lang w:val="en-US" w:eastAsia="zh-CN" w:bidi="ar-SA"/>
              </w:rPr>
            </w:pPr>
            <w:r>
              <w:rPr>
                <w:rFonts w:hint="eastAsia" w:ascii="楷体_GB2312" w:hAnsi="仿宋_GB2312" w:eastAsia="楷体_GB2312" w:cs="Times New Roman"/>
                <w:kern w:val="2"/>
                <w:sz w:val="24"/>
                <w:szCs w:val="24"/>
                <w:lang w:val="en-US" w:eastAsia="zh-CN" w:bidi="ar-SA"/>
              </w:rPr>
              <w:t>土地资源。</w:t>
            </w:r>
            <w:r>
              <w:rPr>
                <w:rFonts w:hint="eastAsia" w:ascii="仿宋_GB2312" w:hAnsi="仿宋_GB2312" w:eastAsia="仿宋_GB2312" w:cs="仿宋_GB2312"/>
                <w:sz w:val="24"/>
                <w:szCs w:val="24"/>
                <w:vertAlign w:val="baseline"/>
                <w:lang w:val="en-US" w:eastAsia="zh-CN"/>
              </w:rPr>
              <w:t>黑马河镇耕地面积约6.45平方千米</w:t>
            </w:r>
            <w:r>
              <w:rPr>
                <w:rFonts w:hint="eastAsia" w:ascii="仿宋_GB2312" w:hAnsi="仿宋_GB2312" w:cs="仿宋_GB2312"/>
                <w:sz w:val="24"/>
                <w:szCs w:val="24"/>
                <w:vertAlign w:val="baseline"/>
                <w:lang w:val="en-US" w:eastAsia="zh-CN"/>
              </w:rPr>
              <w:t>，</w:t>
            </w:r>
            <w:r>
              <w:rPr>
                <w:rFonts w:hint="eastAsia" w:ascii="仿宋_GB2312" w:hAnsi="仿宋_GB2312" w:eastAsia="仿宋_GB2312" w:cs="仿宋_GB2312"/>
                <w:sz w:val="24"/>
                <w:szCs w:val="24"/>
                <w:vertAlign w:val="baseline"/>
                <w:lang w:val="en-US" w:eastAsia="zh-CN"/>
              </w:rPr>
              <w:t>林地面积约87.82平方千米</w:t>
            </w:r>
            <w:r>
              <w:rPr>
                <w:rFonts w:hint="eastAsia" w:ascii="仿宋_GB2312" w:hAnsi="仿宋_GB2312" w:cs="仿宋_GB2312"/>
                <w:sz w:val="24"/>
                <w:szCs w:val="24"/>
                <w:vertAlign w:val="baseline"/>
                <w:lang w:val="en-US" w:eastAsia="zh-CN"/>
              </w:rPr>
              <w:t>，</w:t>
            </w:r>
            <w:r>
              <w:rPr>
                <w:rFonts w:hint="eastAsia" w:ascii="仿宋_GB2312" w:hAnsi="仿宋_GB2312" w:eastAsia="仿宋_GB2312" w:cs="仿宋_GB2312"/>
                <w:sz w:val="24"/>
                <w:szCs w:val="24"/>
                <w:vertAlign w:val="baseline"/>
                <w:lang w:val="en-US" w:eastAsia="zh-CN"/>
              </w:rPr>
              <w:t>草地面积约971.72平方千米，湿地面积约21.50平方千米，农业设施建设用地面积约2.58平方千米，城乡建设用地面积约1.3</w:t>
            </w:r>
            <w:r>
              <w:rPr>
                <w:rFonts w:hint="eastAsia" w:ascii="仿宋_GB2312" w:hAnsi="仿宋_GB2312" w:cs="仿宋_GB2312"/>
                <w:sz w:val="24"/>
                <w:szCs w:val="24"/>
                <w:vertAlign w:val="baseline"/>
                <w:lang w:val="en-US" w:eastAsia="zh-CN"/>
              </w:rPr>
              <w:t>1</w:t>
            </w:r>
            <w:r>
              <w:rPr>
                <w:rFonts w:hint="eastAsia" w:ascii="仿宋_GB2312" w:hAnsi="仿宋_GB2312" w:eastAsia="仿宋_GB2312" w:cs="仿宋_GB2312"/>
                <w:sz w:val="24"/>
                <w:szCs w:val="24"/>
                <w:vertAlign w:val="baseline"/>
                <w:lang w:val="en-US" w:eastAsia="zh-CN"/>
              </w:rPr>
              <w:t>平方千米，其中，城镇用地面积约0.3</w:t>
            </w:r>
            <w:r>
              <w:rPr>
                <w:rFonts w:hint="eastAsia" w:ascii="仿宋_GB2312" w:hAnsi="仿宋_GB2312" w:cs="仿宋_GB2312"/>
                <w:sz w:val="24"/>
                <w:szCs w:val="24"/>
                <w:vertAlign w:val="baseline"/>
                <w:lang w:val="en-US" w:eastAsia="zh-CN"/>
              </w:rPr>
              <w:t>6</w:t>
            </w:r>
            <w:r>
              <w:rPr>
                <w:rFonts w:hint="eastAsia" w:ascii="仿宋_GB2312" w:hAnsi="仿宋_GB2312" w:eastAsia="仿宋_GB2312" w:cs="仿宋_GB2312"/>
                <w:sz w:val="24"/>
                <w:szCs w:val="24"/>
                <w:vertAlign w:val="baseline"/>
                <w:lang w:val="en-US" w:eastAsia="zh-CN"/>
              </w:rPr>
              <w:t>平方千米，村庄用地面积约0.9</w:t>
            </w:r>
            <w:r>
              <w:rPr>
                <w:rFonts w:hint="eastAsia" w:ascii="仿宋_GB2312" w:hAnsi="仿宋_GB2312" w:cs="仿宋_GB2312"/>
                <w:sz w:val="24"/>
                <w:szCs w:val="24"/>
                <w:vertAlign w:val="baseline"/>
                <w:lang w:val="en-US" w:eastAsia="zh-CN"/>
              </w:rPr>
              <w:t>5</w:t>
            </w:r>
            <w:r>
              <w:rPr>
                <w:rFonts w:hint="eastAsia" w:ascii="仿宋_GB2312" w:hAnsi="仿宋_GB2312" w:eastAsia="仿宋_GB2312" w:cs="仿宋_GB2312"/>
                <w:sz w:val="24"/>
                <w:szCs w:val="24"/>
                <w:vertAlign w:val="baseline"/>
                <w:lang w:val="en-US" w:eastAsia="zh-CN"/>
              </w:rPr>
              <w:t>平方千米，区域基础设施用地面积约2.</w:t>
            </w:r>
            <w:r>
              <w:rPr>
                <w:rFonts w:hint="eastAsia" w:ascii="仿宋_GB2312" w:hAnsi="仿宋_GB2312" w:cs="仿宋_GB2312"/>
                <w:sz w:val="24"/>
                <w:szCs w:val="24"/>
                <w:vertAlign w:val="baseline"/>
                <w:lang w:val="en-US" w:eastAsia="zh-CN"/>
              </w:rPr>
              <w:t>52</w:t>
            </w:r>
            <w:r>
              <w:rPr>
                <w:rFonts w:hint="eastAsia" w:ascii="仿宋_GB2312" w:hAnsi="仿宋_GB2312" w:eastAsia="仿宋_GB2312" w:cs="仿宋_GB2312"/>
                <w:sz w:val="24"/>
                <w:szCs w:val="24"/>
                <w:vertAlign w:val="baseline"/>
                <w:lang w:val="en-US" w:eastAsia="zh-CN"/>
              </w:rPr>
              <w:t>平方千米，其他建设用地面积约0.3</w:t>
            </w:r>
            <w:r>
              <w:rPr>
                <w:rFonts w:hint="eastAsia" w:ascii="仿宋_GB2312" w:hAnsi="仿宋_GB2312" w:cs="仿宋_GB2312"/>
                <w:sz w:val="24"/>
                <w:szCs w:val="24"/>
                <w:vertAlign w:val="baseline"/>
                <w:lang w:val="en-US" w:eastAsia="zh-CN"/>
              </w:rPr>
              <w:t>1</w:t>
            </w:r>
            <w:r>
              <w:rPr>
                <w:rFonts w:hint="eastAsia" w:ascii="仿宋_GB2312" w:hAnsi="仿宋_GB2312" w:eastAsia="仿宋_GB2312" w:cs="仿宋_GB2312"/>
                <w:sz w:val="24"/>
                <w:szCs w:val="24"/>
                <w:vertAlign w:val="baseline"/>
                <w:lang w:val="en-US" w:eastAsia="zh-CN"/>
              </w:rPr>
              <w:t>平方千米，陆地水域面积约13.45平方千米，其他土地面积约</w:t>
            </w:r>
            <w:r>
              <w:rPr>
                <w:rFonts w:hint="eastAsia" w:ascii="仿宋_GB2312" w:hAnsi="仿宋_GB2312" w:cs="仿宋_GB2312"/>
                <w:sz w:val="24"/>
                <w:szCs w:val="24"/>
                <w:vertAlign w:val="baseline"/>
                <w:lang w:val="en-US" w:eastAsia="zh-CN"/>
              </w:rPr>
              <w:t>49.33</w:t>
            </w:r>
            <w:r>
              <w:rPr>
                <w:rFonts w:hint="eastAsia" w:ascii="仿宋_GB2312" w:hAnsi="仿宋_GB2312" w:eastAsia="仿宋_GB2312" w:cs="仿宋_GB2312"/>
                <w:sz w:val="24"/>
                <w:szCs w:val="24"/>
                <w:vertAlign w:val="baseline"/>
                <w:lang w:val="en-US" w:eastAsia="zh-CN"/>
              </w:rPr>
              <w:t>平方千米。</w:t>
            </w:r>
          </w:p>
          <w:p w14:paraId="1CE00F08">
            <w:pPr>
              <w:keepNext w:val="0"/>
              <w:keepLines w:val="0"/>
              <w:pageBreakBefore w:val="0"/>
              <w:widowControl w:val="0"/>
              <w:tabs>
                <w:tab w:val="left" w:pos="353"/>
              </w:tabs>
              <w:kinsoku/>
              <w:wordWrap/>
              <w:overflowPunct/>
              <w:topLinePunct w:val="0"/>
              <w:autoSpaceDE/>
              <w:autoSpaceDN/>
              <w:bidi w:val="0"/>
              <w:adjustRightInd/>
              <w:snapToGrid/>
              <w:spacing w:line="600" w:lineRule="exact"/>
              <w:ind w:firstLine="480" w:firstLineChars="200"/>
              <w:textAlignment w:val="auto"/>
              <w:rPr>
                <w:rFonts w:ascii="仿宋_GB2312" w:hAnsi="仿宋_GB2312" w:eastAsia="仿宋_GB2312" w:cs="Times New Roman"/>
                <w:sz w:val="24"/>
                <w:szCs w:val="24"/>
              </w:rPr>
            </w:pPr>
            <w:r>
              <w:rPr>
                <w:rFonts w:hint="eastAsia" w:ascii="楷体_GB2312" w:hAnsi="仿宋_GB2312" w:eastAsia="楷体_GB2312" w:cs="Times New Roman"/>
                <w:sz w:val="24"/>
                <w:szCs w:val="24"/>
              </w:rPr>
              <w:t>水资源</w:t>
            </w:r>
            <w:r>
              <w:rPr>
                <w:rFonts w:hint="eastAsia" w:ascii="仿宋_GB2312" w:hAnsi="仿宋_GB2312" w:eastAsia="仿宋_GB2312" w:cs="Times New Roman"/>
                <w:sz w:val="24"/>
                <w:szCs w:val="24"/>
              </w:rPr>
              <w:t>。</w:t>
            </w:r>
            <w:r>
              <w:rPr>
                <w:rFonts w:hint="eastAsia" w:ascii="仿宋_GB2312" w:hAnsi="仿宋_GB2312" w:eastAsia="仿宋_GB2312" w:cs="仿宋_GB2312"/>
                <w:sz w:val="24"/>
                <w:szCs w:val="24"/>
              </w:rPr>
              <w:t>镇域东北部紧靠青海湖，主要以湖泊水面为主，坑塘和沟渠占比较少</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主要河流为起于青海南山，止于青海湖</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黑马河</w:t>
            </w:r>
            <w:r>
              <w:rPr>
                <w:rFonts w:hint="eastAsia" w:ascii="仿宋_GB2312" w:hAnsi="仿宋_GB2312" w:eastAsia="仿宋_GB2312" w:cs="Times New Roman"/>
                <w:sz w:val="24"/>
                <w:szCs w:val="24"/>
              </w:rPr>
              <w:t>。青海湖是我国最大的内陆高原微咸水湖，湖水总容量854亿立方米，含盐量12.49克/升，矿化度在12.5～13.2克/升之间，湖面海拔3196米，平均水深19.15米</w:t>
            </w:r>
            <w:r>
              <w:rPr>
                <w:rFonts w:hint="eastAsia" w:ascii="仿宋_GB2312" w:hAnsi="仿宋_GB2312" w:eastAsia="仿宋_GB2312" w:cs="Times New Roman"/>
                <w:sz w:val="24"/>
                <w:szCs w:val="24"/>
                <w:lang w:eastAsia="zh-CN"/>
              </w:rPr>
              <w:t>。</w:t>
            </w:r>
          </w:p>
          <w:p w14:paraId="27B31D0C">
            <w:pPr>
              <w:keepNext w:val="0"/>
              <w:keepLines w:val="0"/>
              <w:pageBreakBefore w:val="0"/>
              <w:widowControl w:val="0"/>
              <w:tabs>
                <w:tab w:val="left" w:pos="353"/>
              </w:tabs>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Times New Roman"/>
                <w:sz w:val="24"/>
                <w:szCs w:val="24"/>
              </w:rPr>
            </w:pPr>
            <w:r>
              <w:rPr>
                <w:rFonts w:hint="eastAsia" w:ascii="楷体_GB2312" w:hAnsi="仿宋_GB2312" w:eastAsia="楷体_GB2312" w:cs="Times New Roman"/>
                <w:sz w:val="24"/>
                <w:szCs w:val="24"/>
              </w:rPr>
              <w:t>野生动植物资源。</w:t>
            </w:r>
            <w:r>
              <w:rPr>
                <w:rFonts w:hint="eastAsia" w:ascii="楷体_GB2312" w:hAnsi="仿宋_GB2312" w:eastAsia="楷体_GB2312" w:cs="Times New Roman"/>
                <w:sz w:val="24"/>
                <w:szCs w:val="24"/>
                <w:lang w:eastAsia="zh-CN"/>
              </w:rPr>
              <w:t>青海湖</w:t>
            </w:r>
            <w:r>
              <w:rPr>
                <w:rFonts w:hint="eastAsia" w:ascii="仿宋_GB2312" w:hAnsi="仿宋_GB2312" w:eastAsia="仿宋_GB2312" w:cs="仿宋_GB2312"/>
                <w:sz w:val="24"/>
                <w:szCs w:val="24"/>
              </w:rPr>
              <w:t>流域在中国植物区系分区上属泛北极植物区内青藏植物亚区的唐古特区，是青藏高原生物多样性的重要区域。青海湖流域内现有种子植物52科，174属，445种。其中，国家二级保护植物13种。青海湖流域的动物区系组成，以典型青藏高原野生动物成分为</w:t>
            </w:r>
            <w:r>
              <w:rPr>
                <w:rFonts w:hint="eastAsia" w:ascii="仿宋_GB2312" w:hAnsi="仿宋_GB2312" w:cs="仿宋_GB2312"/>
                <w:sz w:val="24"/>
                <w:szCs w:val="24"/>
                <w:lang w:eastAsia="zh-CN"/>
              </w:rPr>
              <w:t>主体</w:t>
            </w:r>
            <w:r>
              <w:rPr>
                <w:rFonts w:hint="eastAsia" w:ascii="仿宋_GB2312" w:hAnsi="仿宋_GB2312" w:eastAsia="仿宋_GB2312" w:cs="仿宋_GB2312"/>
                <w:sz w:val="24"/>
                <w:szCs w:val="24"/>
              </w:rPr>
              <w:t>，兽类以啮齿目、食肉目、偶蹄目种类较多，鸟类以雁形目、鸥形目数量居多，雀形目种类较多。青海湖流域共有兽类6目16科42种，鸟类16目42科289种，两栖爬行类8种，鱼类8种。其中，国家一级保护动物包括普氏原羚、黑颈鹤等15种；国家二级保护动物包括藏原羚、鹅喉羚、岩羊、血雉、大天鹅等31种；特有种共9种，其中，中国特有种包括斑尾榛鸡、黑颈鹤、青海沙蜥等，青海湖特有种包括普氏原羚、青海湖裸鲤</w:t>
            </w:r>
            <w:r>
              <w:rPr>
                <w:rFonts w:hint="eastAsia" w:ascii="仿宋_GB2312" w:hAnsi="仿宋_GB2312" w:eastAsia="仿宋_GB2312" w:cs="Times New Roman"/>
                <w:sz w:val="24"/>
                <w:szCs w:val="24"/>
              </w:rPr>
              <w:t>。</w:t>
            </w:r>
          </w:p>
          <w:p w14:paraId="796B354A">
            <w:pPr>
              <w:keepNext w:val="0"/>
              <w:keepLines w:val="0"/>
              <w:pageBreakBefore w:val="0"/>
              <w:widowControl w:val="0"/>
              <w:tabs>
                <w:tab w:val="left" w:pos="353"/>
              </w:tabs>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Times New Roman"/>
                <w:sz w:val="24"/>
                <w:szCs w:val="24"/>
              </w:rPr>
            </w:pPr>
            <w:r>
              <w:rPr>
                <w:rStyle w:val="91"/>
                <w:rFonts w:hint="eastAsia"/>
                <w:lang w:val="en-US" w:eastAsia="zh-CN"/>
              </w:rPr>
              <w:t>历史文化资源。</w:t>
            </w:r>
            <w:r>
              <w:rPr>
                <w:rFonts w:hint="eastAsia" w:ascii="仿宋_GB2312" w:hAnsi="仿宋_GB2312" w:eastAsia="仿宋_GB2312" w:cs="仿宋_GB2312"/>
                <w:b w:val="0"/>
                <w:bCs w:val="0"/>
                <w:sz w:val="24"/>
                <w:szCs w:val="24"/>
                <w:vertAlign w:val="baseline"/>
                <w:lang w:val="en-US" w:eastAsia="zh-CN"/>
              </w:rPr>
              <w:t>黑马河镇历史文化资源丰富，大喇嘛拉栽（黑马河景区）是青海湖周边祭海的一处要地，每年转湖的群众向湖</w:t>
            </w:r>
            <w:r>
              <w:rPr>
                <w:rFonts w:hint="eastAsia" w:ascii="仿宋_GB2312" w:hAnsi="仿宋_GB2312" w:eastAsia="仿宋_GB2312" w:cs="仿宋_GB2312"/>
                <w:sz w:val="24"/>
                <w:szCs w:val="24"/>
                <w:lang w:val="en-US" w:eastAsia="zh-CN"/>
              </w:rPr>
              <w:t>中抛掷宝瓶、即吉祥“代尔”，祈求人畜兴旺、风调雨顺。第十世班禅额尔德尼·确吉坚赞，于</w:t>
            </w:r>
            <w:r>
              <w:rPr>
                <w:rFonts w:hint="eastAsia" w:ascii="仿宋_GB2312" w:hAnsi="仿宋_GB2312" w:cs="仿宋_GB2312"/>
                <w:sz w:val="24"/>
                <w:szCs w:val="24"/>
                <w:lang w:val="en-US" w:eastAsia="zh-CN"/>
              </w:rPr>
              <w:t>20世纪</w:t>
            </w:r>
            <w:r>
              <w:rPr>
                <w:rFonts w:hint="eastAsia" w:ascii="仿宋_GB2312" w:hAnsi="仿宋_GB2312" w:eastAsia="仿宋_GB2312" w:cs="仿宋_GB2312"/>
                <w:sz w:val="24"/>
                <w:szCs w:val="24"/>
                <w:lang w:val="en-US" w:eastAsia="zh-CN"/>
              </w:rPr>
              <w:t>50年代和80年代曾先后两度在此祭海，从而闻名于藏区。</w:t>
            </w:r>
          </w:p>
        </w:tc>
      </w:tr>
    </w:tbl>
    <w:p w14:paraId="178D3FDA">
      <w:pPr>
        <w:pStyle w:val="3"/>
        <w:keepNext/>
        <w:keepLines/>
        <w:pageBreakBefore w:val="0"/>
        <w:widowControl w:val="0"/>
        <w:numPr>
          <w:ilvl w:val="1"/>
          <w:numId w:val="7"/>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18" w:name="_Toc1959"/>
      <w:bookmarkStart w:id="19" w:name="_Toc21726"/>
      <w:r>
        <w:rPr>
          <w:rFonts w:hint="eastAsia" w:ascii="Arial" w:hAnsi="Arial" w:eastAsia="黑体" w:cs="Times New Roman"/>
          <w:b w:val="0"/>
          <w:lang w:val="en-US" w:eastAsia="zh-CN"/>
        </w:rPr>
        <w:t>现状与问题</w:t>
      </w:r>
      <w:bookmarkEnd w:id="18"/>
      <w:bookmarkEnd w:id="19"/>
    </w:p>
    <w:p w14:paraId="629F538D">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20" w:name="_Toc20488"/>
      <w:bookmarkStart w:id="21" w:name="_Toc6399"/>
      <w:r>
        <w:rPr>
          <w:rFonts w:hint="eastAsia" w:ascii="楷体_GB2312" w:eastAsia="楷体_GB2312" w:cs="Times New Roman"/>
          <w:bCs/>
          <w:sz w:val="32"/>
          <w:szCs w:val="32"/>
          <w:lang w:val="en-US" w:eastAsia="zh-CN"/>
        </w:rPr>
        <w:t>现状成效</w:t>
      </w:r>
    </w:p>
    <w:p w14:paraId="669CA587">
      <w:pPr>
        <w:keepNext w:val="0"/>
        <w:keepLines w:val="0"/>
        <w:pageBreakBefore w:val="0"/>
        <w:widowControl w:val="0"/>
        <w:kinsoku/>
        <w:wordWrap/>
        <w:overflowPunct/>
        <w:topLinePunct w:val="0"/>
        <w:autoSpaceDE/>
        <w:autoSpaceDN/>
        <w:bidi w:val="0"/>
        <w:adjustRightInd/>
        <w:snapToGrid/>
        <w:spacing w:after="120" w:line="600" w:lineRule="exact"/>
        <w:ind w:firstLine="640" w:firstLineChars="200"/>
        <w:textAlignment w:val="auto"/>
        <w:rPr>
          <w:rFonts w:hint="eastAsia" w:ascii="仿宋_GB2312" w:hAnsi="仿宋_GB2312" w:eastAsia="仿宋_GB2312" w:cs="仿宋_GB2312"/>
          <w:bCs/>
          <w:kern w:val="2"/>
          <w:sz w:val="32"/>
          <w:szCs w:val="24"/>
          <w:lang w:val="en-US" w:eastAsia="zh-CN" w:bidi="ar-SA"/>
        </w:rPr>
      </w:pPr>
      <w:r>
        <w:rPr>
          <w:rFonts w:hint="eastAsia" w:ascii="楷体_GB2312" w:hAnsi="楷体_GB2312" w:eastAsia="楷体_GB2312" w:cs="楷体_GB2312"/>
          <w:kern w:val="2"/>
          <w:sz w:val="32"/>
          <w:szCs w:val="32"/>
          <w:lang w:val="en-US" w:eastAsia="zh-CN" w:bidi="ar-SA"/>
        </w:rPr>
        <w:t>生态安全屏障更加稳固。</w:t>
      </w:r>
      <w:r>
        <w:rPr>
          <w:rFonts w:hint="eastAsia" w:ascii="仿宋_GB2312" w:hAnsi="仿宋_GB2312" w:eastAsia="仿宋_GB2312" w:cs="仿宋_GB2312"/>
          <w:bCs/>
          <w:kern w:val="2"/>
          <w:sz w:val="32"/>
          <w:szCs w:val="24"/>
          <w:lang w:val="en-US" w:eastAsia="zh-CN" w:bidi="ar-SA"/>
        </w:rPr>
        <w:t>党的十八大以来，</w:t>
      </w:r>
      <w:r>
        <w:rPr>
          <w:rFonts w:hint="eastAsia" w:ascii="仿宋_GB2312" w:hAnsi="仿宋_GB2312" w:cs="仿宋_GB2312"/>
          <w:bCs/>
          <w:kern w:val="2"/>
          <w:sz w:val="32"/>
          <w:szCs w:val="24"/>
          <w:lang w:val="en-US" w:eastAsia="zh-CN" w:bidi="ar-SA"/>
        </w:rPr>
        <w:t>黑马河</w:t>
      </w:r>
      <w:r>
        <w:rPr>
          <w:rFonts w:hint="eastAsia" w:ascii="仿宋_GB2312" w:hAnsi="仿宋_GB2312" w:eastAsia="仿宋_GB2312" w:cs="仿宋_GB2312"/>
          <w:bCs/>
          <w:kern w:val="2"/>
          <w:sz w:val="32"/>
          <w:szCs w:val="24"/>
          <w:lang w:val="en-US" w:eastAsia="zh-CN" w:bidi="ar-SA"/>
        </w:rPr>
        <w:t>镇生态环境质量整体呈现向好趋势，环湖地区生态环境质量、生物多样性保护、生态保护与治理工程以及政策与制度保障等方面均取得了积极进展。推进了全县 “一湖一河、三山两盆地”的自然地理格局的总体稳定，其中“一湖”指青海湖，是我国最大的咸水湖、全县面积最大的生态保护区，同时也是全省重要生态屏障的构成部分。</w:t>
      </w:r>
    </w:p>
    <w:p w14:paraId="2DF58280">
      <w:pPr>
        <w:widowControl w:val="0"/>
        <w:spacing w:after="120" w:line="600" w:lineRule="exact"/>
        <w:ind w:firstLine="640"/>
        <w:jc w:val="both"/>
        <w:rPr>
          <w:rFonts w:hint="eastAsia" w:ascii="Calibri" w:hAnsi="Calibri" w:eastAsia="仿宋_GB2312" w:cs="Times New Roman"/>
          <w:kern w:val="2"/>
          <w:sz w:val="32"/>
          <w:szCs w:val="22"/>
          <w:lang w:val="en-US" w:eastAsia="zh-CN" w:bidi="ar-SA"/>
        </w:rPr>
      </w:pPr>
      <w:r>
        <w:rPr>
          <w:rFonts w:hint="eastAsia" w:ascii="楷体_GB2312" w:hAnsi="楷体_GB2312" w:eastAsia="楷体_GB2312" w:cs="楷体_GB2312"/>
          <w:kern w:val="2"/>
          <w:sz w:val="32"/>
          <w:szCs w:val="32"/>
          <w:lang w:val="en-US" w:eastAsia="zh-CN" w:bidi="ar-SA"/>
        </w:rPr>
        <w:t>农业空间质效提升。</w:t>
      </w:r>
      <w:r>
        <w:rPr>
          <w:rFonts w:hint="eastAsia" w:ascii="仿宋_GB2312" w:hAnsi="仿宋_GB2312" w:eastAsia="仿宋_GB2312" w:cs="仿宋_GB2312"/>
          <w:kern w:val="2"/>
          <w:sz w:val="32"/>
          <w:szCs w:val="22"/>
          <w:lang w:val="en-US" w:eastAsia="zh-CN" w:bidi="ar"/>
        </w:rPr>
        <w:t>黑马河镇</w:t>
      </w:r>
      <w:r>
        <w:rPr>
          <w:rFonts w:hint="eastAsia" w:ascii="Calibri" w:hAnsi="Calibri" w:eastAsia="仿宋_GB2312" w:cs="Times New Roman"/>
          <w:kern w:val="2"/>
          <w:sz w:val="32"/>
          <w:szCs w:val="22"/>
          <w:lang w:val="en-US" w:eastAsia="zh-CN" w:bidi="ar"/>
        </w:rPr>
        <w:t>全面完成耕地和永久基本农田保护任务</w:t>
      </w:r>
      <w:r>
        <w:rPr>
          <w:rFonts w:hint="eastAsia" w:ascii="Calibri" w:hAnsi="Calibri" w:eastAsia="仿宋_GB2312" w:cs="Times New Roman"/>
          <w:kern w:val="2"/>
          <w:sz w:val="32"/>
          <w:szCs w:val="22"/>
          <w:lang w:val="en-US" w:eastAsia="zh-CN" w:bidi="ar-SA"/>
        </w:rPr>
        <w:t>，耕地得到有效保护。积极推进高标准农田建设工程，提高耕地</w:t>
      </w:r>
      <w:r>
        <w:rPr>
          <w:rFonts w:hint="eastAsia" w:ascii="仿宋_GB2312" w:hAnsi="仿宋_GB2312" w:eastAsia="仿宋_GB2312" w:cs="仿宋_GB2312"/>
          <w:kern w:val="2"/>
          <w:sz w:val="32"/>
          <w:szCs w:val="22"/>
          <w:lang w:val="en-US" w:eastAsia="zh-CN" w:bidi="ar-SA"/>
        </w:rPr>
        <w:t>利用等别。草地资源丰富，植被类型包括温性草原、高寒草原、高寒草甸、盐生草甸等，镇牧草地面积</w:t>
      </w:r>
      <w:r>
        <w:rPr>
          <w:rFonts w:hint="eastAsia" w:ascii="仿宋_GB2312" w:hAnsi="仿宋_GB2312" w:eastAsia="仿宋_GB2312" w:cs="仿宋_GB2312"/>
          <w:kern w:val="2"/>
          <w:sz w:val="32"/>
          <w:szCs w:val="22"/>
          <w:lang w:val="en-US" w:eastAsia="zh-CN" w:bidi="ar"/>
        </w:rPr>
        <w:t>占国土总面积的</w:t>
      </w:r>
      <w:r>
        <w:rPr>
          <w:rFonts w:hint="eastAsia" w:ascii="仿宋_GB2312" w:hAnsi="仿宋_GB2312" w:eastAsia="仿宋_GB2312" w:cs="仿宋_GB2312"/>
          <w:kern w:val="2"/>
          <w:sz w:val="32"/>
          <w:szCs w:val="22"/>
          <w:lang w:val="en-US" w:eastAsia="zh-CN" w:bidi="ar-SA"/>
        </w:rPr>
        <w:t xml:space="preserve">83.77% </w:t>
      </w:r>
      <w:r>
        <w:rPr>
          <w:rFonts w:hint="eastAsia" w:ascii="Calibri" w:hAnsi="Calibri" w:eastAsia="仿宋_GB2312" w:cs="Times New Roman"/>
          <w:kern w:val="2"/>
          <w:sz w:val="32"/>
          <w:szCs w:val="22"/>
          <w:lang w:val="en-US" w:eastAsia="zh-CN" w:bidi="ar-SA"/>
        </w:rPr>
        <w:t>。</w:t>
      </w:r>
    </w:p>
    <w:p w14:paraId="07A25F94">
      <w:pPr>
        <w:pStyle w:val="16"/>
        <w:keepNext w:val="0"/>
        <w:keepLines w:val="0"/>
        <w:pageBreakBefore w:val="0"/>
        <w:widowControl w:val="0"/>
        <w:kinsoku/>
        <w:wordWrap/>
        <w:overflowPunct/>
        <w:topLinePunct w:val="0"/>
        <w:autoSpaceDE/>
        <w:autoSpaceDN/>
        <w:bidi w:val="0"/>
        <w:adjustRightInd/>
        <w:snapToGrid/>
        <w:spacing w:afterLines="-2147483648" w:afterAutospacing="0"/>
        <w:ind w:firstLine="640" w:firstLineChars="200"/>
        <w:textAlignment w:val="auto"/>
        <w:rPr>
          <w:rFonts w:hint="eastAsia" w:ascii="楷体_GB2312" w:hAnsi="楷体_GB2312" w:eastAsia="楷体_GB2312" w:cs="楷体_GB2312"/>
          <w:szCs w:val="32"/>
        </w:rPr>
      </w:pPr>
      <w:r>
        <w:rPr>
          <w:rFonts w:hint="eastAsia" w:ascii="楷体_GB2312" w:hAnsi="楷体_GB2312" w:eastAsia="楷体_GB2312" w:cs="楷体_GB2312"/>
          <w:szCs w:val="32"/>
          <w:lang w:val="en-US" w:eastAsia="zh-CN"/>
        </w:rPr>
        <w:t>城镇空间保障有效。</w:t>
      </w:r>
      <w:r>
        <w:rPr>
          <w:rFonts w:hint="eastAsia" w:ascii="仿宋_GB2312" w:hAnsi="仿宋_GB2312" w:eastAsia="仿宋_GB2312" w:cs="仿宋_GB2312"/>
          <w:szCs w:val="32"/>
          <w:lang w:val="en-US" w:eastAsia="zh-CN"/>
        </w:rPr>
        <w:t>全镇建设用地总量</w:t>
      </w:r>
      <w:r>
        <w:rPr>
          <w:rFonts w:hint="eastAsia" w:ascii="仿宋_GB2312" w:hAnsi="仿宋_GB2312" w:cs="仿宋_GB2312"/>
          <w:szCs w:val="32"/>
          <w:lang w:val="en-US" w:eastAsia="zh-CN"/>
        </w:rPr>
        <w:t>414.39</w:t>
      </w:r>
      <w:r>
        <w:rPr>
          <w:rFonts w:hint="eastAsia" w:ascii="仿宋_GB2312" w:hAnsi="仿宋_GB2312" w:eastAsia="仿宋_GB2312" w:cs="仿宋_GB2312"/>
          <w:szCs w:val="32"/>
          <w:lang w:val="en-US" w:eastAsia="zh-CN"/>
        </w:rPr>
        <w:t>公顷，占土地总面积比例仅0.</w:t>
      </w:r>
      <w:r>
        <w:rPr>
          <w:rFonts w:hint="eastAsia" w:ascii="仿宋_GB2312" w:hAnsi="仿宋_GB2312" w:cs="仿宋_GB2312"/>
          <w:szCs w:val="32"/>
          <w:lang w:val="en-US" w:eastAsia="zh-CN"/>
        </w:rPr>
        <w:t>36</w:t>
      </w:r>
      <w:r>
        <w:rPr>
          <w:rFonts w:hint="eastAsia" w:ascii="仿宋_GB2312" w:hAnsi="仿宋_GB2312" w:eastAsia="仿宋_GB2312" w:cs="仿宋_GB2312"/>
          <w:szCs w:val="32"/>
          <w:lang w:val="en-US" w:eastAsia="zh-CN"/>
        </w:rPr>
        <w:t>%。近十年空间拓展较快，尤其旅游业的发展带动了产业用地迅速增加，环湖地区村庄旅游服务用地有效支撑了旅游业的发展。镇区向西有序拓展，镇村两级公共服务设施基本高标准建成，城镇空间框架进一步拉开。环湖地区重点旅游服务项目空间保障有力。</w:t>
      </w:r>
    </w:p>
    <w:p w14:paraId="63552092">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eastAsia="楷体_GB2312" w:cs="Times New Roman"/>
          <w:bCs/>
          <w:sz w:val="32"/>
          <w:szCs w:val="32"/>
          <w:lang w:val="en-US" w:eastAsia="zh-CN"/>
        </w:rPr>
        <w:t>主要问题</w:t>
      </w:r>
    </w:p>
    <w:bookmarkEnd w:id="20"/>
    <w:bookmarkEnd w:id="21"/>
    <w:p w14:paraId="49522442">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产业发展布局有待优化。</w:t>
      </w:r>
      <w:r>
        <w:rPr>
          <w:rFonts w:hint="eastAsia" w:ascii="仿宋_GB2312" w:hAnsi="仿宋_GB2312" w:eastAsia="仿宋_GB2312" w:cs="仿宋_GB2312"/>
        </w:rPr>
        <w:t>黑马河镇城镇经济基础薄弱，目前以第一产业为主，第二产业因紧邻青海湖而受限，第三产业服务水平低下。</w:t>
      </w:r>
      <w:r>
        <w:rPr>
          <w:rFonts w:hint="eastAsia" w:ascii="仿宋_GB2312" w:hAnsi="仿宋_GB2312" w:cs="仿宋_GB2312"/>
          <w:lang w:val="en-US" w:eastAsia="zh-CN"/>
        </w:rPr>
        <w:t>镇域内</w:t>
      </w:r>
      <w:r>
        <w:rPr>
          <w:rFonts w:hint="eastAsia" w:ascii="仿宋_GB2312" w:hAnsi="仿宋_GB2312" w:eastAsia="仿宋_GB2312" w:cs="仿宋_GB2312"/>
        </w:rPr>
        <w:t>拥有丰富的草场资源，畜牧业发展前景良好。第三产业以环青海湖旅游商贸和民族文化产业为主，旅游人口以及旅游收入增势明显，但旅游服务设施</w:t>
      </w:r>
      <w:r>
        <w:rPr>
          <w:rFonts w:hint="eastAsia" w:ascii="仿宋_GB2312" w:hAnsi="仿宋_GB2312" w:eastAsia="仿宋_GB2312" w:cs="仿宋_GB2312"/>
          <w:lang w:val="en-US" w:eastAsia="zh-CN"/>
        </w:rPr>
        <w:t>配备</w:t>
      </w:r>
      <w:r>
        <w:rPr>
          <w:rFonts w:hint="eastAsia" w:ascii="仿宋_GB2312" w:hAnsi="仿宋_GB2312" w:eastAsia="仿宋_GB2312" w:cs="仿宋_GB2312"/>
        </w:rPr>
        <w:t>不足，同时文化资源挖掘不足，环湖各镇存在同质化发展现象。</w:t>
      </w:r>
    </w:p>
    <w:p w14:paraId="0C763B08">
      <w:pPr>
        <w:ind w:firstLine="560"/>
        <w:rPr>
          <w:rFonts w:hint="eastAsia" w:ascii="仿宋_GB2312" w:hAnsi="仿宋_GB2312" w:eastAsia="仿宋_GB2312" w:cs="仿宋_GB2312"/>
          <w:lang w:eastAsia="zh-CN"/>
        </w:rPr>
      </w:pPr>
      <w:r>
        <w:rPr>
          <w:rFonts w:hint="eastAsia" w:ascii="楷体_GB2312" w:hAnsi="楷体_GB2312" w:eastAsia="楷体_GB2312" w:cs="楷体_GB2312"/>
          <w:lang w:val="en-US" w:eastAsia="zh-CN"/>
        </w:rPr>
        <w:t>生态环境相对脆弱，</w:t>
      </w:r>
      <w:r>
        <w:rPr>
          <w:rFonts w:hint="eastAsia" w:ascii="楷体_GB2312" w:hAnsi="楷体_GB2312" w:eastAsia="楷体_GB2312" w:cs="楷体_GB2312"/>
          <w:szCs w:val="32"/>
        </w:rPr>
        <w:t>国土空间保护压力较大。</w:t>
      </w:r>
      <w:r>
        <w:rPr>
          <w:rFonts w:hint="eastAsia" w:ascii="仿宋_GB2312" w:hAnsi="仿宋_GB2312" w:eastAsia="仿宋_GB2312" w:cs="仿宋_GB2312"/>
          <w:szCs w:val="32"/>
        </w:rPr>
        <w:t>部分草场存在一定程度草场退化、水土流失情况，</w:t>
      </w:r>
      <w:r>
        <w:rPr>
          <w:rFonts w:hint="eastAsia" w:ascii="仿宋_GB2312" w:hAnsi="仿宋_GB2312" w:cs="仿宋_GB2312"/>
          <w:szCs w:val="32"/>
          <w:lang w:val="en-US" w:eastAsia="zh-CN"/>
        </w:rPr>
        <w:t>存在土地沙化现象。</w:t>
      </w:r>
      <w:r>
        <w:rPr>
          <w:rFonts w:hint="eastAsia" w:ascii="仿宋_GB2312" w:hAnsi="仿宋_GB2312" w:eastAsia="仿宋_GB2312" w:cs="仿宋_GB2312"/>
          <w:szCs w:val="32"/>
        </w:rPr>
        <w:t>同时</w:t>
      </w:r>
      <w:r>
        <w:rPr>
          <w:rFonts w:hint="eastAsia" w:ascii="仿宋_GB2312" w:hAnsi="仿宋_GB2312" w:cs="仿宋_GB2312"/>
          <w:szCs w:val="32"/>
          <w:lang w:val="en-US" w:eastAsia="zh-CN"/>
        </w:rPr>
        <w:t>镇域内存在</w:t>
      </w:r>
      <w:r>
        <w:rPr>
          <w:rFonts w:hint="eastAsia" w:ascii="仿宋_GB2312" w:hAnsi="仿宋_GB2312" w:eastAsia="仿宋_GB2312" w:cs="仿宋_GB2312"/>
          <w:szCs w:val="32"/>
        </w:rPr>
        <w:t>一定程度的耕地撂荒现象。城镇发展对土地资源的需求也日益增大。生态环境保护、耕地保护和可持续发展已成为</w:t>
      </w:r>
      <w:r>
        <w:rPr>
          <w:rFonts w:hint="eastAsia" w:ascii="仿宋_GB2312" w:hAnsi="仿宋_GB2312" w:cs="仿宋_GB2312"/>
          <w:szCs w:val="32"/>
          <w:lang w:val="en-US" w:eastAsia="zh-CN"/>
        </w:rPr>
        <w:t>黑马河镇</w:t>
      </w:r>
      <w:r>
        <w:rPr>
          <w:rFonts w:hint="eastAsia" w:ascii="仿宋_GB2312" w:hAnsi="仿宋_GB2312" w:eastAsia="仿宋_GB2312" w:cs="仿宋_GB2312"/>
          <w:szCs w:val="32"/>
        </w:rPr>
        <w:t>面临的最重要、最艰巨的任务之一。</w:t>
      </w:r>
      <w:r>
        <w:rPr>
          <w:rFonts w:hint="eastAsia" w:ascii="仿宋_GB2312" w:hAnsi="仿宋_GB2312" w:eastAsia="仿宋_GB2312" w:cs="仿宋_GB2312"/>
        </w:rPr>
        <w:t>黑马河镇为</w:t>
      </w:r>
      <w:r>
        <w:rPr>
          <w:rFonts w:hint="eastAsia" w:ascii="仿宋_GB2312" w:hAnsi="仿宋_GB2312" w:eastAsia="仿宋_GB2312" w:cs="仿宋_GB2312"/>
          <w:lang w:val="en-US" w:eastAsia="zh-CN"/>
        </w:rPr>
        <w:t>共和</w:t>
      </w:r>
      <w:r>
        <w:rPr>
          <w:rFonts w:hint="eastAsia" w:ascii="仿宋_GB2312" w:hAnsi="仿宋_GB2312" w:eastAsia="仿宋_GB2312" w:cs="仿宋_GB2312"/>
        </w:rPr>
        <w:t>县自然灾害多发区，主要的灾害类型有：干旱、风沙、冰雹、山洪、霜冻、雪灾、鼠虫害、瘟疫等</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镇域</w:t>
      </w:r>
      <w:r>
        <w:rPr>
          <w:rFonts w:hint="eastAsia" w:ascii="仿宋_GB2312" w:hAnsi="仿宋_GB2312" w:cs="仿宋_GB2312"/>
          <w:lang w:val="en-US" w:eastAsia="zh-CN"/>
        </w:rPr>
        <w:t>处于</w:t>
      </w:r>
      <w:r>
        <w:rPr>
          <w:rFonts w:hint="eastAsia"/>
        </w:rPr>
        <w:t>青海南山北缘断裂</w:t>
      </w:r>
      <w:r>
        <w:rPr>
          <w:rFonts w:hint="eastAsia" w:ascii="仿宋_GB2312" w:hAnsi="仿宋_GB2312" w:eastAsia="仿宋_GB2312" w:cs="仿宋_GB2312"/>
          <w:lang w:eastAsia="zh-CN"/>
        </w:rPr>
        <w:t>。</w:t>
      </w:r>
    </w:p>
    <w:p w14:paraId="1A1CA779">
      <w:pPr>
        <w:pStyle w:val="16"/>
        <w:ind w:firstLine="640"/>
        <w:rPr>
          <w:rFonts w:hint="eastAsia" w:ascii="仿宋_GB2312" w:hAnsi="仿宋_GB2312" w:eastAsia="仿宋_GB2312" w:cs="仿宋_GB2312"/>
        </w:rPr>
      </w:pPr>
      <w:r>
        <w:rPr>
          <w:rFonts w:hint="eastAsia" w:ascii="楷体_GB2312" w:hAnsi="楷体_GB2312" w:eastAsia="楷体_GB2312" w:cs="楷体_GB2312"/>
          <w:szCs w:val="32"/>
        </w:rPr>
        <w:t>资源节约集约利用水平不高。</w:t>
      </w:r>
      <w:r>
        <w:rPr>
          <w:rFonts w:hint="eastAsia" w:ascii="仿宋_GB2312" w:hAnsi="仿宋_GB2312" w:eastAsia="仿宋_GB2312" w:cs="仿宋_GB2312"/>
          <w:bCs/>
        </w:rPr>
        <w:t>建设用地集约利用水平较低，空间布局分散。建设用地地均生产总值</w:t>
      </w:r>
      <w:r>
        <w:rPr>
          <w:rFonts w:hint="eastAsia" w:ascii="仿宋_GB2312" w:hAnsi="仿宋_GB2312" w:cs="仿宋_GB2312"/>
          <w:bCs/>
          <w:lang w:val="en-US" w:eastAsia="zh-CN"/>
        </w:rPr>
        <w:t>偏低</w:t>
      </w:r>
      <w:r>
        <w:rPr>
          <w:rFonts w:hint="eastAsia" w:ascii="仿宋_GB2312" w:hAnsi="仿宋_GB2312" w:eastAsia="仿宋_GB2312" w:cs="仿宋_GB2312"/>
          <w:bCs/>
        </w:rPr>
        <w:t>，人均城镇建设用地</w:t>
      </w:r>
      <w:r>
        <w:rPr>
          <w:rFonts w:hint="eastAsia" w:ascii="仿宋_GB2312" w:hAnsi="仿宋_GB2312" w:cs="仿宋_GB2312"/>
          <w:bCs/>
          <w:lang w:val="en-US" w:eastAsia="zh-CN"/>
        </w:rPr>
        <w:t>面积较高</w:t>
      </w:r>
      <w:r>
        <w:rPr>
          <w:rFonts w:hint="eastAsia" w:ascii="仿宋_GB2312" w:hAnsi="仿宋_GB2312" w:eastAsia="仿宋_GB2312" w:cs="仿宋_GB2312"/>
          <w:bCs/>
        </w:rPr>
        <w:t>，建设用地效益有待提升。</w:t>
      </w:r>
      <w:r>
        <w:rPr>
          <w:rFonts w:hint="eastAsia" w:ascii="仿宋_GB2312" w:hAnsi="仿宋_GB2312" w:eastAsia="仿宋_GB2312" w:cs="仿宋_GB2312"/>
        </w:rPr>
        <w:t>乡村建设用地快速增长，农村居民点</w:t>
      </w:r>
      <w:r>
        <w:rPr>
          <w:rFonts w:hint="eastAsia" w:ascii="仿宋_GB2312" w:hAnsi="仿宋_GB2312" w:cs="仿宋_GB2312"/>
          <w:lang w:eastAsia="zh-CN"/>
        </w:rPr>
        <w:t>土地利用粗放</w:t>
      </w:r>
      <w:r>
        <w:rPr>
          <w:rFonts w:hint="eastAsia" w:ascii="仿宋_GB2312" w:hAnsi="仿宋_GB2312" w:eastAsia="仿宋_GB2312" w:cs="仿宋_GB2312"/>
        </w:rPr>
        <w:t>。</w:t>
      </w:r>
    </w:p>
    <w:p w14:paraId="1353451F">
      <w:pPr>
        <w:ind w:firstLine="560"/>
        <w:rPr>
          <w:rFonts w:hint="eastAsia" w:ascii="仿宋_GB2312" w:hAnsi="仿宋_GB2312" w:eastAsia="仿宋_GB2312" w:cs="仿宋_GB2312"/>
          <w:lang w:eastAsia="zh-CN"/>
        </w:rPr>
      </w:pPr>
      <w:r>
        <w:rPr>
          <w:rFonts w:hint="eastAsia" w:ascii="楷体_GB2312" w:hAnsi="楷体_GB2312" w:eastAsia="楷体_GB2312" w:cs="楷体_GB2312"/>
          <w:kern w:val="2"/>
          <w:sz w:val="32"/>
          <w:szCs w:val="32"/>
          <w:lang w:val="en-US" w:eastAsia="zh-CN" w:bidi="ar-SA"/>
        </w:rPr>
        <w:t>城乡空间特色有待凸显</w:t>
      </w:r>
      <w:r>
        <w:rPr>
          <w:rFonts w:hint="eastAsia" w:ascii="楷体_GB2312" w:hAnsi="楷体_GB2312" w:eastAsia="楷体_GB2312" w:cs="楷体_GB2312"/>
          <w:kern w:val="2"/>
          <w:sz w:val="32"/>
          <w:szCs w:val="24"/>
          <w:lang w:val="en-US" w:eastAsia="zh-CN" w:bidi="ar-SA"/>
        </w:rPr>
        <w:t>。</w:t>
      </w:r>
      <w:r>
        <w:rPr>
          <w:rFonts w:hint="eastAsia" w:ascii="仿宋_GB2312" w:hAnsi="仿宋_GB2312" w:eastAsia="仿宋_GB2312" w:cs="仿宋_GB2312"/>
          <w:lang w:val="en-US" w:eastAsia="zh-CN"/>
        </w:rPr>
        <w:t>城乡公共服务与基础设施存在明显短板，</w:t>
      </w:r>
      <w:r>
        <w:rPr>
          <w:rFonts w:hint="eastAsia" w:ascii="仿宋_GB2312" w:hAnsi="仿宋_GB2312" w:eastAsia="仿宋_GB2312" w:cs="仿宋_GB2312"/>
        </w:rPr>
        <w:t>设施</w:t>
      </w:r>
      <w:r>
        <w:rPr>
          <w:rFonts w:hint="eastAsia" w:ascii="仿宋_GB2312" w:hAnsi="仿宋_GB2312" w:eastAsia="仿宋_GB2312" w:cs="仿宋_GB2312"/>
          <w:lang w:val="en-US" w:eastAsia="zh-CN"/>
        </w:rPr>
        <w:t>种类及完善程度有待提升。镇区文化娱乐、体育设施</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医疗设施等人均面积未能达到相关规范标准。供水、供燃气、供热等设施</w:t>
      </w:r>
      <w:r>
        <w:rPr>
          <w:rFonts w:hint="eastAsia" w:ascii="仿宋_GB2312" w:hAnsi="仿宋_GB2312" w:cs="仿宋_GB2312"/>
          <w:lang w:val="en-US" w:eastAsia="zh-CN"/>
        </w:rPr>
        <w:t>亟须加强</w:t>
      </w:r>
      <w:r>
        <w:rPr>
          <w:rFonts w:hint="eastAsia" w:ascii="仿宋_GB2312" w:hAnsi="仿宋_GB2312" w:eastAsia="仿宋_GB2312" w:cs="仿宋_GB2312"/>
          <w:lang w:val="en-US" w:eastAsia="zh-CN"/>
        </w:rPr>
        <w:t>。镇区风貌杂乱，缺乏当地特色，</w:t>
      </w:r>
      <w:r>
        <w:rPr>
          <w:rFonts w:hint="eastAsia" w:ascii="仿宋_GB2312" w:hAnsi="仿宋_GB2312" w:eastAsia="仿宋_GB2312" w:cs="仿宋_GB2312"/>
        </w:rPr>
        <w:t>绿化结构单一，观赏性有待提升</w:t>
      </w:r>
      <w:r>
        <w:rPr>
          <w:rFonts w:hint="eastAsia" w:ascii="仿宋_GB2312" w:hAnsi="仿宋_GB2312" w:eastAsia="仿宋_GB2312" w:cs="仿宋_GB2312"/>
          <w:lang w:eastAsia="zh-CN"/>
        </w:rPr>
        <w:t>。</w:t>
      </w:r>
    </w:p>
    <w:p w14:paraId="7DAE3580">
      <w:pPr>
        <w:pStyle w:val="3"/>
        <w:keepNext/>
        <w:keepLines/>
        <w:pageBreakBefore w:val="0"/>
        <w:widowControl w:val="0"/>
        <w:numPr>
          <w:ilvl w:val="1"/>
          <w:numId w:val="7"/>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default" w:ascii="Arial" w:hAnsi="Arial" w:eastAsia="黑体" w:cs="Times New Roman"/>
          <w:b w:val="0"/>
          <w:lang w:val="en-US" w:eastAsia="zh-CN"/>
        </w:rPr>
      </w:pPr>
      <w:bookmarkStart w:id="22" w:name="_Toc27492"/>
      <w:bookmarkStart w:id="23" w:name="_Toc8266"/>
      <w:r>
        <w:rPr>
          <w:rFonts w:hint="eastAsia" w:ascii="Arial" w:hAnsi="Arial" w:eastAsia="黑体" w:cs="Times New Roman"/>
          <w:b w:val="0"/>
          <w:lang w:val="en-US" w:eastAsia="zh-CN"/>
        </w:rPr>
        <w:t>机遇与挑战</w:t>
      </w:r>
      <w:bookmarkEnd w:id="22"/>
      <w:bookmarkEnd w:id="23"/>
    </w:p>
    <w:p w14:paraId="06C4578E">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default" w:ascii="楷体_GB2312" w:eastAsia="楷体_GB2312" w:cs="Times New Roman"/>
          <w:bCs/>
          <w:sz w:val="32"/>
          <w:szCs w:val="32"/>
          <w:lang w:val="en-US" w:eastAsia="zh-CN"/>
        </w:rPr>
      </w:pPr>
      <w:bookmarkStart w:id="24" w:name="_Toc18143"/>
      <w:bookmarkStart w:id="25" w:name="_Toc5225"/>
      <w:r>
        <w:rPr>
          <w:rFonts w:hint="eastAsia" w:ascii="楷体_GB2312" w:eastAsia="楷体_GB2312" w:cs="Times New Roman"/>
          <w:bCs/>
          <w:sz w:val="32"/>
          <w:szCs w:val="32"/>
          <w:lang w:val="en-US" w:eastAsia="zh-CN"/>
        </w:rPr>
        <w:t>区位交通优势挖掘旅游新潜力</w:t>
      </w:r>
      <w:bookmarkEnd w:id="24"/>
      <w:bookmarkEnd w:id="25"/>
    </w:p>
    <w:p w14:paraId="2A54D84D">
      <w:pPr>
        <w:ind w:firstLine="560"/>
        <w:rPr>
          <w:rFonts w:hint="eastAsia" w:ascii="仿宋_GB2312" w:hAnsi="仿宋_GB2312" w:eastAsia="仿宋_GB2312" w:cs="仿宋_GB2312"/>
        </w:rPr>
      </w:pPr>
      <w:r>
        <w:rPr>
          <w:rFonts w:hint="eastAsia" w:ascii="仿宋_GB2312" w:hAnsi="仿宋_GB2312" w:eastAsia="仿宋_GB2312" w:cs="仿宋_GB2312"/>
        </w:rPr>
        <w:t>黑马河镇位于环青海湖景区内，自然景观资源丰富</w:t>
      </w:r>
      <w:r>
        <w:rPr>
          <w:rFonts w:hint="eastAsia" w:ascii="仿宋_GB2312" w:hAnsi="仿宋_GB2312" w:eastAsia="仿宋_GB2312" w:cs="仿宋_GB2312"/>
          <w:lang w:eastAsia="zh-CN"/>
        </w:rPr>
        <w:t>，</w:t>
      </w:r>
      <w:r>
        <w:rPr>
          <w:rFonts w:hint="eastAsia" w:ascii="仿宋_GB2312" w:hAnsi="仿宋_GB2312" w:eastAsia="仿宋_GB2312" w:cs="仿宋_GB2312"/>
        </w:rPr>
        <w:t>具有</w:t>
      </w:r>
      <w:r>
        <w:rPr>
          <w:rFonts w:hint="eastAsia" w:ascii="仿宋_GB2312" w:hAnsi="仿宋_GB2312" w:eastAsia="仿宋_GB2312" w:cs="仿宋_GB2312"/>
          <w:lang w:val="en-US" w:eastAsia="zh-CN"/>
        </w:rPr>
        <w:t>可观的</w:t>
      </w:r>
      <w:r>
        <w:rPr>
          <w:rFonts w:hint="eastAsia" w:ascii="仿宋_GB2312" w:hAnsi="仿宋_GB2312" w:eastAsia="仿宋_GB2312" w:cs="仿宋_GB2312"/>
        </w:rPr>
        <w:t>旅游产业发展前景。在青海湖</w:t>
      </w:r>
      <w:r>
        <w:rPr>
          <w:rFonts w:hint="eastAsia" w:ascii="仿宋_GB2312" w:hAnsi="仿宋_GB2312" w:eastAsia="仿宋_GB2312" w:cs="仿宋_GB2312"/>
          <w:lang w:val="en-US" w:eastAsia="zh-CN"/>
        </w:rPr>
        <w:t>环湖</w:t>
      </w:r>
      <w:r>
        <w:rPr>
          <w:rFonts w:hint="eastAsia" w:ascii="仿宋_GB2312" w:hAnsi="仿宋_GB2312" w:eastAsia="仿宋_GB2312" w:cs="仿宋_GB2312"/>
        </w:rPr>
        <w:t>旅游线路</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青甘大环线</w:t>
      </w:r>
      <w:r>
        <w:rPr>
          <w:rFonts w:hint="eastAsia" w:ascii="仿宋_GB2312" w:hAnsi="仿宋_GB2312" w:eastAsia="仿宋_GB2312" w:cs="仿宋_GB2312"/>
          <w:lang w:eastAsia="zh-CN"/>
        </w:rPr>
        <w:t>）</w:t>
      </w:r>
      <w:r>
        <w:rPr>
          <w:rFonts w:hint="eastAsia" w:ascii="仿宋_GB2312" w:hAnsi="仿宋_GB2312" w:eastAsia="仿宋_GB2312" w:cs="仿宋_GB2312"/>
        </w:rPr>
        <w:t>中，由“西宁—倒淌河—二郎剑景区—黑马河”旅游线是第一日的主要线路，黑马河镇</w:t>
      </w:r>
      <w:r>
        <w:rPr>
          <w:rFonts w:hint="eastAsia" w:ascii="仿宋_GB2312" w:hAnsi="仿宋_GB2312" w:eastAsia="仿宋_GB2312" w:cs="仿宋_GB2312"/>
          <w:lang w:val="en-US" w:eastAsia="zh-CN"/>
        </w:rPr>
        <w:t>区</w:t>
      </w:r>
      <w:r>
        <w:rPr>
          <w:rFonts w:hint="eastAsia" w:ascii="仿宋_GB2312" w:hAnsi="仿宋_GB2312" w:eastAsia="仿宋_GB2312" w:cs="仿宋_GB2312"/>
        </w:rPr>
        <w:t>为重要</w:t>
      </w:r>
      <w:r>
        <w:rPr>
          <w:rFonts w:hint="eastAsia" w:ascii="仿宋_GB2312" w:hAnsi="仿宋_GB2312" w:eastAsia="仿宋_GB2312" w:cs="仿宋_GB2312"/>
          <w:lang w:val="en-US" w:eastAsia="zh-CN"/>
        </w:rPr>
        <w:t>节点</w:t>
      </w:r>
      <w:r>
        <w:rPr>
          <w:rFonts w:hint="eastAsia" w:ascii="仿宋_GB2312" w:hAnsi="仿宋_GB2312" w:eastAsia="仿宋_GB2312" w:cs="仿宋_GB2312"/>
        </w:rPr>
        <w:t>。同时，黑马河镇</w:t>
      </w:r>
      <w:r>
        <w:rPr>
          <w:rFonts w:hint="eastAsia" w:ascii="仿宋_GB2312" w:hAnsi="仿宋_GB2312" w:cs="仿宋_GB2312"/>
          <w:lang w:val="en-US" w:eastAsia="zh-CN"/>
        </w:rPr>
        <w:t>区</w:t>
      </w:r>
      <w:r>
        <w:rPr>
          <w:rFonts w:hint="eastAsia" w:ascii="仿宋_GB2312" w:hAnsi="仿宋_GB2312" w:eastAsia="仿宋_GB2312" w:cs="仿宋_GB2312"/>
        </w:rPr>
        <w:t>也是茶卡盐湖及鸟岛两条旅游线路的转折点，在环青海湖旅游格局中具有重要地位。</w:t>
      </w:r>
    </w:p>
    <w:p w14:paraId="61445E9D">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26" w:name="_Toc7227"/>
      <w:bookmarkStart w:id="27" w:name="_Toc11464"/>
      <w:r>
        <w:rPr>
          <w:rFonts w:hint="eastAsia" w:ascii="楷体_GB2312" w:eastAsia="楷体_GB2312" w:cs="Times New Roman"/>
          <w:bCs/>
          <w:sz w:val="32"/>
          <w:szCs w:val="32"/>
          <w:lang w:val="en-US" w:eastAsia="zh-CN"/>
        </w:rPr>
        <w:t>国省重大战略实施提供发展新机遇</w:t>
      </w:r>
      <w:bookmarkEnd w:id="26"/>
      <w:bookmarkEnd w:id="27"/>
    </w:p>
    <w:p w14:paraId="18FFADEA">
      <w:pPr>
        <w:ind w:firstLine="560"/>
        <w:rPr>
          <w:rFonts w:hint="default" w:ascii="仿宋_GB2312" w:hAnsi="仿宋_GB2312" w:eastAsia="仿宋_GB2312" w:cs="仿宋_GB2312"/>
          <w:lang w:val="en-US"/>
        </w:rPr>
      </w:pPr>
      <w:r>
        <w:rPr>
          <w:rFonts w:hint="eastAsia" w:ascii="仿宋_GB2312" w:hAnsi="仿宋_GB2312" w:eastAsia="仿宋_GB2312" w:cs="仿宋_GB2312"/>
        </w:rPr>
        <w:t>国家大力发展西部</w:t>
      </w:r>
      <w:r>
        <w:rPr>
          <w:rFonts w:hint="eastAsia" w:ascii="仿宋_GB2312" w:hAnsi="仿宋_GB2312" w:cs="仿宋_GB2312"/>
          <w:lang w:eastAsia="zh-CN"/>
        </w:rPr>
        <w:t>，</w:t>
      </w:r>
      <w:r>
        <w:rPr>
          <w:rFonts w:hint="eastAsia" w:ascii="仿宋_GB2312" w:hAnsi="仿宋_GB2312" w:eastAsia="仿宋_GB2312" w:cs="仿宋_GB2312"/>
        </w:rPr>
        <w:t>“一带一路”</w:t>
      </w:r>
      <w:r>
        <w:rPr>
          <w:rFonts w:hint="eastAsia" w:ascii="仿宋_GB2312" w:hAnsi="仿宋_GB2312" w:cs="仿宋_GB2312"/>
          <w:lang w:eastAsia="zh-CN"/>
        </w:rPr>
        <w:t>倡议</w:t>
      </w:r>
      <w:r>
        <w:rPr>
          <w:rFonts w:hint="eastAsia" w:ascii="仿宋_GB2312" w:hAnsi="仿宋_GB2312" w:eastAsia="仿宋_GB2312" w:cs="仿宋_GB2312"/>
        </w:rPr>
        <w:t>助推西部地区经济发展，未来旅游向青海、甘肃、贵州等内陆省份拓展。“一带一路”</w:t>
      </w:r>
      <w:r>
        <w:rPr>
          <w:rFonts w:hint="eastAsia" w:ascii="仿宋_GB2312" w:hAnsi="仿宋_GB2312" w:cs="仿宋_GB2312"/>
          <w:lang w:eastAsia="zh-CN"/>
        </w:rPr>
        <w:t>倡议</w:t>
      </w:r>
      <w:r>
        <w:rPr>
          <w:rFonts w:hint="eastAsia" w:ascii="仿宋_GB2312" w:hAnsi="仿宋_GB2312" w:eastAsia="仿宋_GB2312" w:cs="仿宋_GB2312"/>
        </w:rPr>
        <w:t>对青海的定位为发挥青海民族人文优势</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在</w:t>
      </w:r>
      <w:r>
        <w:rPr>
          <w:rFonts w:hint="eastAsia" w:ascii="仿宋_GB2312" w:hAnsi="仿宋_GB2312" w:eastAsia="仿宋_GB2312" w:cs="仿宋_GB2312"/>
        </w:rPr>
        <w:t>全国特色小镇蓬勃发展</w:t>
      </w:r>
      <w:r>
        <w:rPr>
          <w:rFonts w:hint="eastAsia" w:ascii="仿宋_GB2312" w:hAnsi="仿宋_GB2312" w:eastAsia="仿宋_GB2312" w:cs="仿宋_GB2312"/>
          <w:lang w:val="en-US" w:eastAsia="zh-CN"/>
        </w:rPr>
        <w:t>的背景下</w:t>
      </w:r>
      <w:r>
        <w:rPr>
          <w:rFonts w:hint="eastAsia" w:ascii="仿宋_GB2312" w:hAnsi="仿宋_GB2312" w:eastAsia="仿宋_GB2312" w:cs="仿宋_GB2312"/>
        </w:rPr>
        <w:t>，黑马河镇</w:t>
      </w:r>
      <w:r>
        <w:rPr>
          <w:rFonts w:hint="eastAsia" w:ascii="仿宋_GB2312" w:hAnsi="仿宋_GB2312" w:eastAsia="仿宋_GB2312" w:cs="仿宋_GB2312"/>
          <w:lang w:val="en-US" w:eastAsia="zh-CN"/>
        </w:rPr>
        <w:t>具备打造以提升休闲旅游、康养为主题的环湖</w:t>
      </w:r>
      <w:r>
        <w:rPr>
          <w:rFonts w:hint="eastAsia" w:ascii="仿宋_GB2312" w:hAnsi="仿宋_GB2312" w:eastAsia="仿宋_GB2312" w:cs="仿宋_GB2312"/>
        </w:rPr>
        <w:t>特色小镇</w:t>
      </w:r>
      <w:r>
        <w:rPr>
          <w:rFonts w:hint="eastAsia" w:ascii="仿宋_GB2312" w:hAnsi="仿宋_GB2312" w:eastAsia="仿宋_GB2312" w:cs="仿宋_GB2312"/>
          <w:lang w:val="en-US" w:eastAsia="zh-CN"/>
        </w:rPr>
        <w:t>的发展机遇。</w:t>
      </w:r>
    </w:p>
    <w:p w14:paraId="5C05B929">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28" w:name="_Toc5769"/>
      <w:bookmarkStart w:id="29" w:name="_Toc30428"/>
      <w:r>
        <w:rPr>
          <w:rFonts w:hint="eastAsia" w:ascii="楷体_GB2312" w:eastAsia="楷体_GB2312" w:cs="Times New Roman"/>
          <w:bCs/>
          <w:sz w:val="32"/>
          <w:szCs w:val="32"/>
          <w:lang w:val="en-US" w:eastAsia="zh-CN"/>
        </w:rPr>
        <w:t>国土空间开发保护迎来新挑战</w:t>
      </w:r>
      <w:bookmarkEnd w:id="28"/>
      <w:bookmarkEnd w:id="29"/>
    </w:p>
    <w:p w14:paraId="3AA49568">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黑马河镇域大部位于地质灾害易发区内，其中高易发区面积占镇域面积的22.29%；中易发区</w:t>
      </w:r>
      <w:r>
        <w:rPr>
          <w:rFonts w:hint="eastAsia" w:ascii="仿宋_GB2312" w:hAnsi="仿宋_GB2312" w:cs="仿宋_GB2312"/>
          <w:lang w:val="en-US" w:eastAsia="zh-CN"/>
        </w:rPr>
        <w:t>面积</w:t>
      </w:r>
      <w:r>
        <w:rPr>
          <w:rFonts w:hint="eastAsia" w:ascii="仿宋_GB2312" w:hAnsi="仿宋_GB2312" w:eastAsia="仿宋_GB2312" w:cs="仿宋_GB2312"/>
          <w:lang w:val="en-US" w:eastAsia="zh-CN"/>
        </w:rPr>
        <w:t>占镇域面积的52.21%；低易发区面积占镇域面积的23.16%。黑马河镇区位于地质灾害高易发区范围内，如何有效应对和降低灾害风险对国土开发建设带来的不利影响成为黑马河镇未来发展中面临的重要风险和挑战。</w:t>
      </w:r>
    </w:p>
    <w:p w14:paraId="3BD3CFDF">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30" w:name="_Toc1232"/>
      <w:bookmarkStart w:id="31" w:name="_Toc15194"/>
      <w:r>
        <w:rPr>
          <w:rFonts w:hint="eastAsia" w:ascii="楷体_GB2312" w:eastAsia="楷体_GB2312" w:cs="Times New Roman"/>
          <w:bCs/>
          <w:sz w:val="32"/>
          <w:szCs w:val="32"/>
          <w:lang w:val="en-US" w:eastAsia="zh-CN"/>
        </w:rPr>
        <w:t>产业发展同质化面临环湖乡镇</w:t>
      </w:r>
      <w:bookmarkEnd w:id="30"/>
      <w:r>
        <w:rPr>
          <w:rFonts w:hint="eastAsia" w:ascii="楷体_GB2312" w:eastAsia="楷体_GB2312" w:cs="Times New Roman"/>
          <w:bCs/>
          <w:sz w:val="32"/>
          <w:szCs w:val="32"/>
          <w:lang w:val="en-US" w:eastAsia="zh-CN"/>
        </w:rPr>
        <w:t>竞争压力</w:t>
      </w:r>
      <w:bookmarkEnd w:id="31"/>
    </w:p>
    <w:p w14:paraId="52B2116D">
      <w:pPr>
        <w:rPr>
          <w:rFonts w:hint="eastAsia" w:ascii="仿宋_GB2312" w:hAnsi="仿宋_GB2312" w:eastAsia="仿宋_GB2312" w:cs="仿宋_GB2312"/>
        </w:rPr>
      </w:pPr>
      <w:r>
        <w:rPr>
          <w:rFonts w:hint="eastAsia" w:ascii="仿宋_GB2312" w:hAnsi="仿宋_GB2312" w:eastAsia="仿宋_GB2312" w:cs="仿宋_GB2312"/>
          <w:lang w:val="en-US" w:eastAsia="zh-CN"/>
        </w:rPr>
        <w:t>黑马河镇和</w:t>
      </w:r>
      <w:r>
        <w:rPr>
          <w:rFonts w:hint="eastAsia" w:ascii="仿宋_GB2312" w:hAnsi="仿宋_GB2312" w:cs="仿宋_GB2312"/>
          <w:lang w:val="en-US" w:eastAsia="zh-CN"/>
        </w:rPr>
        <w:t>共和县其他环湖</w:t>
      </w:r>
      <w:r>
        <w:rPr>
          <w:rFonts w:hint="eastAsia" w:ascii="仿宋_GB2312" w:hAnsi="仿宋_GB2312" w:eastAsia="仿宋_GB2312" w:cs="仿宋_GB2312"/>
          <w:lang w:val="en-US" w:eastAsia="zh-CN"/>
        </w:rPr>
        <w:t>乡镇，</w:t>
      </w:r>
      <w:r>
        <w:rPr>
          <w:rFonts w:hint="eastAsia" w:ascii="仿宋_GB2312" w:hAnsi="仿宋_GB2312" w:eastAsia="仿宋_GB2312" w:cs="仿宋_GB2312"/>
        </w:rPr>
        <w:t>在</w:t>
      </w:r>
      <w:r>
        <w:rPr>
          <w:rFonts w:hint="eastAsia" w:ascii="仿宋_GB2312" w:hAnsi="仿宋_GB2312" w:cs="仿宋_GB2312"/>
          <w:lang w:val="en-US" w:eastAsia="zh-CN"/>
        </w:rPr>
        <w:t>主打以青海湖及滨湖地带生态休闲旅游</w:t>
      </w:r>
      <w:r>
        <w:rPr>
          <w:rFonts w:hint="eastAsia" w:ascii="仿宋_GB2312" w:hAnsi="仿宋_GB2312" w:eastAsia="仿宋_GB2312" w:cs="仿宋_GB2312"/>
        </w:rPr>
        <w:t>服务方面存在</w:t>
      </w:r>
      <w:r>
        <w:rPr>
          <w:rFonts w:hint="eastAsia" w:ascii="仿宋_GB2312" w:hAnsi="仿宋_GB2312" w:cs="仿宋_GB2312"/>
          <w:lang w:val="en-US" w:eastAsia="zh-CN"/>
        </w:rPr>
        <w:t>同质化的</w:t>
      </w:r>
      <w:r>
        <w:rPr>
          <w:rFonts w:hint="eastAsia" w:ascii="仿宋_GB2312" w:hAnsi="仿宋_GB2312" w:eastAsia="仿宋_GB2312" w:cs="仿宋_GB2312"/>
        </w:rPr>
        <w:t>竞争。</w:t>
      </w:r>
    </w:p>
    <w:p w14:paraId="2637BA5A">
      <w:pPr>
        <w:ind w:left="0" w:leftChars="0" w:firstLine="640" w:firstLineChars="200"/>
        <w:rPr>
          <w:rFonts w:hint="eastAsia" w:ascii="仿宋_GB2312" w:hAnsi="仿宋_GB2312" w:eastAsia="仿宋_GB2312" w:cs="仿宋_GB2312"/>
        </w:rPr>
      </w:pPr>
      <w:r>
        <w:rPr>
          <w:rFonts w:hint="eastAsia" w:ascii="仿宋_GB2312" w:hAnsi="仿宋_GB2312" w:eastAsia="仿宋_GB2312" w:cs="仿宋_GB2312"/>
        </w:rPr>
        <w:t>对于城镇投资建设而言，在欠发达地区投资具有更大的风险，因此投资者对黑马河镇吸引投资所具有的各种条件考察更细、要求更严格，吸引外来投资</w:t>
      </w:r>
      <w:r>
        <w:rPr>
          <w:rFonts w:hint="eastAsia" w:ascii="仿宋_GB2312" w:hAnsi="仿宋_GB2312" w:eastAsia="仿宋_GB2312" w:cs="仿宋_GB2312"/>
          <w:lang w:val="en-US" w:eastAsia="zh-CN"/>
        </w:rPr>
        <w:t>存在一定难度</w:t>
      </w:r>
      <w:r>
        <w:rPr>
          <w:rFonts w:hint="eastAsia" w:ascii="仿宋_GB2312" w:hAnsi="仿宋_GB2312" w:eastAsia="仿宋_GB2312" w:cs="仿宋_GB2312"/>
        </w:rPr>
        <w:t>。</w:t>
      </w:r>
    </w:p>
    <w:p w14:paraId="781D5B97">
      <w:pPr>
        <w:ind w:firstLine="560"/>
      </w:pPr>
      <w:r>
        <w:br w:type="page"/>
      </w:r>
    </w:p>
    <w:p w14:paraId="629CFF92">
      <w:pPr>
        <w:pStyle w:val="2"/>
        <w:ind w:left="-140"/>
        <w:rPr>
          <w:rFonts w:hint="eastAsia" w:ascii="方正小标宋简体" w:hAnsi="方正小标宋简体" w:eastAsia="方正小标宋简体" w:cs="方正小标宋简体"/>
          <w:b w:val="0"/>
          <w:bCs w:val="0"/>
          <w:lang w:val="en-US" w:eastAsia="zh-CN"/>
        </w:rPr>
      </w:pPr>
      <w:bookmarkStart w:id="32" w:name="_Toc13778"/>
      <w:bookmarkStart w:id="33" w:name="_Toc24848"/>
      <w:bookmarkStart w:id="34" w:name="_Toc83629617"/>
      <w:bookmarkStart w:id="35" w:name="_Toc304387017"/>
      <w:bookmarkStart w:id="36" w:name="_Toc83629033"/>
      <w:bookmarkStart w:id="37" w:name="_Toc79668879"/>
      <w:bookmarkStart w:id="38" w:name="_Toc83629233"/>
      <w:bookmarkStart w:id="39" w:name="_Toc83628757"/>
      <w:r>
        <w:rPr>
          <w:rFonts w:hint="eastAsia" w:ascii="方正小标宋简体" w:hAnsi="方正小标宋简体" w:eastAsia="方正小标宋简体" w:cs="方正小标宋简体"/>
          <w:b w:val="0"/>
          <w:bCs w:val="0"/>
          <w:lang w:val="en-US" w:eastAsia="zh-CN"/>
        </w:rPr>
        <w:t>指导思想与目标战略</w:t>
      </w:r>
      <w:bookmarkEnd w:id="32"/>
      <w:bookmarkEnd w:id="33"/>
    </w:p>
    <w:bookmarkEnd w:id="34"/>
    <w:bookmarkEnd w:id="35"/>
    <w:bookmarkEnd w:id="36"/>
    <w:bookmarkEnd w:id="37"/>
    <w:bookmarkEnd w:id="38"/>
    <w:bookmarkEnd w:id="39"/>
    <w:p w14:paraId="76823BB3">
      <w:pPr>
        <w:pStyle w:val="3"/>
        <w:numPr>
          <w:ilvl w:val="0"/>
          <w:numId w:val="9"/>
        </w:numPr>
      </w:pPr>
      <w:bookmarkStart w:id="40" w:name="_Toc18018"/>
      <w:bookmarkStart w:id="41" w:name="_Toc31479"/>
      <w:r>
        <w:rPr>
          <w:rFonts w:hint="eastAsia"/>
          <w:lang w:val="en-US" w:eastAsia="zh-CN"/>
        </w:rPr>
        <w:t>指导思想和基本原则</w:t>
      </w:r>
      <w:bookmarkEnd w:id="40"/>
      <w:bookmarkEnd w:id="41"/>
    </w:p>
    <w:p w14:paraId="6F7489D5">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42" w:name="_Toc6182"/>
      <w:bookmarkStart w:id="43" w:name="_Toc10944"/>
      <w:r>
        <w:rPr>
          <w:rFonts w:hint="eastAsia" w:ascii="楷体_GB2312" w:eastAsia="楷体_GB2312" w:cs="Times New Roman"/>
          <w:bCs/>
          <w:sz w:val="32"/>
          <w:szCs w:val="32"/>
          <w:lang w:val="en-US" w:eastAsia="zh-CN"/>
        </w:rPr>
        <w:t>指导思想</w:t>
      </w:r>
    </w:p>
    <w:p w14:paraId="6F23D36B">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坚持以习近平新时代中国特色社会主义思想为指导，全面贯彻落实党的二十大和二十届</w:t>
      </w:r>
      <w:r>
        <w:rPr>
          <w:rFonts w:hint="eastAsia" w:ascii="仿宋_GB2312" w:hAnsi="仿宋_GB2312" w:cs="仿宋_GB2312"/>
          <w:sz w:val="32"/>
          <w:szCs w:val="32"/>
          <w:lang w:val="en-US" w:eastAsia="zh-CN"/>
        </w:rPr>
        <w:t>三</w:t>
      </w:r>
      <w:r>
        <w:rPr>
          <w:rFonts w:hint="eastAsia" w:ascii="仿宋_GB2312" w:hAnsi="仿宋_GB2312" w:eastAsia="仿宋_GB2312" w:cs="仿宋_GB2312"/>
          <w:sz w:val="32"/>
          <w:szCs w:val="32"/>
          <w:lang w:val="en-US" w:eastAsia="zh-CN"/>
        </w:rPr>
        <w:t>中全会精神，深入践行习近平生态文明思想，不折不扣落实习近平总书记对青海工作的重大要求，立足“三个最大”省情定位和“三个更加重要”战略地位，完整准确全面贯彻新发展理念，加快融入新发展格局，着力推动高质量发展，坚持以人民为中心，锚定全县“123456”奋斗目标，围绕“农村基本具备现代生活条件”目标，细化落实《共和县国土空间总体规划（2021—2035年）》，统筹高质量发展和高水平的安全，统筹划定落实耕地和永久基本农田、生态保护红线、城镇开发边界三条控制线，优化农业、生态、城镇等功能空间，整体谋划国土空间开发保护新格局，强化国土空间生态保护与修复，提高国土空间资源利用效率，为支撑黑马河镇更高质量、更有效率、更加公平、更可持续、更为安全的发展，建设人与自然和谐共生的现代化筑牢根基。</w:t>
      </w:r>
    </w:p>
    <w:p w14:paraId="17CAE583">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基本原则</w:t>
      </w:r>
    </w:p>
    <w:p w14:paraId="2D3657CA">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安全底线原则，</w:t>
      </w:r>
      <w:r>
        <w:rPr>
          <w:rFonts w:hint="eastAsia" w:ascii="仿宋_GB2312" w:hAnsi="仿宋_GB2312" w:eastAsia="仿宋_GB2312" w:cs="仿宋_GB2312"/>
          <w:sz w:val="32"/>
          <w:szCs w:val="32"/>
          <w:lang w:val="en-US" w:eastAsia="zh-CN"/>
        </w:rPr>
        <w:t>以风险评估为依据，守住粮食安全底线、生态安全底线、用水安全底线、防灾安全底线等。严格落实三条控制线，强化底线约束，积极协调人、地、产、城、村关系，形成生态空间山清水秀、生活空间宜居适度、生产空间集约高效的空间格局。</w:t>
      </w:r>
    </w:p>
    <w:p w14:paraId="67FC5256">
      <w:pPr>
        <w:pStyle w:val="16"/>
        <w:ind w:firstLine="640"/>
      </w:pPr>
      <w:r>
        <w:rPr>
          <w:rFonts w:hint="eastAsia" w:ascii="楷体_GB2312" w:hAnsi="楷体_GB2312" w:eastAsia="楷体_GB2312" w:cs="楷体_GB2312"/>
          <w:szCs w:val="32"/>
        </w:rPr>
        <w:t>生态优先原则</w:t>
      </w:r>
      <w:r>
        <w:rPr>
          <w:rFonts w:hint="eastAsia" w:ascii="楷体_GB2312" w:hAnsi="楷体_GB2312" w:eastAsia="楷体_GB2312" w:cs="楷体_GB2312"/>
        </w:rPr>
        <w:t>，</w:t>
      </w:r>
      <w:r>
        <w:t>在</w:t>
      </w:r>
      <w:r>
        <w:rPr>
          <w:rFonts w:hint="eastAsia"/>
          <w:lang w:eastAsia="zh-CN"/>
        </w:rPr>
        <w:t>习近平</w:t>
      </w:r>
      <w:r>
        <w:t>生态文明思想和总体国家安全观指导下</w:t>
      </w:r>
      <w:r>
        <w:rPr>
          <w:rFonts w:hint="eastAsia"/>
        </w:rPr>
        <w:t>，</w:t>
      </w:r>
      <w:r>
        <w:t>探索内涵式</w:t>
      </w:r>
      <w:r>
        <w:rPr>
          <w:rFonts w:hint="eastAsia"/>
        </w:rPr>
        <w:t>、</w:t>
      </w:r>
      <w:r>
        <w:t>集约型</w:t>
      </w:r>
      <w:r>
        <w:rPr>
          <w:rFonts w:hint="eastAsia"/>
        </w:rPr>
        <w:t>、</w:t>
      </w:r>
      <w:r>
        <w:t>绿色化的高质量发展路径</w:t>
      </w:r>
      <w:r>
        <w:rPr>
          <w:rFonts w:hint="eastAsia"/>
        </w:rPr>
        <w:t>，坚持山水林田湖草沙生命共同体理念，加强整体保护与自然修复，全面筑牢国家生态安全屏障。</w:t>
      </w:r>
    </w:p>
    <w:p w14:paraId="78092852">
      <w:pPr>
        <w:pStyle w:val="16"/>
        <w:ind w:firstLine="640"/>
      </w:pPr>
      <w:r>
        <w:rPr>
          <w:rFonts w:hint="eastAsia" w:ascii="楷体_GB2312" w:hAnsi="楷体_GB2312" w:eastAsia="楷体_GB2312" w:cs="楷体_GB2312"/>
          <w:szCs w:val="32"/>
        </w:rPr>
        <w:t>以人为本原则</w:t>
      </w:r>
      <w:r>
        <w:rPr>
          <w:rFonts w:hint="eastAsia" w:ascii="楷体_GB2312" w:hAnsi="楷体_GB2312" w:eastAsia="楷体_GB2312" w:cs="楷体_GB2312"/>
        </w:rPr>
        <w:t>，</w:t>
      </w:r>
      <w:r>
        <w:rPr>
          <w:rFonts w:hint="eastAsia"/>
        </w:rPr>
        <w:t>从社会全面进步和人的全面发展出发，塑造高品质城乡人居环境，构建高水平均等化的城乡公共服务体系，建立便捷完善的城乡交通和基础设施网络，不断提升人民群众获得感、幸福感、安全感。</w:t>
      </w:r>
    </w:p>
    <w:p w14:paraId="6C00BEBA">
      <w:pPr>
        <w:pStyle w:val="16"/>
        <w:ind w:firstLine="640"/>
      </w:pPr>
      <w:r>
        <w:rPr>
          <w:rFonts w:hint="eastAsia" w:ascii="楷体_GB2312" w:hAnsi="楷体_GB2312" w:eastAsia="楷体_GB2312" w:cs="楷体_GB2312"/>
          <w:szCs w:val="32"/>
        </w:rPr>
        <w:t>协同融合原则</w:t>
      </w:r>
      <w:r>
        <w:rPr>
          <w:rFonts w:hint="eastAsia" w:ascii="楷体_GB2312" w:hAnsi="楷体_GB2312" w:eastAsia="楷体_GB2312" w:cs="楷体_GB2312"/>
        </w:rPr>
        <w:t>，</w:t>
      </w:r>
      <w:r>
        <w:rPr>
          <w:rFonts w:hint="eastAsia"/>
        </w:rPr>
        <w:t>坚持区域协同，积极融入</w:t>
      </w:r>
      <w:r>
        <w:rPr>
          <w:rFonts w:hint="eastAsia"/>
          <w:lang w:eastAsia="zh-CN"/>
        </w:rPr>
        <w:t>“一带一路”</w:t>
      </w:r>
      <w:r>
        <w:rPr>
          <w:rFonts w:hint="eastAsia"/>
        </w:rPr>
        <w:t>、兰西城镇群等区域战略，</w:t>
      </w:r>
      <w:r>
        <w:rPr>
          <w:rFonts w:hint="eastAsia"/>
          <w:lang w:val="en-US" w:eastAsia="zh-CN"/>
        </w:rPr>
        <w:t>助力</w:t>
      </w:r>
      <w:r>
        <w:rPr>
          <w:rFonts w:hint="eastAsia"/>
        </w:rPr>
        <w:t>泛共和盆地城镇区绿色崛起，落实新型城镇化、乡村振兴、高原美丽城镇建设等战略，促进城乡协调发展。</w:t>
      </w:r>
    </w:p>
    <w:p w14:paraId="6924C106">
      <w:pPr>
        <w:pStyle w:val="16"/>
        <w:ind w:firstLine="640"/>
        <w:rPr>
          <w:rFonts w:hint="eastAsia"/>
        </w:rPr>
      </w:pPr>
      <w:r>
        <w:rPr>
          <w:rFonts w:hint="eastAsia" w:ascii="楷体_GB2312" w:hAnsi="楷体_GB2312" w:eastAsia="楷体_GB2312" w:cs="楷体_GB2312"/>
          <w:szCs w:val="32"/>
        </w:rPr>
        <w:t>因地制宜原则</w:t>
      </w:r>
      <w:r>
        <w:rPr>
          <w:rFonts w:hint="eastAsia" w:ascii="楷体_GB2312" w:hAnsi="楷体_GB2312" w:eastAsia="楷体_GB2312" w:cs="楷体_GB2312"/>
        </w:rPr>
        <w:t>，</w:t>
      </w:r>
      <w:r>
        <w:t>立足</w:t>
      </w:r>
      <w:r>
        <w:rPr>
          <w:rFonts w:hint="eastAsia"/>
          <w:lang w:val="en-US" w:eastAsia="zh-CN"/>
        </w:rPr>
        <w:t>黑马河镇</w:t>
      </w:r>
      <w:r>
        <w:t>自然和人文禀赋</w:t>
      </w:r>
      <w:r>
        <w:rPr>
          <w:rFonts w:hint="eastAsia"/>
        </w:rPr>
        <w:t>、</w:t>
      </w:r>
      <w:r>
        <w:t>资源环境条件</w:t>
      </w:r>
      <w:r>
        <w:rPr>
          <w:rFonts w:hint="eastAsia"/>
        </w:rPr>
        <w:t>、</w:t>
      </w:r>
      <w:r>
        <w:t>发展阶段特征</w:t>
      </w:r>
      <w:r>
        <w:rPr>
          <w:rFonts w:hint="eastAsia"/>
        </w:rPr>
        <w:t>、区域地理格局、</w:t>
      </w:r>
      <w:r>
        <w:t>民族文化特色</w:t>
      </w:r>
      <w:r>
        <w:rPr>
          <w:rFonts w:hint="eastAsia"/>
        </w:rPr>
        <w:t>，充分体现地域特征、民族特色、时代风貌，突出规划编制的针对性、实用性和特色化。</w:t>
      </w:r>
    </w:p>
    <w:p w14:paraId="20A197D1">
      <w:pPr>
        <w:pStyle w:val="3"/>
        <w:numPr>
          <w:ilvl w:val="0"/>
          <w:numId w:val="9"/>
        </w:numPr>
        <w:rPr>
          <w:rFonts w:hint="eastAsia"/>
          <w:lang w:val="zh-CN" w:eastAsia="zh-CN"/>
        </w:rPr>
      </w:pPr>
      <w:bookmarkStart w:id="44" w:name="_Toc4848"/>
      <w:bookmarkStart w:id="45" w:name="_Toc2154"/>
      <w:r>
        <w:rPr>
          <w:rFonts w:hint="eastAsia"/>
          <w:lang w:val="zh-CN" w:eastAsia="zh-CN"/>
        </w:rPr>
        <w:t>总体定位</w:t>
      </w:r>
      <w:bookmarkEnd w:id="44"/>
      <w:bookmarkEnd w:id="45"/>
    </w:p>
    <w:bookmarkEnd w:id="42"/>
    <w:bookmarkEnd w:id="43"/>
    <w:p w14:paraId="2246C922">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lang w:val="en-US" w:eastAsia="zh-CN"/>
        </w:rPr>
        <w:t>总体定位</w:t>
      </w:r>
    </w:p>
    <w:p w14:paraId="3A13E396">
      <w:pPr>
        <w:ind w:firstLine="560"/>
        <w:rPr>
          <w:rFonts w:hint="eastAsia" w:ascii="仿宋_GB2312" w:hAnsi="仿宋_GB2312" w:eastAsia="仿宋_GB2312" w:cs="仿宋_GB2312"/>
        </w:rPr>
      </w:pPr>
      <w:r>
        <w:rPr>
          <w:rFonts w:hint="eastAsia" w:ascii="仿宋_GB2312" w:hAnsi="仿宋_GB2312" w:cs="仿宋_GB2312"/>
          <w:szCs w:val="32"/>
          <w:lang w:val="en-US" w:eastAsia="zh-CN"/>
        </w:rPr>
        <w:t>规划对黑马河镇的城镇定位：以“日出之城”为特点的全国特色旅游小镇；青海省魅力高原生态型示范镇；高原美丽人居建设的高质量发展高地；人与自然和谐共生的可持续发展引领区</w:t>
      </w:r>
      <w:r>
        <w:rPr>
          <w:rFonts w:hint="eastAsia" w:ascii="仿宋_GB2312" w:hAnsi="仿宋_GB2312" w:eastAsia="仿宋_GB2312" w:cs="仿宋_GB2312"/>
        </w:rPr>
        <w:t>。</w:t>
      </w:r>
    </w:p>
    <w:p w14:paraId="4EAA98EF">
      <w:pPr>
        <w:ind w:firstLine="560"/>
        <w:rPr>
          <w:rFonts w:hint="eastAsia" w:ascii="仿宋_GB2312" w:hAnsi="仿宋_GB2312" w:cs="仿宋_GB2312"/>
          <w:lang w:eastAsia="zh-CN"/>
        </w:rPr>
      </w:pPr>
      <w:r>
        <w:rPr>
          <w:rFonts w:hint="eastAsia" w:ascii="楷体_GB2312" w:hAnsi="楷体_GB2312" w:eastAsia="楷体_GB2312" w:cs="楷体_GB2312"/>
        </w:rPr>
        <w:t>以“日出之城”为特点的全国特色旅游小镇</w:t>
      </w:r>
      <w:r>
        <w:rPr>
          <w:rFonts w:hint="eastAsia" w:ascii="楷体_GB2312" w:hAnsi="楷体_GB2312" w:eastAsia="楷体_GB2312" w:cs="楷体_GB2312"/>
          <w:lang w:eastAsia="zh-CN"/>
        </w:rPr>
        <w:t>。</w:t>
      </w:r>
      <w:r>
        <w:rPr>
          <w:rFonts w:hint="eastAsia" w:ascii="仿宋_GB2312" w:hAnsi="仿宋_GB2312" w:cs="仿宋_GB2312"/>
          <w:lang w:eastAsia="zh-CN"/>
        </w:rPr>
        <w:t>在全国大力发展特色小镇的政策背景下，黑马河镇依托自身资源条件及发展现状，打造以“日出之城”为主题的特色小镇。</w:t>
      </w:r>
    </w:p>
    <w:p w14:paraId="22B948A1">
      <w:pPr>
        <w:ind w:firstLine="560"/>
        <w:rPr>
          <w:rFonts w:hint="eastAsia" w:ascii="仿宋_GB2312" w:hAnsi="仿宋_GB2312" w:cs="仿宋_GB2312"/>
          <w:lang w:eastAsia="zh-CN"/>
        </w:rPr>
      </w:pPr>
      <w:r>
        <w:rPr>
          <w:rFonts w:hint="eastAsia" w:ascii="楷体_GB2312" w:hAnsi="楷体_GB2312" w:eastAsia="楷体_GB2312" w:cs="楷体_GB2312"/>
          <w:lang w:eastAsia="zh-CN"/>
        </w:rPr>
        <w:t>青海省魅力高原生态型示范镇。</w:t>
      </w:r>
      <w:r>
        <w:rPr>
          <w:rFonts w:hint="eastAsia" w:ascii="仿宋_GB2312" w:hAnsi="仿宋_GB2312" w:cs="仿宋_GB2312"/>
          <w:lang w:eastAsia="zh-CN"/>
        </w:rPr>
        <w:t>依托黑马河镇得天独厚的“山、湖、河、草”生态本底和地域民族文化，在城镇整体风貌上营造生态格局优越、地域文化突出的美丽示范镇。以青海湖、黑马河、橡皮山的自然资源为骨架，融合本土民族文化、风俗习惯、建筑风貌特点等人文要素，建设为青海省风貌特色突出的生态示范镇。</w:t>
      </w:r>
    </w:p>
    <w:p w14:paraId="65E43267">
      <w:pPr>
        <w:ind w:firstLine="560"/>
        <w:rPr>
          <w:rFonts w:hint="eastAsia" w:ascii="仿宋_GB2312" w:hAnsi="仿宋_GB2312" w:cs="仿宋_GB2312"/>
          <w:lang w:eastAsia="zh-CN"/>
        </w:rPr>
      </w:pPr>
      <w:r>
        <w:rPr>
          <w:rFonts w:hint="eastAsia" w:ascii="楷体_GB2312" w:hAnsi="楷体_GB2312" w:eastAsia="楷体_GB2312" w:cs="楷体_GB2312"/>
          <w:lang w:eastAsia="zh-CN"/>
        </w:rPr>
        <w:t>高原美丽人居建设的高质量发展高地。</w:t>
      </w:r>
      <w:r>
        <w:rPr>
          <w:rFonts w:hint="eastAsia" w:ascii="仿宋_GB2312" w:hAnsi="仿宋_GB2312" w:cs="仿宋_GB2312"/>
          <w:lang w:eastAsia="zh-CN"/>
        </w:rPr>
        <w:t>立足生态环境保护和多元文化传承视野，探索高原地区人居环境保护发展新模式，探索自然生态敏感地区城镇绿色发展新路径。守护生态安全底线、构建山水人文格局、重塑高原风景体系、优化特色产业布局、提质美丽城镇空间。</w:t>
      </w:r>
    </w:p>
    <w:p w14:paraId="0899118A">
      <w:pPr>
        <w:ind w:firstLine="560"/>
        <w:rPr>
          <w:rFonts w:hint="eastAsia" w:ascii="仿宋_GB2312" w:hAnsi="仿宋_GB2312" w:cs="仿宋_GB2312"/>
          <w:lang w:eastAsia="zh-CN"/>
        </w:rPr>
      </w:pPr>
      <w:r>
        <w:rPr>
          <w:rFonts w:hint="eastAsia" w:ascii="楷体_GB2312" w:hAnsi="楷体_GB2312" w:eastAsia="楷体_GB2312" w:cs="楷体_GB2312"/>
          <w:lang w:eastAsia="zh-CN"/>
        </w:rPr>
        <w:t>人与自然和谐共生的可持续发展引领区。</w:t>
      </w:r>
      <w:r>
        <w:rPr>
          <w:rFonts w:hint="eastAsia" w:ascii="仿宋_GB2312" w:hAnsi="仿宋_GB2312" w:cs="仿宋_GB2312"/>
          <w:lang w:eastAsia="zh-CN"/>
        </w:rPr>
        <w:t>寻求生态保护与开发建设的平衡点。在碳达峰、碳中和的大环境下，</w:t>
      </w:r>
      <w:r>
        <w:rPr>
          <w:rFonts w:hint="eastAsia" w:ascii="仿宋_GB2312" w:hAnsi="仿宋_GB2312" w:cs="仿宋_GB2312"/>
          <w:lang w:val="en-US" w:eastAsia="zh-CN"/>
        </w:rPr>
        <w:t>减少碳排放量</w:t>
      </w:r>
      <w:r>
        <w:rPr>
          <w:rFonts w:hint="eastAsia" w:ascii="仿宋_GB2312" w:hAnsi="仿宋_GB2312" w:cs="仿宋_GB2312"/>
          <w:lang w:eastAsia="zh-CN"/>
        </w:rPr>
        <w:t>，打造人与自然和谐共生、可持续的发展区域。</w:t>
      </w:r>
    </w:p>
    <w:p w14:paraId="13BABD8A">
      <w:pPr>
        <w:pStyle w:val="3"/>
        <w:numPr>
          <w:ilvl w:val="0"/>
          <w:numId w:val="9"/>
        </w:numPr>
        <w:rPr>
          <w:rFonts w:hint="eastAsia"/>
          <w:lang w:val="zh-CN" w:eastAsia="zh-CN"/>
        </w:rPr>
      </w:pPr>
      <w:bookmarkStart w:id="46" w:name="_Toc29060"/>
      <w:bookmarkStart w:id="47" w:name="_Toc22205"/>
      <w:r>
        <w:rPr>
          <w:rFonts w:hint="eastAsia"/>
          <w:lang w:val="zh-CN" w:eastAsia="zh-CN"/>
        </w:rPr>
        <w:t>开发保护目标与战略</w:t>
      </w:r>
      <w:bookmarkEnd w:id="46"/>
      <w:bookmarkEnd w:id="47"/>
    </w:p>
    <w:p w14:paraId="656F914F">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国土空间开发保护目标</w:t>
      </w:r>
    </w:p>
    <w:p w14:paraId="199E4CAB">
      <w:pPr>
        <w:ind w:firstLine="560"/>
        <w:rPr>
          <w:rFonts w:hint="eastAsia" w:ascii="仿宋_GB2312" w:hAnsi="仿宋_GB2312" w:cs="仿宋_GB2312"/>
          <w:lang w:eastAsia="zh-CN"/>
        </w:rPr>
      </w:pPr>
      <w:r>
        <w:rPr>
          <w:rFonts w:hint="eastAsia" w:ascii="仿宋_GB2312" w:hAnsi="仿宋_GB2312" w:cs="仿宋_GB2312"/>
          <w:lang w:eastAsia="zh-CN"/>
        </w:rPr>
        <w:t>2035年，围绕二〇三五年社会经济发展远景目标，强化空间保护与发展支撑，充分保障社会经济发展总体目标实现的空间基础，全面落实生态文明建设和高质量发展的要求，统筹城市国土空间开发和保护，实现发展和管控的统一。夯实黑马河镇重要生态屏障地位，优化山水林田湖草沙的镇域空间格局，科学配置国土空间资源，强化国土空间底线管控，提升资源利用效率，加强全域全要素用途管制与自然资源统一管理，提升城乡空间品质，推进国土空间治理现代化，全面实施国土空间监测预警和绩效考核机制，形成以国土空间规划为基础，以统一用途管制为手段的国土空间开发保护制度。</w:t>
      </w:r>
    </w:p>
    <w:p w14:paraId="7A244934">
      <w:pPr>
        <w:widowControl w:val="0"/>
        <w:spacing w:after="120" w:line="600" w:lineRule="exact"/>
        <w:ind w:firstLine="640"/>
        <w:jc w:val="both"/>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国土空间保护水平大幅提高。</w:t>
      </w:r>
      <w:r>
        <w:rPr>
          <w:rFonts w:hint="eastAsia" w:ascii="仿宋_GB2312" w:hAnsi="仿宋_GB2312" w:eastAsia="仿宋_GB2312" w:cs="仿宋_GB2312"/>
          <w:kern w:val="2"/>
          <w:sz w:val="32"/>
          <w:szCs w:val="32"/>
          <w:lang w:val="en-US" w:eastAsia="zh-CN" w:bidi="ar-SA"/>
        </w:rPr>
        <w:t>耕地和永久基本农田、生态保护红线等安全底线得到严格落实。环湖地区生态系统得到全面保护，生态脆弱和退化严重区域得到有效治理，生态系统更加稳固，生态功能大幅提升，生态环境持续向好，生态安全屏障得到有效保障。</w:t>
      </w:r>
    </w:p>
    <w:p w14:paraId="716454D1">
      <w:pPr>
        <w:widowControl w:val="0"/>
        <w:spacing w:after="120" w:line="600" w:lineRule="exact"/>
        <w:ind w:firstLine="640"/>
        <w:jc w:val="both"/>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国土空间开发效率显著提升。</w:t>
      </w:r>
      <w:r>
        <w:rPr>
          <w:rFonts w:hint="eastAsia" w:ascii="仿宋_GB2312" w:hAnsi="仿宋_GB2312" w:eastAsia="仿宋_GB2312" w:cs="仿宋_GB2312"/>
          <w:kern w:val="2"/>
          <w:sz w:val="32"/>
          <w:szCs w:val="32"/>
          <w:lang w:val="en-US" w:eastAsia="zh-CN" w:bidi="ar-SA"/>
        </w:rPr>
        <w:t>城乡空间集约高效，城镇空间有序集聚，自然资源利用效率大幅提升，生产生活方式绿色转型成效显著。</w:t>
      </w:r>
    </w:p>
    <w:p w14:paraId="77D83684">
      <w:pPr>
        <w:widowControl w:val="0"/>
        <w:spacing w:after="120" w:line="600" w:lineRule="exact"/>
        <w:ind w:firstLine="640"/>
        <w:jc w:val="both"/>
        <w:rPr>
          <w:rFonts w:ascii="仿宋_GB2312" w:hAnsi="仿宋_GB2312" w:eastAsia="仿宋_GB2312" w:cs="Times New Roman"/>
          <w:kern w:val="2"/>
          <w:sz w:val="32"/>
          <w:szCs w:val="32"/>
          <w:lang w:val="en-US" w:eastAsia="zh-CN" w:bidi="ar-SA"/>
        </w:rPr>
      </w:pPr>
      <w:r>
        <w:rPr>
          <w:rFonts w:hint="eastAsia" w:ascii="楷体_GB2312" w:hAnsi="楷体_GB2312" w:eastAsia="楷体_GB2312" w:cs="楷体_GB2312"/>
          <w:kern w:val="2"/>
          <w:sz w:val="32"/>
          <w:szCs w:val="32"/>
          <w:lang w:val="en-US" w:eastAsia="zh-CN" w:bidi="ar-SA"/>
        </w:rPr>
        <w:t>国土空间支撑能力稳步增强。</w:t>
      </w:r>
      <w:r>
        <w:rPr>
          <w:rFonts w:hint="eastAsia" w:ascii="仿宋_GB2312" w:hAnsi="仿宋_GB2312" w:eastAsia="仿宋_GB2312" w:cs="仿宋_GB2312"/>
          <w:kern w:val="2"/>
          <w:sz w:val="32"/>
          <w:szCs w:val="32"/>
          <w:lang w:val="en-US" w:eastAsia="zh-CN" w:bidi="ar-SA"/>
        </w:rPr>
        <w:t>现代</w:t>
      </w:r>
      <w:r>
        <w:rPr>
          <w:rFonts w:hint="eastAsia" w:ascii="仿宋_GB2312" w:hAnsi="仿宋_GB2312" w:eastAsia="仿宋_GB2312" w:cs="Times New Roman"/>
          <w:kern w:val="2"/>
          <w:sz w:val="32"/>
          <w:szCs w:val="32"/>
          <w:lang w:val="en-US" w:eastAsia="zh-CN" w:bidi="ar-SA"/>
        </w:rPr>
        <w:t>综合交通网络逐渐完善，国土空间对外联通能力和开放度全面增强，与周边城镇联系更加紧密。水利、能源、防灾减灾等基础设施体系建设得到有力保障,应对各类灾害的风险防范能力明显提升。</w:t>
      </w:r>
    </w:p>
    <w:p w14:paraId="1AD2C6CA">
      <w:pPr>
        <w:widowControl w:val="0"/>
        <w:spacing w:after="120" w:line="600" w:lineRule="exact"/>
        <w:ind w:firstLine="640"/>
        <w:jc w:val="both"/>
        <w:rPr>
          <w:rFonts w:hint="eastAsia" w:ascii="Calibri" w:hAnsi="Calibri" w:eastAsia="仿宋_GB2312" w:cs="Times New Roman"/>
          <w:kern w:val="2"/>
          <w:sz w:val="32"/>
          <w:szCs w:val="22"/>
          <w:lang w:val="en-US" w:eastAsia="zh-CN" w:bidi="ar-SA"/>
        </w:rPr>
      </w:pPr>
      <w:r>
        <w:rPr>
          <w:rFonts w:hint="eastAsia" w:ascii="楷体_GB2312" w:hAnsi="楷体_GB2312" w:eastAsia="楷体_GB2312" w:cs="楷体_GB2312"/>
          <w:kern w:val="2"/>
          <w:sz w:val="32"/>
          <w:szCs w:val="22"/>
          <w:lang w:val="en-US" w:eastAsia="zh-CN" w:bidi="ar-SA"/>
        </w:rPr>
        <w:t>国土空间品质持续提高。</w:t>
      </w:r>
      <w:r>
        <w:rPr>
          <w:rFonts w:hint="eastAsia" w:ascii="Calibri" w:hAnsi="Calibri" w:eastAsia="仿宋_GB2312" w:cs="Times New Roman"/>
          <w:kern w:val="2"/>
          <w:sz w:val="32"/>
          <w:szCs w:val="22"/>
          <w:lang w:val="en-US" w:eastAsia="zh-CN" w:bidi="ar-SA"/>
        </w:rPr>
        <w:t>城乡社区生活圈建成全覆盖，人居环境品质得到全面增强，城乡基本公共服务实现均等化，乡村振兴战略取得实质进展。文化和自然遗产得到有效保护传承，凸显黑马河镇的城镇形象和环青海湖高原生态小镇的特色。</w:t>
      </w:r>
    </w:p>
    <w:tbl>
      <w:tblPr>
        <w:tblStyle w:val="34"/>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49"/>
        <w:gridCol w:w="794"/>
        <w:gridCol w:w="1477"/>
        <w:gridCol w:w="1019"/>
        <w:gridCol w:w="1123"/>
        <w:gridCol w:w="1066"/>
        <w:gridCol w:w="978"/>
        <w:gridCol w:w="811"/>
      </w:tblGrid>
      <w:tr w14:paraId="2C14D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00DC789">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default" w:ascii="仿宋_GB2312" w:hAnsi="仿宋_GB2312" w:eastAsia="仿宋_GB2312" w:cs="仿宋_GB2312"/>
                <w:b/>
                <w:bCs/>
                <w:i w:val="0"/>
                <w:iCs w:val="0"/>
                <w:color w:val="000000"/>
                <w:kern w:val="0"/>
                <w:sz w:val="21"/>
                <w:szCs w:val="21"/>
                <w:u w:val="none"/>
                <w:lang w:val="en-US" w:eastAsia="zh-CN" w:bidi="ar"/>
              </w:rPr>
            </w:pPr>
            <w:bookmarkStart w:id="48" w:name="_Toc12244"/>
            <w:bookmarkStart w:id="49" w:name="_Toc31873"/>
            <w:r>
              <w:rPr>
                <w:rFonts w:hint="eastAsia" w:ascii="黑体" w:hAnsi="黑体" w:eastAsia="黑体" w:cs="Times New Roman"/>
                <w:sz w:val="30"/>
                <w:szCs w:val="30"/>
                <w:lang w:val="en-US" w:eastAsia="zh-CN"/>
              </w:rPr>
              <w:t>专栏2国土空间开发保护主要指标</w:t>
            </w:r>
          </w:p>
        </w:tc>
      </w:tr>
      <w:tr w14:paraId="0B074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5DB5E5">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序号</w:t>
            </w:r>
          </w:p>
        </w:tc>
        <w:tc>
          <w:tcPr>
            <w:tcW w:w="133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D92F7B">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指标项</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7FC2B4">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基期值2020年</w:t>
            </w:r>
          </w:p>
        </w:tc>
        <w:tc>
          <w:tcPr>
            <w:tcW w:w="1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0FBDE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目标值</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3A8D44">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指标属性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09496B">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指标层级</w:t>
            </w:r>
          </w:p>
        </w:tc>
      </w:tr>
      <w:tr w14:paraId="4788A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5DAFF">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b/>
                <w:bCs/>
                <w:i w:val="0"/>
                <w:iCs w:val="0"/>
                <w:color w:val="000000"/>
                <w:sz w:val="21"/>
                <w:szCs w:val="21"/>
                <w:u w:val="none"/>
              </w:rPr>
            </w:pPr>
          </w:p>
        </w:tc>
        <w:tc>
          <w:tcPr>
            <w:tcW w:w="133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8DDE9">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b/>
                <w:bCs/>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4BAFFC">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b/>
                <w:bCs/>
                <w:i w:val="0"/>
                <w:iCs w:val="0"/>
                <w:color w:val="000000"/>
                <w:sz w:val="21"/>
                <w:szCs w:val="21"/>
                <w:u w:val="none"/>
              </w:rPr>
            </w:pP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C32A1">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2025年</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16763">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2035年</w:t>
            </w: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ECD2E">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b/>
                <w:bCs/>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29B0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b/>
                <w:bCs/>
                <w:i w:val="0"/>
                <w:iCs w:val="0"/>
                <w:color w:val="000000"/>
                <w:sz w:val="21"/>
                <w:szCs w:val="21"/>
                <w:u w:val="none"/>
              </w:rPr>
            </w:pPr>
          </w:p>
        </w:tc>
      </w:tr>
      <w:tr w14:paraId="46CF4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1882AA3">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一、空间底线</w:t>
            </w:r>
          </w:p>
        </w:tc>
      </w:tr>
      <w:tr w14:paraId="10B0B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3EE25E">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133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8FE64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生态保护红线面积（平方千米）</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6EBFDE">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default" w:ascii="仿宋_GB2312" w:hAnsi="仿宋_GB2312" w:eastAsia="仿宋_GB2312" w:cs="仿宋_GB2312"/>
                <w:i w:val="0"/>
                <w:iCs w:val="0"/>
                <w:color w:val="000000"/>
                <w:sz w:val="21"/>
                <w:szCs w:val="21"/>
                <w:u w:val="none"/>
                <w:lang w:val="en-US"/>
              </w:rPr>
            </w:pPr>
            <w:r>
              <w:rPr>
                <w:rFonts w:hint="eastAsia" w:ascii="仿宋_GB2312" w:hAnsi="仿宋_GB2312" w:cs="仿宋_GB2312"/>
                <w:i w:val="0"/>
                <w:iCs w:val="0"/>
                <w:color w:val="000000"/>
                <w:kern w:val="0"/>
                <w:sz w:val="21"/>
                <w:szCs w:val="21"/>
                <w:u w:val="none"/>
                <w:lang w:val="en-US" w:eastAsia="zh-CN" w:bidi="ar"/>
              </w:rPr>
              <w:t>54.0477</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C7FD9D">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default" w:ascii="仿宋_GB2312" w:hAnsi="仿宋_GB2312" w:eastAsia="仿宋_GB2312" w:cs="仿宋_GB2312"/>
                <w:i w:val="0"/>
                <w:iCs w:val="0"/>
                <w:color w:val="000000"/>
                <w:sz w:val="21"/>
                <w:szCs w:val="21"/>
                <w:u w:val="none"/>
                <w:lang w:val="en-US"/>
              </w:rPr>
            </w:pPr>
            <w:r>
              <w:rPr>
                <w:rFonts w:hint="eastAsia" w:ascii="仿宋_GB2312" w:hAnsi="仿宋_GB2312" w:eastAsia="仿宋_GB2312" w:cs="仿宋_GB2312"/>
                <w:i w:val="0"/>
                <w:iCs w:val="0"/>
                <w:color w:val="000000"/>
                <w:kern w:val="0"/>
                <w:sz w:val="21"/>
                <w:szCs w:val="21"/>
                <w:u w:val="none"/>
                <w:lang w:val="en-US" w:eastAsia="zh-CN" w:bidi="ar"/>
              </w:rPr>
              <w:t>≥</w:t>
            </w:r>
            <w:r>
              <w:rPr>
                <w:rFonts w:hint="eastAsia" w:ascii="仿宋_GB2312" w:hAnsi="仿宋_GB2312" w:cs="仿宋_GB2312"/>
                <w:i w:val="0"/>
                <w:iCs w:val="0"/>
                <w:color w:val="000000"/>
                <w:kern w:val="0"/>
                <w:sz w:val="21"/>
                <w:szCs w:val="21"/>
                <w:u w:val="none"/>
                <w:lang w:val="en-US" w:eastAsia="zh-CN" w:bidi="ar"/>
              </w:rPr>
              <w:t>54.0477</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E07066">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default" w:ascii="仿宋_GB2312" w:hAnsi="仿宋_GB2312" w:eastAsia="仿宋_GB2312" w:cs="仿宋_GB2312"/>
                <w:i w:val="0"/>
                <w:iCs w:val="0"/>
                <w:color w:val="000000"/>
                <w:sz w:val="21"/>
                <w:szCs w:val="21"/>
                <w:u w:val="none"/>
                <w:lang w:val="en-US"/>
              </w:rPr>
            </w:pPr>
            <w:r>
              <w:rPr>
                <w:rFonts w:hint="eastAsia" w:ascii="仿宋_GB2312" w:hAnsi="仿宋_GB2312" w:eastAsia="仿宋_GB2312" w:cs="仿宋_GB2312"/>
                <w:i w:val="0"/>
                <w:iCs w:val="0"/>
                <w:color w:val="000000"/>
                <w:kern w:val="0"/>
                <w:sz w:val="21"/>
                <w:szCs w:val="21"/>
                <w:u w:val="none"/>
                <w:lang w:val="en-US" w:eastAsia="zh-CN" w:bidi="ar"/>
              </w:rPr>
              <w:t>≥</w:t>
            </w:r>
            <w:r>
              <w:rPr>
                <w:rFonts w:hint="eastAsia" w:ascii="仿宋_GB2312" w:hAnsi="仿宋_GB2312" w:cs="仿宋_GB2312"/>
                <w:i w:val="0"/>
                <w:iCs w:val="0"/>
                <w:color w:val="000000"/>
                <w:kern w:val="0"/>
                <w:sz w:val="21"/>
                <w:szCs w:val="21"/>
                <w:u w:val="none"/>
                <w:lang w:val="en-US" w:eastAsia="zh-CN" w:bidi="ar"/>
              </w:rPr>
              <w:t>54.0477</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C42C00">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约束性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636FE1">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镇域</w:t>
            </w:r>
          </w:p>
        </w:tc>
      </w:tr>
      <w:tr w14:paraId="765D3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EDC37">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133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0DF13">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7C1308">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43EB0">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6A451">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FC6862">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9BC4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r w14:paraId="1A60E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10056">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133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1F6D93">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用水总量（亿立方米）</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DE230">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D02CA">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依据上级下达指标确定</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1BB10">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依据上级下达指标确定</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A081A">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约束性</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B8C0B">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镇域</w:t>
            </w:r>
          </w:p>
        </w:tc>
      </w:tr>
      <w:tr w14:paraId="0F939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FB0060">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133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53B651">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永久基本农田保护面积（万亩）</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4EDB3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0.9409</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BF5330">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≥0.9409</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A1BF7E">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≥0.9409</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3CAC1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约束性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789B74">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镇域</w:t>
            </w:r>
          </w:p>
        </w:tc>
      </w:tr>
      <w:tr w14:paraId="57AFC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21BBE">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133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A6074">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A55F3">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8941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6FA26">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B5DDA">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7BFFE">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r w14:paraId="0F7EC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AF39B">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133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0B4E8F">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耕地保有量（万亩）</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3BE85">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0.9677</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CFB1D">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≥0.9676</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1825D">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≥0.9676</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45A2C">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约束性</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C4F50">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镇域</w:t>
            </w:r>
          </w:p>
        </w:tc>
      </w:tr>
      <w:tr w14:paraId="0415E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02748">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133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B8CA0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城镇开发边界扩展倍数</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12855">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D2EB6">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≤1.56</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602E7">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≤1.56</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29763">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约束性</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879C1">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镇域</w:t>
            </w:r>
          </w:p>
        </w:tc>
      </w:tr>
      <w:tr w14:paraId="5128B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C14BA">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w:t>
            </w:r>
          </w:p>
        </w:tc>
        <w:tc>
          <w:tcPr>
            <w:tcW w:w="133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914738">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森林覆盖率（%）</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8BEF9">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7.59</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FA8D6">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≥7.59</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00FE6">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≥7.59</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C9BA8">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BE686">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镇域</w:t>
            </w:r>
          </w:p>
        </w:tc>
      </w:tr>
      <w:tr w14:paraId="2ED67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ABF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w:t>
            </w:r>
          </w:p>
        </w:tc>
        <w:tc>
          <w:tcPr>
            <w:tcW w:w="133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EFB7FB">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草原综合植被盖度（%）</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08E68">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50</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D79E4">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≥54.00</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2E3B1">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≥56.03</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CC054">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F8453">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镇域</w:t>
            </w:r>
          </w:p>
        </w:tc>
      </w:tr>
      <w:tr w14:paraId="2CAEE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799AF">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w:t>
            </w:r>
          </w:p>
        </w:tc>
        <w:tc>
          <w:tcPr>
            <w:tcW w:w="133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E5570C">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湿地保护率（%）</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7E077">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15</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75F19">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依据上级下达任务确定</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5CCFF">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依据上级下达任务确定</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80C59">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36A83">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镇域</w:t>
            </w:r>
          </w:p>
        </w:tc>
      </w:tr>
      <w:tr w14:paraId="42A79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5391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w:t>
            </w:r>
          </w:p>
        </w:tc>
        <w:tc>
          <w:tcPr>
            <w:tcW w:w="133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B1BE0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自然保护地面积占陆域国土面积比例（%）</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65B24">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44.58</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C16B1">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44.58</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10EC8">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依据上级下达任务确定</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3AA5E">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80874">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镇域</w:t>
            </w:r>
          </w:p>
        </w:tc>
      </w:tr>
      <w:tr w14:paraId="6BCCE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D09CF6">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w:t>
            </w:r>
          </w:p>
        </w:tc>
        <w:tc>
          <w:tcPr>
            <w:tcW w:w="133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A90D4E">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水域空间保有量（万亩）</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6CD94F">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91BD55">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≥1.99</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3DE09E">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≥1.99</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1CBCED">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2C10CB">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镇域</w:t>
            </w:r>
          </w:p>
        </w:tc>
      </w:tr>
      <w:tr w14:paraId="1AE1D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5A6DA">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133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E1FF1">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C60FF">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E4533">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FE566">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54382">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062E4">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r w14:paraId="78BEE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36EEC">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11</w:t>
            </w:r>
          </w:p>
        </w:tc>
        <w:tc>
          <w:tcPr>
            <w:tcW w:w="133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4A1FAB">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自然和文化遗产（处）</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6EE8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120A1">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59F13">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D315B">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8740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镇域</w:t>
            </w:r>
          </w:p>
        </w:tc>
      </w:tr>
      <w:tr w14:paraId="0E7BE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1DB3AA1">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二、空间结构与效率</w:t>
            </w:r>
          </w:p>
        </w:tc>
      </w:tr>
      <w:tr w14:paraId="64FEE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75E89">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12</w:t>
            </w:r>
          </w:p>
        </w:tc>
        <w:tc>
          <w:tcPr>
            <w:tcW w:w="1333" w:type="pct"/>
            <w:gridSpan w:val="2"/>
            <w:tcBorders>
              <w:top w:val="single" w:color="000000" w:sz="4" w:space="0"/>
              <w:left w:val="single" w:color="000000" w:sz="4" w:space="0"/>
              <w:bottom w:val="nil"/>
              <w:right w:val="single" w:color="000000" w:sz="4" w:space="0"/>
            </w:tcBorders>
            <w:shd w:val="clear" w:color="auto" w:fill="auto"/>
            <w:vAlign w:val="center"/>
          </w:tcPr>
          <w:p w14:paraId="6C1A3E25">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人均村庄建设用地面积（平方米）</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C8F0D">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146.23</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4E75D">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≤200</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8A42B">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≤180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0925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tcBorders>
              <w:top w:val="single" w:color="000000" w:sz="4" w:space="0"/>
              <w:left w:val="single" w:color="000000" w:sz="4" w:space="0"/>
              <w:bottom w:val="nil"/>
              <w:right w:val="single" w:color="000000" w:sz="4" w:space="0"/>
            </w:tcBorders>
            <w:shd w:val="clear" w:color="auto" w:fill="auto"/>
            <w:vAlign w:val="center"/>
          </w:tcPr>
          <w:p w14:paraId="5AA27DD1">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镇域</w:t>
            </w:r>
          </w:p>
        </w:tc>
      </w:tr>
      <w:tr w14:paraId="5DBD2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CE695A">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13</w:t>
            </w:r>
          </w:p>
        </w:tc>
        <w:tc>
          <w:tcPr>
            <w:tcW w:w="133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2280C1">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人均城镇建设用地面积（平方米）</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33AD87">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109.04</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FA5500">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≤140</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18C1F0">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≤130</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F755E5">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约束性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73E029">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镇区</w:t>
            </w:r>
          </w:p>
        </w:tc>
      </w:tr>
      <w:tr w14:paraId="0598B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C89FE">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133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1A789">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4B652">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DF3EC">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84838A">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9E24E">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159FB6">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r w14:paraId="24213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007F0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14</w:t>
            </w:r>
          </w:p>
        </w:tc>
        <w:tc>
          <w:tcPr>
            <w:tcW w:w="133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22658F">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人均应急避难场所面积（平方米）</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18DB81">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0.5</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44FA14">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7829E1">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≥1.5</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953A78">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8A5167">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镇区</w:t>
            </w:r>
          </w:p>
        </w:tc>
      </w:tr>
      <w:tr w14:paraId="212D4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C56C6">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133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BBD56">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DB955">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25E6D8">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3D94C">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0B636">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5E482">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r w14:paraId="66A5F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4747C6">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15</w:t>
            </w:r>
          </w:p>
        </w:tc>
        <w:tc>
          <w:tcPr>
            <w:tcW w:w="133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635F04">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道路网密度（千米/平方千米）</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C57249">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3.05</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E9CB94">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≥8.0</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8AD11F">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10.11</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5B0919">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约束性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3A20D4">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镇区</w:t>
            </w:r>
          </w:p>
        </w:tc>
      </w:tr>
      <w:tr w14:paraId="0CD13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53D5A">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133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A9F54">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8717A4">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6D1B1">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E40D4">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A9BBA">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A584A">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r w14:paraId="37E88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53CC31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三、空间品质</w:t>
            </w:r>
          </w:p>
        </w:tc>
      </w:tr>
      <w:tr w14:paraId="23294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95352F">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16</w:t>
            </w:r>
          </w:p>
        </w:tc>
        <w:tc>
          <w:tcPr>
            <w:tcW w:w="133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03DE41">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公园绿地、广场步行5分钟覆盖率（%）</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1DC30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70</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6FAC8E">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≥90</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F10D17">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7D2BFD">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约束性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05A8D7">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镇区</w:t>
            </w:r>
          </w:p>
        </w:tc>
      </w:tr>
      <w:tr w14:paraId="4A186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65D33">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133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ED84E">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E5B85">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1AA1A">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68E53">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53078">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3D30F">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r w14:paraId="4508A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CC965C">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17</w:t>
            </w:r>
          </w:p>
        </w:tc>
        <w:tc>
          <w:tcPr>
            <w:tcW w:w="4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B8D79F">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卫生、养老、教育、文化、体育等社区公共服务设施15分钟覆盖率</w:t>
            </w:r>
          </w:p>
        </w:tc>
        <w:tc>
          <w:tcPr>
            <w:tcW w:w="8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93DD19">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体育设施步行15分钟覆盖率（%）</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DB71A6">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80</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1D3780">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EEFEAC">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100</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0FA5D6">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1DCFCB">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镇区</w:t>
            </w:r>
          </w:p>
        </w:tc>
      </w:tr>
      <w:tr w14:paraId="64F62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18E9E">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13325">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8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597C6">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C1EC5">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CBA15">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19A7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AE88E">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5EDE8">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r w14:paraId="475DC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DF7FC">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BB055">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8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113A24">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文化设施步行15分钟覆盖率（%）</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70D43E">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80</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029BD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F450DB">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100</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1C6909">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FD8696">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镇区</w:t>
            </w:r>
          </w:p>
        </w:tc>
      </w:tr>
      <w:tr w14:paraId="68EE4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BD7DC">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9DBB0">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8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42F47">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378B7">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4F298">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F57E4">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C12B49">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EDC24">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r w14:paraId="4C151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D0C39">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BF051">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8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38252E">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教育设施步行15分钟覆盖率（%）</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BD926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A0745A">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56D6BC">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100</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13360A">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726038">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镇区</w:t>
            </w:r>
          </w:p>
        </w:tc>
      </w:tr>
      <w:tr w14:paraId="5B70B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AB5A4">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B0289F">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8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DC517">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4CBF6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4784C">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3E13A">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97BDF">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C36E7">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r w14:paraId="5D41B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3B833C">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71453D">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8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7BD710">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卫生设施步行15分钟覆盖率（%）</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9E4AB0">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B38EA4">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DF5DEB">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100</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41A809">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421718">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镇区</w:t>
            </w:r>
          </w:p>
        </w:tc>
      </w:tr>
      <w:tr w14:paraId="2773D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D8F6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DA846">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8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63AD13">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A14F06">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13081">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61DAE">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37C60A">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526C7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r w14:paraId="02D8B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09603">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9183EE">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8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780AD1">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养老设施步行15分钟覆盖率（%）</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F7D7D5">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80</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88F48D">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ECBF73">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100</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B4EB17">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BC2EEE">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镇区</w:t>
            </w:r>
          </w:p>
        </w:tc>
      </w:tr>
      <w:tr w14:paraId="669DD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1C5F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C0982">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8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3F44E4">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DB573">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F1452">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90499">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821320">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E6580F">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r w14:paraId="59868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9CB35">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D5333">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8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3A453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社区中心步行15分钟覆盖率（%）</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D95BD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50</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CE5340">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D42238">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100</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AF64A0">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A06D05">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镇区</w:t>
            </w:r>
          </w:p>
        </w:tc>
      </w:tr>
      <w:tr w14:paraId="60728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3BEDF">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B351F">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8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A8E2C">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8558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88C51">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6DF50">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32267">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CB3064">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r w14:paraId="27AB6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1B38C8">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18</w:t>
            </w:r>
          </w:p>
        </w:tc>
        <w:tc>
          <w:tcPr>
            <w:tcW w:w="133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FDF549">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城镇人均住房面积（平方米）</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014A8A">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46.41</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AB6757">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≥42</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F0DEB7">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≥26.8</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DFBC7D">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3B19CE">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镇域</w:t>
            </w:r>
          </w:p>
        </w:tc>
      </w:tr>
      <w:tr w14:paraId="7BD2F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39755">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133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0816A">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A3F22">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45826">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B386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E2516">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0F857">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r w14:paraId="57037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6E9A63">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19</w:t>
            </w:r>
          </w:p>
        </w:tc>
        <w:tc>
          <w:tcPr>
            <w:tcW w:w="133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F6C409">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人均体育用地面积（平方米）</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25D546">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6A3F1E">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68BBBE">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≥4.2</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29FA11">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9A8D8B">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镇区</w:t>
            </w:r>
          </w:p>
        </w:tc>
      </w:tr>
      <w:tr w14:paraId="0D767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77FA87">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133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229C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39B6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0A0DE">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7063E">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BDB013">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070AF">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r w14:paraId="5B31C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D30BDC">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w:t>
            </w:r>
          </w:p>
        </w:tc>
        <w:tc>
          <w:tcPr>
            <w:tcW w:w="133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FD9598">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人均公园绿地面积（平方米）</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357A6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8AEB1E">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727FAF">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≥8.48</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E6CE00">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0FDCE5">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镇区</w:t>
            </w:r>
          </w:p>
        </w:tc>
      </w:tr>
      <w:tr w14:paraId="4F23B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7AFB2">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133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221CA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DEE57">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6A1E01">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6ABED">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4A63E">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F68B6">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bl>
    <w:p w14:paraId="62B77386">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国土空间</w:t>
      </w:r>
      <w:bookmarkEnd w:id="48"/>
      <w:bookmarkEnd w:id="49"/>
      <w:r>
        <w:rPr>
          <w:rFonts w:hint="eastAsia" w:ascii="楷体_GB2312" w:eastAsia="楷体_GB2312" w:cs="Times New Roman"/>
          <w:bCs/>
          <w:sz w:val="32"/>
          <w:szCs w:val="32"/>
          <w:lang w:val="en-US" w:eastAsia="zh-CN"/>
        </w:rPr>
        <w:t>开发保护战略</w:t>
      </w:r>
    </w:p>
    <w:p w14:paraId="15A4EBFD">
      <w:pPr>
        <w:widowControl w:val="0"/>
        <w:spacing w:after="120" w:line="600" w:lineRule="exact"/>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生态优先战略。</w:t>
      </w:r>
      <w:r>
        <w:rPr>
          <w:rFonts w:hint="eastAsia" w:ascii="仿宋_GB2312" w:hAnsi="仿宋_GB2312" w:eastAsia="仿宋_GB2312" w:cs="仿宋_GB2312"/>
          <w:kern w:val="2"/>
          <w:sz w:val="32"/>
          <w:szCs w:val="32"/>
          <w:lang w:val="en-US" w:eastAsia="zh-CN" w:bidi="ar-SA"/>
        </w:rPr>
        <w:t>基于资源环境承载</w:t>
      </w:r>
      <w:r>
        <w:rPr>
          <w:rFonts w:hint="eastAsia" w:ascii="仿宋_GB2312" w:hAnsi="仿宋_GB2312" w:cs="仿宋_GB2312"/>
          <w:kern w:val="2"/>
          <w:sz w:val="32"/>
          <w:szCs w:val="32"/>
          <w:lang w:val="en-US" w:eastAsia="zh-CN" w:bidi="ar-SA"/>
        </w:rPr>
        <w:t>能力</w:t>
      </w:r>
      <w:r>
        <w:rPr>
          <w:rFonts w:hint="eastAsia" w:ascii="仿宋_GB2312" w:hAnsi="仿宋_GB2312" w:eastAsia="仿宋_GB2312" w:cs="仿宋_GB2312"/>
          <w:kern w:val="2"/>
          <w:sz w:val="32"/>
          <w:szCs w:val="32"/>
          <w:lang w:val="en-US" w:eastAsia="zh-CN" w:bidi="ar-SA"/>
        </w:rPr>
        <w:t>和</w:t>
      </w:r>
      <w:r>
        <w:rPr>
          <w:rFonts w:hint="eastAsia" w:ascii="仿宋_GB2312" w:hAnsi="仿宋_GB2312" w:cs="仿宋_GB2312"/>
          <w:kern w:val="2"/>
          <w:sz w:val="32"/>
          <w:szCs w:val="32"/>
          <w:lang w:val="en-US" w:eastAsia="zh-CN" w:bidi="ar-SA"/>
        </w:rPr>
        <w:t>国土空间</w:t>
      </w:r>
      <w:r>
        <w:rPr>
          <w:rFonts w:hint="eastAsia" w:ascii="仿宋_GB2312" w:hAnsi="仿宋_GB2312" w:eastAsia="仿宋_GB2312" w:cs="仿宋_GB2312"/>
          <w:kern w:val="2"/>
          <w:sz w:val="32"/>
          <w:szCs w:val="32"/>
          <w:lang w:val="en-US" w:eastAsia="zh-CN" w:bidi="ar-SA"/>
        </w:rPr>
        <w:t>开发适宜性评价及国家生态屏障构建需求，严格落实生态保护底线；通过青海湖地区重大生态修复工程实施，筑牢国家生态安全屏障。</w:t>
      </w:r>
    </w:p>
    <w:p w14:paraId="3DF32893">
      <w:pPr>
        <w:widowControl w:val="0"/>
        <w:spacing w:after="120" w:line="600" w:lineRule="exact"/>
        <w:ind w:firstLine="640"/>
        <w:jc w:val="both"/>
        <w:rPr>
          <w:rFonts w:ascii="Calibri" w:hAnsi="Calibri" w:eastAsia="仿宋_GB2312" w:cs="Times New Roman"/>
          <w:kern w:val="2"/>
          <w:sz w:val="32"/>
          <w:szCs w:val="22"/>
          <w:lang w:val="en-US" w:eastAsia="zh-CN" w:bidi="ar-SA"/>
        </w:rPr>
      </w:pPr>
      <w:r>
        <w:rPr>
          <w:rFonts w:hint="eastAsia" w:ascii="楷体_GB2312" w:hAnsi="楷体_GB2312" w:eastAsia="楷体_GB2312" w:cs="楷体_GB2312"/>
          <w:kern w:val="2"/>
          <w:sz w:val="32"/>
          <w:szCs w:val="32"/>
          <w:lang w:val="en-US" w:eastAsia="zh-CN" w:bidi="ar-SA"/>
        </w:rPr>
        <w:t>绿色发展战略</w:t>
      </w:r>
      <w:r>
        <w:rPr>
          <w:rFonts w:hint="eastAsia" w:ascii="楷体_GB2312" w:hAnsi="楷体_GB2312" w:eastAsia="楷体_GB2312" w:cs="楷体_GB2312"/>
          <w:kern w:val="2"/>
          <w:sz w:val="32"/>
          <w:szCs w:val="22"/>
          <w:lang w:val="en-US" w:eastAsia="zh-CN" w:bidi="ar-SA"/>
        </w:rPr>
        <w:t>。</w:t>
      </w:r>
      <w:r>
        <w:rPr>
          <w:rFonts w:hint="eastAsia" w:ascii="Calibri" w:hAnsi="Calibri" w:eastAsia="仿宋_GB2312" w:cs="Times New Roman"/>
          <w:kern w:val="2"/>
          <w:sz w:val="32"/>
          <w:szCs w:val="22"/>
          <w:lang w:val="en-US" w:eastAsia="zh-CN" w:bidi="ar-SA"/>
        </w:rPr>
        <w:t>以旅游产业为支撑，打造高原生态魅力小镇，推进“能源+、旅游+、农业+”战略；重点培育产业发展载体，提高城乡产业空间土地利用效率。</w:t>
      </w:r>
    </w:p>
    <w:p w14:paraId="3DF1AFAC">
      <w:pPr>
        <w:widowControl w:val="0"/>
        <w:spacing w:after="120" w:line="600" w:lineRule="exact"/>
        <w:ind w:firstLine="640" w:firstLineChars="200"/>
        <w:jc w:val="both"/>
        <w:rPr>
          <w:rFonts w:hint="eastAsia" w:ascii="Calibri" w:hAnsi="Calibri" w:eastAsia="仿宋_GB2312" w:cs="Times New Roman"/>
          <w:kern w:val="2"/>
          <w:sz w:val="32"/>
          <w:szCs w:val="22"/>
          <w:lang w:val="en-US" w:eastAsia="zh-CN" w:bidi="ar-SA"/>
        </w:rPr>
      </w:pPr>
      <w:r>
        <w:rPr>
          <w:rFonts w:hint="eastAsia" w:ascii="楷体_GB2312" w:hAnsi="楷体_GB2312" w:eastAsia="楷体_GB2312" w:cs="楷体_GB2312"/>
          <w:kern w:val="2"/>
          <w:sz w:val="32"/>
          <w:szCs w:val="32"/>
          <w:lang w:val="en-US" w:eastAsia="zh-CN" w:bidi="ar-SA"/>
        </w:rPr>
        <w:t>宜居共享战略</w:t>
      </w:r>
      <w:r>
        <w:rPr>
          <w:rFonts w:hint="eastAsia" w:ascii="楷体_GB2312" w:hAnsi="楷体_GB2312" w:eastAsia="楷体_GB2312" w:cs="楷体_GB2312"/>
          <w:kern w:val="2"/>
          <w:sz w:val="32"/>
          <w:szCs w:val="22"/>
          <w:lang w:val="en-US" w:eastAsia="zh-CN" w:bidi="ar-SA"/>
        </w:rPr>
        <w:t>。</w:t>
      </w:r>
      <w:r>
        <w:rPr>
          <w:rFonts w:hint="eastAsia" w:ascii="Calibri" w:hAnsi="Calibri" w:eastAsia="仿宋_GB2312" w:cs="Times New Roman"/>
          <w:kern w:val="2"/>
          <w:sz w:val="32"/>
          <w:szCs w:val="22"/>
          <w:lang w:val="en-US" w:eastAsia="zh-CN" w:bidi="ar-SA"/>
        </w:rPr>
        <w:t>围绕满足人民群众对美好生活的向往，构建城乡均等的公共服务、基础设施网络，建设城乡幸福生活圈；围绕建设区域中心城镇，提升高水平公共服务设施建设，提高镇区服务镇域、周边城镇的能力。</w:t>
      </w:r>
    </w:p>
    <w:p w14:paraId="3A76DCA0">
      <w:pPr>
        <w:widowControl w:val="0"/>
        <w:spacing w:after="120" w:line="600" w:lineRule="exact"/>
        <w:ind w:firstLine="640" w:firstLineChars="200"/>
        <w:jc w:val="both"/>
        <w:rPr>
          <w:rFonts w:hint="eastAsia" w:ascii="Calibri" w:hAnsi="Calibri" w:eastAsia="仿宋_GB2312" w:cs="Times New Roman"/>
          <w:kern w:val="2"/>
          <w:sz w:val="32"/>
          <w:szCs w:val="22"/>
          <w:lang w:val="en-US" w:eastAsia="zh-CN" w:bidi="ar-SA"/>
        </w:rPr>
      </w:pPr>
      <w:r>
        <w:rPr>
          <w:rFonts w:hint="eastAsia" w:ascii="楷体_GB2312" w:hAnsi="楷体_GB2312" w:eastAsia="楷体_GB2312" w:cs="楷体_GB2312"/>
          <w:kern w:val="2"/>
          <w:sz w:val="32"/>
          <w:szCs w:val="32"/>
          <w:lang w:val="en-US" w:eastAsia="zh-CN" w:bidi="ar-SA"/>
        </w:rPr>
        <w:t>魅力彰显战略</w:t>
      </w:r>
      <w:r>
        <w:rPr>
          <w:rFonts w:hint="eastAsia" w:ascii="楷体_GB2312" w:hAnsi="楷体_GB2312" w:eastAsia="楷体_GB2312" w:cs="楷体_GB2312"/>
          <w:kern w:val="2"/>
          <w:sz w:val="32"/>
          <w:szCs w:val="22"/>
          <w:lang w:val="en-US" w:eastAsia="zh-CN" w:bidi="ar-SA"/>
        </w:rPr>
        <w:t>。</w:t>
      </w:r>
      <w:r>
        <w:rPr>
          <w:rFonts w:hint="eastAsia" w:ascii="Calibri" w:hAnsi="Calibri" w:eastAsia="仿宋_GB2312" w:cs="Times New Roman"/>
          <w:kern w:val="2"/>
          <w:sz w:val="32"/>
          <w:szCs w:val="22"/>
          <w:lang w:val="en-US" w:eastAsia="zh-CN" w:bidi="ar-SA"/>
        </w:rPr>
        <w:t>充分挖掘</w:t>
      </w:r>
      <w:r>
        <w:rPr>
          <w:rFonts w:hint="eastAsia" w:ascii="仿宋_GB2312" w:hAnsi="仿宋_GB2312" w:eastAsia="仿宋_GB2312" w:cs="仿宋_GB2312"/>
          <w:kern w:val="2"/>
          <w:sz w:val="32"/>
          <w:szCs w:val="32"/>
          <w:lang w:val="en-US" w:eastAsia="zh-CN" w:bidi="ar-SA"/>
        </w:rPr>
        <w:t>民俗文化、</w:t>
      </w:r>
      <w:r>
        <w:rPr>
          <w:rFonts w:hint="eastAsia" w:ascii="Calibri" w:hAnsi="Calibri" w:eastAsia="仿宋_GB2312" w:cs="Times New Roman"/>
          <w:kern w:val="2"/>
          <w:sz w:val="32"/>
          <w:szCs w:val="22"/>
          <w:lang w:val="en-US" w:eastAsia="zh-CN" w:bidi="ar-SA"/>
        </w:rPr>
        <w:t>历史文化资源，</w:t>
      </w:r>
      <w:r>
        <w:rPr>
          <w:rFonts w:hint="eastAsia" w:ascii="Calibri" w:hAnsi="Calibri" w:cs="Times New Roman"/>
          <w:kern w:val="2"/>
          <w:sz w:val="32"/>
          <w:szCs w:val="22"/>
          <w:lang w:val="en-US" w:eastAsia="zh-CN" w:bidi="ar-SA"/>
        </w:rPr>
        <w:t>保护</w:t>
      </w:r>
      <w:r>
        <w:rPr>
          <w:rFonts w:hint="eastAsia" w:ascii="Calibri" w:hAnsi="Calibri" w:eastAsia="仿宋_GB2312" w:cs="Times New Roman"/>
          <w:kern w:val="2"/>
          <w:sz w:val="32"/>
          <w:szCs w:val="22"/>
          <w:lang w:val="en-US" w:eastAsia="zh-CN" w:bidi="ar-SA"/>
        </w:rPr>
        <w:t>传统文化、民族文化、多民族文化融合的特色；立足高原城镇特点，建设富有高原自然风貌、文化特色鲜明的美丽城镇。</w:t>
      </w:r>
    </w:p>
    <w:p w14:paraId="3DC41841">
      <w:pPr>
        <w:rPr>
          <w:rFonts w:hint="eastAsia" w:ascii="Calibri" w:hAnsi="Calibri" w:eastAsia="仿宋_GB2312" w:cs="Times New Roman"/>
          <w:kern w:val="2"/>
          <w:sz w:val="32"/>
          <w:szCs w:val="22"/>
          <w:lang w:val="en-US" w:eastAsia="zh-CN" w:bidi="ar-SA"/>
        </w:rPr>
      </w:pPr>
      <w:r>
        <w:rPr>
          <w:rFonts w:hint="eastAsia" w:ascii="Calibri" w:hAnsi="Calibri" w:eastAsia="仿宋_GB2312" w:cs="Times New Roman"/>
          <w:kern w:val="2"/>
          <w:sz w:val="32"/>
          <w:szCs w:val="22"/>
          <w:lang w:val="en-US" w:eastAsia="zh-CN" w:bidi="ar-SA"/>
        </w:rPr>
        <w:br w:type="page"/>
      </w:r>
    </w:p>
    <w:p w14:paraId="4EF904F6">
      <w:pPr>
        <w:pStyle w:val="2"/>
        <w:ind w:left="-140"/>
        <w:rPr>
          <w:rFonts w:hint="eastAsia" w:ascii="方正小标宋简体" w:hAnsi="方正小标宋简体" w:eastAsia="方正小标宋简体" w:cs="方正小标宋简体"/>
          <w:b w:val="0"/>
          <w:bCs w:val="0"/>
          <w:lang w:val="en-US" w:eastAsia="zh-CN"/>
        </w:rPr>
      </w:pPr>
      <w:bookmarkStart w:id="50" w:name="_Toc22804"/>
      <w:bookmarkStart w:id="51" w:name="_Toc25179"/>
      <w:r>
        <w:rPr>
          <w:rFonts w:hint="eastAsia" w:ascii="方正小标宋简体" w:hAnsi="方正小标宋简体" w:eastAsia="方正小标宋简体" w:cs="方正小标宋简体"/>
          <w:b w:val="0"/>
          <w:bCs w:val="0"/>
          <w:lang w:val="en-US" w:eastAsia="zh-CN"/>
        </w:rPr>
        <w:t>构建国土空间开发保护新格局</w:t>
      </w:r>
      <w:bookmarkEnd w:id="50"/>
      <w:bookmarkEnd w:id="51"/>
    </w:p>
    <w:p w14:paraId="33D2FC15">
      <w:pPr>
        <w:pStyle w:val="3"/>
        <w:numPr>
          <w:ilvl w:val="0"/>
          <w:numId w:val="10"/>
        </w:numPr>
      </w:pPr>
      <w:bookmarkStart w:id="52" w:name="_Toc3042"/>
      <w:bookmarkStart w:id="53" w:name="_Toc26752"/>
      <w:r>
        <w:rPr>
          <w:rFonts w:hint="eastAsia"/>
          <w:lang w:val="en-US" w:eastAsia="zh-CN"/>
        </w:rPr>
        <w:t>筑牢安全发展的空间基础</w:t>
      </w:r>
      <w:bookmarkEnd w:id="52"/>
      <w:bookmarkEnd w:id="53"/>
    </w:p>
    <w:p w14:paraId="68FCCF45">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54" w:name="_Toc11782"/>
      <w:bookmarkStart w:id="55" w:name="_Toc20566"/>
      <w:r>
        <w:rPr>
          <w:rFonts w:hint="eastAsia" w:ascii="楷体_GB2312" w:hAnsi="Times New Roman" w:eastAsia="楷体_GB2312" w:cs="Times New Roman"/>
          <w:bCs/>
          <w:sz w:val="32"/>
          <w:szCs w:val="32"/>
          <w:lang w:val="en-US" w:eastAsia="zh-CN"/>
        </w:rPr>
        <w:t>优先划定耕地和</w:t>
      </w:r>
      <w:r>
        <w:rPr>
          <w:rFonts w:hint="eastAsia" w:ascii="楷体_GB2312" w:hAnsi="Times New Roman" w:eastAsia="楷体_GB2312" w:cs="Times New Roman"/>
          <w:bCs/>
          <w:sz w:val="32"/>
          <w:szCs w:val="32"/>
        </w:rPr>
        <w:t>永久基本农田</w:t>
      </w:r>
      <w:bookmarkEnd w:id="54"/>
      <w:bookmarkEnd w:id="55"/>
    </w:p>
    <w:p w14:paraId="3A499232">
      <w:pPr>
        <w:ind w:firstLine="560"/>
        <w:rPr>
          <w:rFonts w:hint="eastAsia" w:ascii="仿宋_GB2312" w:hAnsi="仿宋_GB2312" w:eastAsia="仿宋_GB2312" w:cs="仿宋_GB2312"/>
          <w:bCs/>
          <w:u w:val="none"/>
          <w:lang w:val="en-US" w:eastAsia="zh-CN"/>
        </w:rPr>
      </w:pPr>
      <w:r>
        <w:rPr>
          <w:rFonts w:hint="eastAsia" w:ascii="仿宋_GB2312" w:hAnsi="仿宋_GB2312" w:eastAsia="仿宋_GB2312" w:cs="仿宋_GB2312"/>
          <w:kern w:val="2"/>
          <w:sz w:val="32"/>
          <w:szCs w:val="32"/>
          <w:u w:val="single"/>
          <w:lang w:val="en-US" w:eastAsia="zh-CN" w:bidi="ar-SA"/>
        </w:rPr>
        <w:t>到2035年</w:t>
      </w:r>
      <w:r>
        <w:rPr>
          <w:rFonts w:hint="eastAsia" w:ascii="仿宋_GB2312" w:hAnsi="仿宋_GB2312" w:cs="仿宋_GB2312"/>
          <w:kern w:val="2"/>
          <w:sz w:val="32"/>
          <w:szCs w:val="32"/>
          <w:u w:val="single"/>
          <w:lang w:val="en-US" w:eastAsia="zh-CN" w:bidi="ar-SA"/>
        </w:rPr>
        <w:t>黑马河镇</w:t>
      </w:r>
      <w:r>
        <w:rPr>
          <w:rFonts w:hint="eastAsia" w:ascii="仿宋_GB2312" w:hAnsi="仿宋_GB2312" w:eastAsia="仿宋_GB2312" w:cs="仿宋_GB2312"/>
          <w:kern w:val="2"/>
          <w:sz w:val="32"/>
          <w:szCs w:val="32"/>
          <w:u w:val="single"/>
          <w:lang w:val="en-US" w:eastAsia="zh-CN" w:bidi="ar-SA"/>
        </w:rPr>
        <w:t>耕地保护任务不少于</w:t>
      </w:r>
      <w:r>
        <w:rPr>
          <w:rFonts w:hint="eastAsia" w:ascii="仿宋_GB2312" w:hAnsi="仿宋_GB2312" w:cs="仿宋_GB2312"/>
          <w:kern w:val="2"/>
          <w:sz w:val="32"/>
          <w:szCs w:val="32"/>
          <w:u w:val="single"/>
          <w:lang w:val="en-US" w:eastAsia="zh-CN" w:bidi="ar-SA"/>
        </w:rPr>
        <w:t>0.9676</w:t>
      </w:r>
      <w:r>
        <w:rPr>
          <w:rFonts w:hint="eastAsia" w:ascii="仿宋_GB2312" w:hAnsi="仿宋_GB2312" w:eastAsia="仿宋_GB2312" w:cs="仿宋_GB2312"/>
          <w:kern w:val="2"/>
          <w:sz w:val="32"/>
          <w:szCs w:val="32"/>
          <w:u w:val="single"/>
          <w:lang w:val="en-US" w:eastAsia="zh-CN" w:bidi="ar-SA"/>
        </w:rPr>
        <w:t>万亩，永久基本农田保护面积不少于</w:t>
      </w:r>
      <w:r>
        <w:rPr>
          <w:rFonts w:hint="eastAsia" w:ascii="仿宋_GB2312" w:hAnsi="仿宋_GB2312" w:cs="仿宋_GB2312"/>
          <w:kern w:val="2"/>
          <w:sz w:val="32"/>
          <w:szCs w:val="32"/>
          <w:u w:val="single"/>
          <w:lang w:val="en-US" w:eastAsia="zh-CN" w:bidi="ar-SA"/>
        </w:rPr>
        <w:t>0.9409</w:t>
      </w:r>
      <w:r>
        <w:rPr>
          <w:rFonts w:hint="eastAsia" w:ascii="仿宋_GB2312" w:hAnsi="仿宋_GB2312" w:eastAsia="仿宋_GB2312" w:cs="仿宋_GB2312"/>
          <w:kern w:val="2"/>
          <w:sz w:val="32"/>
          <w:szCs w:val="32"/>
          <w:u w:val="single"/>
          <w:lang w:val="en-US" w:eastAsia="zh-CN" w:bidi="ar-SA"/>
        </w:rPr>
        <w:t>万亩，主要分布在</w:t>
      </w:r>
      <w:r>
        <w:rPr>
          <w:rFonts w:hint="eastAsia" w:ascii="仿宋_GB2312" w:hAnsi="仿宋_GB2312" w:cs="仿宋_GB2312"/>
          <w:kern w:val="2"/>
          <w:sz w:val="32"/>
          <w:szCs w:val="32"/>
          <w:u w:val="single"/>
          <w:lang w:val="en-US" w:eastAsia="zh-CN" w:bidi="ar-SA"/>
        </w:rPr>
        <w:t>加隆村南部和然却乎村</w:t>
      </w:r>
      <w:r>
        <w:rPr>
          <w:rFonts w:hint="eastAsia" w:ascii="仿宋_GB2312" w:hAnsi="仿宋_GB2312" w:eastAsia="仿宋_GB2312" w:cs="仿宋_GB2312"/>
          <w:kern w:val="2"/>
          <w:sz w:val="32"/>
          <w:szCs w:val="32"/>
          <w:u w:val="single"/>
          <w:lang w:val="en-US" w:eastAsia="zh-CN" w:bidi="ar-SA"/>
        </w:rPr>
        <w:t>。</w:t>
      </w:r>
      <w:r>
        <w:rPr>
          <w:rFonts w:hint="eastAsia" w:ascii="仿宋_GB2312" w:hAnsi="仿宋_GB2312" w:eastAsia="仿宋_GB2312" w:cs="仿宋_GB2312"/>
          <w:kern w:val="2"/>
          <w:sz w:val="32"/>
          <w:szCs w:val="32"/>
          <w:u w:val="none"/>
          <w:lang w:val="en-US" w:eastAsia="zh-CN" w:bidi="ar-SA"/>
        </w:rPr>
        <w:t>从严管控非农建设占用永久基本农田，永久基本农田一经划定，任何单位和个人不得擅自占用或者擅自改变用途，严禁通过擅自调整规划规避占用永久基本农田的审批，严禁未经审批违法违规占用。坚决防止永久基本农田“非农化”，永久基本农田必须坚持农地农用，禁止破坏永久基本农田活动，禁止占用永久基本农田植树造林，禁止闲置、撂荒永久基本农田，禁止以设施农用地为名乱占永久基本农田</w:t>
      </w:r>
      <w:r>
        <w:rPr>
          <w:rFonts w:hint="eastAsia" w:ascii="仿宋_GB2312" w:hAnsi="仿宋_GB2312" w:eastAsia="仿宋_GB2312" w:cs="仿宋_GB2312"/>
          <w:bCs/>
          <w:u w:val="none"/>
          <w:lang w:val="en-US" w:eastAsia="zh-CN"/>
        </w:rPr>
        <w:t>。</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7574"/>
      </w:tblGrid>
      <w:tr w14:paraId="7E9FB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E228398">
            <w:pPr>
              <w:spacing w:line="600" w:lineRule="exact"/>
              <w:ind w:firstLine="0" w:firstLineChars="0"/>
              <w:jc w:val="center"/>
              <w:rPr>
                <w:rFonts w:ascii="黑体" w:hAnsi="宋体" w:eastAsia="黑体" w:cs="Times New Roman"/>
                <w:sz w:val="30"/>
                <w:szCs w:val="30"/>
              </w:rPr>
            </w:pPr>
            <w:r>
              <w:rPr>
                <w:rFonts w:ascii="黑体" w:hAnsi="宋体" w:eastAsia="黑体" w:cs="黑体"/>
                <w:sz w:val="30"/>
                <w:szCs w:val="30"/>
                <w:lang w:bidi="ar"/>
              </w:rPr>
              <w:t>专栏</w:t>
            </w:r>
            <w:r>
              <w:rPr>
                <w:rFonts w:hint="eastAsia" w:ascii="黑体" w:hAnsi="宋体" w:eastAsia="黑体" w:cs="黑体"/>
                <w:sz w:val="30"/>
                <w:szCs w:val="30"/>
                <w:lang w:val="en-US" w:eastAsia="zh-CN" w:bidi="ar"/>
              </w:rPr>
              <w:t>3</w:t>
            </w:r>
            <w:r>
              <w:rPr>
                <w:rFonts w:ascii="黑体" w:hAnsi="宋体" w:eastAsia="黑体" w:cs="黑体"/>
                <w:sz w:val="30"/>
                <w:szCs w:val="30"/>
                <w:lang w:bidi="ar"/>
              </w:rPr>
              <w:t>耕地和永久基本农田保护红线管理规则</w:t>
            </w:r>
          </w:p>
        </w:tc>
      </w:tr>
      <w:tr w14:paraId="0B958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tcBorders>
              <w:top w:val="single" w:color="auto" w:sz="4" w:space="0"/>
              <w:left w:val="single" w:color="auto" w:sz="4" w:space="0"/>
              <w:bottom w:val="single" w:color="auto" w:sz="4" w:space="0"/>
              <w:right w:val="single" w:color="auto" w:sz="4" w:space="0"/>
            </w:tcBorders>
            <w:shd w:val="clear" w:color="auto" w:fill="auto"/>
            <w:vAlign w:val="center"/>
          </w:tcPr>
          <w:p w14:paraId="7ECB92B1">
            <w:pPr>
              <w:widowControl w:val="0"/>
              <w:spacing w:before="0" w:beforeAutospacing="0" w:after="0" w:afterAutospacing="0" w:line="500" w:lineRule="exact"/>
              <w:ind w:firstLine="0" w:firstLineChars="0"/>
              <w:jc w:val="both"/>
              <w:rPr>
                <w:rFonts w:ascii="仿宋_GB2312" w:hAnsi="宋体" w:eastAsia="仿宋_GB2312" w:cs="Times New Roman"/>
                <w:kern w:val="2"/>
                <w:sz w:val="24"/>
                <w:szCs w:val="24"/>
                <w:lang w:val="en-US" w:eastAsia="zh-CN" w:bidi="ar-SA"/>
              </w:rPr>
            </w:pPr>
            <w:r>
              <w:rPr>
                <w:rFonts w:ascii="仿宋_GB2312" w:hAnsi="宋体" w:eastAsia="仿宋_GB2312" w:cs="仿宋_GB2312"/>
                <w:kern w:val="2"/>
                <w:sz w:val="24"/>
                <w:szCs w:val="24"/>
                <w:lang w:val="en-US" w:eastAsia="zh-CN" w:bidi="ar"/>
              </w:rPr>
              <w:t>耕地</w:t>
            </w:r>
          </w:p>
        </w:tc>
        <w:tc>
          <w:tcPr>
            <w:tcW w:w="4444" w:type="pct"/>
            <w:tcBorders>
              <w:top w:val="single" w:color="auto" w:sz="4" w:space="0"/>
              <w:left w:val="single" w:color="auto" w:sz="4" w:space="0"/>
              <w:bottom w:val="single" w:color="auto" w:sz="4" w:space="0"/>
              <w:right w:val="single" w:color="auto" w:sz="4" w:space="0"/>
            </w:tcBorders>
            <w:shd w:val="clear" w:color="auto" w:fill="auto"/>
            <w:vAlign w:val="center"/>
          </w:tcPr>
          <w:p w14:paraId="6C33D1BE">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lang w:val="en-US" w:eastAsia="zh-CN" w:bidi="ar-SA"/>
              </w:rPr>
            </w:pPr>
            <w:r>
              <w:rPr>
                <w:rFonts w:ascii="仿宋_GB2312" w:hAnsi="宋体" w:eastAsia="仿宋_GB2312" w:cs="仿宋_GB2312"/>
                <w:kern w:val="2"/>
                <w:sz w:val="24"/>
                <w:szCs w:val="24"/>
                <w:lang w:val="en-US" w:eastAsia="zh-CN" w:bidi="ar"/>
              </w:rPr>
              <w:t>国家对耕地实行特殊保护，严守耕地保护红线，严格控制耕地转为林地、草地、园地等其他农用地，并落实国家耕地保护补偿制度，具体办法和耕地保护补偿实施步骤按照自然资源部有关部门规定执行。</w:t>
            </w:r>
          </w:p>
          <w:p w14:paraId="03B3862E">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lang w:val="en-US" w:eastAsia="zh-CN" w:bidi="ar-SA"/>
              </w:rPr>
            </w:pPr>
            <w:r>
              <w:rPr>
                <w:rFonts w:ascii="仿宋_GB2312" w:hAnsi="宋体" w:eastAsia="仿宋_GB2312" w:cs="仿宋_GB2312"/>
                <w:kern w:val="2"/>
                <w:sz w:val="24"/>
                <w:szCs w:val="24"/>
                <w:lang w:val="en-US" w:eastAsia="zh-CN" w:bidi="ar"/>
              </w:rPr>
              <w:t>非农业建设经批准占用耕地的，按照“占多少、垦多少”的原则，由占用耕地的单位负责开垦与所占用耕地的数量相等、质量相当的耕地；没有条件开垦或者开垦的耕地不符合要求的，应当按照青海省的规定缴纳耕地开垦费，专款用于开垦新的耕地。</w:t>
            </w:r>
          </w:p>
          <w:p w14:paraId="3DFF7FF2">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lang w:val="en-US" w:eastAsia="zh-CN" w:bidi="ar-SA"/>
              </w:rPr>
            </w:pPr>
            <w:r>
              <w:rPr>
                <w:rFonts w:ascii="仿宋_GB2312" w:hAnsi="宋体" w:eastAsia="仿宋_GB2312" w:cs="仿宋_GB2312"/>
                <w:kern w:val="2"/>
                <w:sz w:val="24"/>
                <w:szCs w:val="24"/>
                <w:lang w:val="en-US" w:eastAsia="zh-CN" w:bidi="ar"/>
              </w:rPr>
              <w:t>各类非农建设、农业结构调整、造林种树等各类占用耕地行为统一纳入耕地占补平衡管理，优先将适宜恢复为优质耕地的园地、林地、草地等其他农用地以及盐碱地等未利用地、低效闲置建设用地统筹作为补充耕地来源。</w:t>
            </w:r>
          </w:p>
          <w:p w14:paraId="0404058E">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lang w:val="en-US" w:eastAsia="zh-CN" w:bidi="ar-SA"/>
              </w:rPr>
            </w:pPr>
            <w:r>
              <w:rPr>
                <w:rFonts w:ascii="仿宋_GB2312" w:hAnsi="宋体" w:eastAsia="仿宋_GB2312" w:cs="仿宋_GB2312"/>
                <w:kern w:val="2"/>
                <w:sz w:val="24"/>
                <w:szCs w:val="24"/>
                <w:lang w:val="en-US" w:eastAsia="zh-CN" w:bidi="ar"/>
              </w:rPr>
              <w:t>地方各级政府应当严格执行国土空间规划，采取措施，确保国土空间规划确定的本行政区域内耕地总量不减少、质量不降低。耕地总量减少的，由省人民政府责令在规定期限内组织开垦与所减少耕地的数量与质量相当的耕地；耕地质量降低的，由省人民政府责令在规定期限内组织整治。新开垦和整治的耕地由自然资源主管部门会同农业农村主管部门验收。</w:t>
            </w:r>
          </w:p>
          <w:p w14:paraId="62E237A7">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lang w:val="en-US" w:eastAsia="zh-CN" w:bidi="ar-SA"/>
              </w:rPr>
            </w:pPr>
            <w:r>
              <w:rPr>
                <w:rFonts w:ascii="仿宋_GB2312" w:hAnsi="宋体" w:eastAsia="仿宋_GB2312" w:cs="仿宋_GB2312"/>
                <w:kern w:val="2"/>
                <w:sz w:val="24"/>
                <w:szCs w:val="24"/>
                <w:lang w:val="en-US" w:eastAsia="zh-CN" w:bidi="ar"/>
              </w:rPr>
              <w:t>非农建设必须节约使用土地，可以利用荒地的，不得占用耕地；可以利用劣地的，不得占用好地。禁止占用耕地建窑、建坟或者擅自在耕地上建房、挖砂、采石、采矿、取土等。</w:t>
            </w:r>
          </w:p>
          <w:p w14:paraId="11F945E1">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lang w:val="en-US" w:eastAsia="zh-CN" w:bidi="ar-SA"/>
              </w:rPr>
            </w:pPr>
            <w:r>
              <w:rPr>
                <w:rFonts w:ascii="仿宋_GB2312" w:hAnsi="宋体" w:eastAsia="仿宋_GB2312" w:cs="仿宋_GB2312"/>
                <w:kern w:val="2"/>
                <w:sz w:val="24"/>
                <w:szCs w:val="24"/>
                <w:lang w:val="en-US" w:eastAsia="zh-CN" w:bidi="ar"/>
              </w:rPr>
              <w:t>禁止任何单位和个人闲置、荒芜耕地。已经办理审批手续的非农业建设占用耕地，一年内不用而又可以耕种并收获的，应当由原耕种该幅耕地的集体或者个人恢复耕种，也可以由用地单位组织耕种；一年以上未动工建设的，应当按照青海省的规定缴纳闲置费；连续两年未使用的，经原批准机关批准，由县级以上人民政府无偿收回用地单位的土地使用权；该幅土地原为农民集体所有的，应当交由原农村集体经济组织恢复耕种。</w:t>
            </w:r>
          </w:p>
          <w:p w14:paraId="31D98A5F">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lang w:val="en-US" w:eastAsia="zh-CN" w:bidi="ar-SA"/>
              </w:rPr>
            </w:pPr>
            <w:r>
              <w:rPr>
                <w:rFonts w:ascii="仿宋_GB2312" w:hAnsi="宋体" w:eastAsia="仿宋_GB2312" w:cs="仿宋_GB2312"/>
                <w:kern w:val="2"/>
                <w:sz w:val="24"/>
                <w:szCs w:val="24"/>
                <w:lang w:val="en-US" w:eastAsia="zh-CN" w:bidi="ar"/>
              </w:rPr>
              <w:t>禁止任何单位和个人在国土空间规划确定的禁止开垦的范围内从事土地开发活动。</w:t>
            </w:r>
          </w:p>
        </w:tc>
      </w:tr>
      <w:tr w14:paraId="75A8C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tcBorders>
              <w:top w:val="single" w:color="auto" w:sz="4" w:space="0"/>
              <w:left w:val="single" w:color="auto" w:sz="4" w:space="0"/>
              <w:bottom w:val="single" w:color="auto" w:sz="4" w:space="0"/>
              <w:right w:val="single" w:color="auto" w:sz="4" w:space="0"/>
            </w:tcBorders>
            <w:shd w:val="clear" w:color="auto" w:fill="auto"/>
            <w:vAlign w:val="center"/>
          </w:tcPr>
          <w:p w14:paraId="5BC88D97">
            <w:pPr>
              <w:widowControl w:val="0"/>
              <w:spacing w:before="0" w:beforeAutospacing="0" w:after="0" w:afterAutospacing="0" w:line="500" w:lineRule="exact"/>
              <w:ind w:firstLine="0" w:firstLineChars="0"/>
              <w:jc w:val="both"/>
              <w:rPr>
                <w:rFonts w:ascii="仿宋_GB2312" w:hAnsi="宋体" w:eastAsia="仿宋_GB2312" w:cs="Times New Roman"/>
                <w:kern w:val="2"/>
                <w:sz w:val="24"/>
                <w:szCs w:val="24"/>
                <w:lang w:val="en-US" w:eastAsia="zh-CN" w:bidi="ar-SA"/>
              </w:rPr>
            </w:pPr>
            <w:r>
              <w:rPr>
                <w:rFonts w:ascii="仿宋_GB2312" w:hAnsi="宋体" w:eastAsia="仿宋_GB2312" w:cs="仿宋_GB2312"/>
                <w:kern w:val="2"/>
                <w:sz w:val="24"/>
                <w:szCs w:val="24"/>
                <w:lang w:val="en-US" w:eastAsia="zh-CN" w:bidi="ar"/>
              </w:rPr>
              <w:t>永久基本农田</w:t>
            </w:r>
          </w:p>
        </w:tc>
        <w:tc>
          <w:tcPr>
            <w:tcW w:w="4444" w:type="pct"/>
            <w:tcBorders>
              <w:top w:val="single" w:color="auto" w:sz="4" w:space="0"/>
              <w:left w:val="single" w:color="auto" w:sz="4" w:space="0"/>
              <w:bottom w:val="single" w:color="auto" w:sz="4" w:space="0"/>
              <w:right w:val="single" w:color="auto" w:sz="4" w:space="0"/>
            </w:tcBorders>
            <w:shd w:val="clear" w:color="auto" w:fill="auto"/>
            <w:vAlign w:val="center"/>
          </w:tcPr>
          <w:p w14:paraId="10BE9371">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lang w:val="en-US" w:eastAsia="zh-CN" w:bidi="ar-SA"/>
              </w:rPr>
            </w:pPr>
            <w:r>
              <w:rPr>
                <w:rFonts w:ascii="仿宋_GB2312" w:hAnsi="宋体" w:eastAsia="仿宋_GB2312" w:cs="仿宋_GB2312"/>
                <w:kern w:val="2"/>
                <w:sz w:val="24"/>
                <w:szCs w:val="24"/>
                <w:lang w:val="en-US" w:eastAsia="zh-CN" w:bidi="ar"/>
              </w:rPr>
              <w:t>永久基本农田不得转为林地、草地、园地等其他农用地及农业设施建设用地。严禁占用永久基本农田发展林果业和挖塘养鱼；严禁占用永久基本农田种植苗木、草皮等用于绿化装饰以及其他破坏耕作层的植物；严禁占用永久基本农田挖湖造景、建设绿化带；严禁新增占用永久基本农田建设畜禽养殖设施、水产养殖设施和破坏耕作层的种植业设施。</w:t>
            </w:r>
          </w:p>
          <w:p w14:paraId="6F9459CB">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lang w:val="en-US" w:eastAsia="zh-CN" w:bidi="ar-SA"/>
              </w:rPr>
            </w:pPr>
            <w:r>
              <w:rPr>
                <w:rFonts w:ascii="仿宋_GB2312" w:hAnsi="宋体" w:eastAsia="仿宋_GB2312" w:cs="仿宋_GB2312"/>
                <w:kern w:val="2"/>
                <w:sz w:val="24"/>
                <w:szCs w:val="24"/>
                <w:lang w:val="en-US" w:eastAsia="zh-CN" w:bidi="ar"/>
              </w:rPr>
              <w:t>严格永久基本农田占用与补划。永久基本农田经依法划定后，任何单位和个人不得擅自占用或者改变其用途。国家能源、交通、水利、军事设施等重点建设项目选址确实难以避让永久基本农田，涉及农用地转用或者土地征收的，必须经国务院批准。</w:t>
            </w:r>
          </w:p>
          <w:p w14:paraId="0F644165">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lang w:val="en-US" w:eastAsia="zh-CN" w:bidi="ar-SA"/>
              </w:rPr>
            </w:pPr>
            <w:r>
              <w:rPr>
                <w:rFonts w:ascii="仿宋_GB2312" w:hAnsi="宋体" w:eastAsia="仿宋_GB2312" w:cs="仿宋_GB2312"/>
                <w:kern w:val="2"/>
                <w:sz w:val="24"/>
                <w:szCs w:val="24"/>
                <w:lang w:val="en-US" w:eastAsia="zh-CN" w:bidi="ar"/>
              </w:rPr>
              <w:t>非农建设依法占用永久基本农田的，建设单位应当按照青海省的有关规定，将所占用耕地耕作层的土壤用于新开垦的耕地、劣质地或者其他耕地的土壤改良。</w:t>
            </w:r>
          </w:p>
        </w:tc>
      </w:tr>
    </w:tbl>
    <w:p w14:paraId="24327554">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56" w:name="_Toc4207"/>
      <w:bookmarkStart w:id="57" w:name="_Toc23966"/>
      <w:r>
        <w:rPr>
          <w:rFonts w:hint="eastAsia" w:ascii="楷体_GB2312" w:hAnsi="Times New Roman" w:eastAsia="楷体_GB2312" w:cs="Times New Roman"/>
          <w:bCs/>
          <w:sz w:val="32"/>
          <w:szCs w:val="32"/>
          <w:lang w:val="en-US" w:eastAsia="zh-CN"/>
        </w:rPr>
        <w:t>严守</w:t>
      </w:r>
      <w:r>
        <w:rPr>
          <w:rFonts w:hint="eastAsia" w:ascii="楷体_GB2312" w:hAnsi="Times New Roman" w:eastAsia="楷体_GB2312" w:cs="Times New Roman"/>
          <w:bCs/>
          <w:sz w:val="32"/>
          <w:szCs w:val="32"/>
        </w:rPr>
        <w:t>生态保护红线</w:t>
      </w:r>
      <w:bookmarkEnd w:id="56"/>
      <w:bookmarkEnd w:id="57"/>
    </w:p>
    <w:p w14:paraId="33D5B472">
      <w:pPr>
        <w:ind w:firstLine="560"/>
        <w:rPr>
          <w:rFonts w:hint="eastAsia" w:ascii="仿宋_GB2312" w:hAnsi="仿宋_GB2312" w:eastAsia="仿宋_GB2312" w:cs="仿宋_GB2312"/>
          <w:bCs/>
          <w:u w:val="single"/>
          <w:lang w:eastAsia="zh-CN"/>
        </w:rPr>
      </w:pPr>
      <w:r>
        <w:rPr>
          <w:rFonts w:hint="eastAsia" w:ascii="仿宋_GB2312" w:hAnsi="仿宋_GB2312" w:eastAsia="仿宋_GB2312" w:cs="仿宋_GB2312"/>
          <w:bCs/>
          <w:kern w:val="2"/>
          <w:sz w:val="32"/>
          <w:szCs w:val="24"/>
          <w:u w:val="single"/>
          <w:lang w:val="en-US" w:eastAsia="zh-CN" w:bidi="ar-SA"/>
        </w:rPr>
        <w:t>至2035年，</w:t>
      </w:r>
      <w:r>
        <w:rPr>
          <w:rFonts w:hint="eastAsia" w:ascii="仿宋_GB2312" w:hAnsi="仿宋_GB2312" w:cs="仿宋_GB2312"/>
          <w:bCs/>
          <w:kern w:val="2"/>
          <w:sz w:val="32"/>
          <w:szCs w:val="24"/>
          <w:u w:val="single"/>
          <w:lang w:val="en-US" w:eastAsia="zh-CN" w:bidi="ar-SA"/>
        </w:rPr>
        <w:t>黑马河镇</w:t>
      </w:r>
      <w:r>
        <w:rPr>
          <w:rFonts w:hint="eastAsia" w:ascii="仿宋_GB2312" w:hAnsi="仿宋_GB2312" w:eastAsia="仿宋_GB2312" w:cs="仿宋_GB2312"/>
          <w:bCs/>
          <w:kern w:val="2"/>
          <w:sz w:val="32"/>
          <w:szCs w:val="24"/>
          <w:u w:val="single"/>
          <w:lang w:val="en-US" w:eastAsia="zh-CN" w:bidi="ar-SA"/>
        </w:rPr>
        <w:t>生态保护红线面积不低于</w:t>
      </w:r>
      <w:r>
        <w:rPr>
          <w:rFonts w:hint="eastAsia" w:ascii="仿宋_GB2312" w:hAnsi="仿宋_GB2312" w:cs="仿宋_GB2312"/>
          <w:bCs/>
          <w:kern w:val="2"/>
          <w:sz w:val="32"/>
          <w:szCs w:val="24"/>
          <w:u w:val="single"/>
          <w:lang w:val="en-US" w:eastAsia="zh-CN" w:bidi="ar-SA"/>
        </w:rPr>
        <w:t>54.0477</w:t>
      </w:r>
      <w:r>
        <w:rPr>
          <w:rFonts w:hint="eastAsia" w:ascii="仿宋_GB2312" w:hAnsi="仿宋_GB2312" w:eastAsia="仿宋_GB2312" w:cs="仿宋_GB2312"/>
          <w:bCs/>
          <w:kern w:val="2"/>
          <w:sz w:val="32"/>
          <w:szCs w:val="24"/>
          <w:u w:val="single"/>
          <w:lang w:val="en-US" w:eastAsia="zh-CN" w:bidi="ar-SA"/>
        </w:rPr>
        <w:t>平方千米，主要分布在青海湖</w:t>
      </w:r>
      <w:r>
        <w:rPr>
          <w:rFonts w:hint="eastAsia" w:ascii="仿宋_GB2312" w:hAnsi="仿宋_GB2312" w:cs="仿宋_GB2312"/>
          <w:bCs/>
          <w:kern w:val="2"/>
          <w:sz w:val="32"/>
          <w:szCs w:val="24"/>
          <w:u w:val="single"/>
          <w:lang w:val="en-US" w:eastAsia="zh-CN" w:bidi="ar-SA"/>
        </w:rPr>
        <w:t>沿岸</w:t>
      </w:r>
      <w:r>
        <w:rPr>
          <w:rFonts w:hint="eastAsia" w:ascii="仿宋_GB2312" w:hAnsi="仿宋_GB2312" w:eastAsia="仿宋_GB2312" w:cs="仿宋_GB2312"/>
          <w:bCs/>
          <w:kern w:val="2"/>
          <w:sz w:val="32"/>
          <w:szCs w:val="24"/>
          <w:u w:val="single"/>
          <w:lang w:val="en-US" w:eastAsia="zh-CN" w:bidi="ar-SA"/>
        </w:rPr>
        <w:t>地区。</w:t>
      </w:r>
      <w:r>
        <w:rPr>
          <w:rFonts w:hint="eastAsia" w:ascii="仿宋_GB2312" w:hAnsi="仿宋_GB2312" w:eastAsia="仿宋_GB2312" w:cs="仿宋_GB2312"/>
          <w:bCs/>
          <w:kern w:val="2"/>
          <w:sz w:val="32"/>
          <w:szCs w:val="24"/>
          <w:u w:val="none"/>
          <w:lang w:val="en-US" w:eastAsia="zh-CN" w:bidi="ar-SA"/>
        </w:rPr>
        <w:t>生态保护红线一经划定，未经批准，严禁擅自调整。严格控制人为活动尤其是开发建设对生态系统的破坏和扰动。生态保护红线内自然保护地核心保护区外，禁止开发性、生产性建设活动，在符合法律法规的前提下，仅允许对生态功能不造成破坏的有限人为活动。生态保护红线内自然保护区、风景名胜区、饮用水水源保护区等区域的管控，依照法律法规执行</w:t>
      </w:r>
      <w:r>
        <w:rPr>
          <w:rFonts w:hint="eastAsia" w:ascii="仿宋_GB2312" w:hAnsi="仿宋_GB2312" w:cs="仿宋_GB2312"/>
          <w:bCs/>
          <w:u w:val="none"/>
          <w:lang w:eastAsia="zh-CN"/>
        </w:rPr>
        <w:t>。</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7574"/>
      </w:tblGrid>
      <w:tr w14:paraId="192C7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gridSpan w:val="2"/>
            <w:vAlign w:val="center"/>
          </w:tcPr>
          <w:p w14:paraId="58407EE6">
            <w:pPr>
              <w:tabs>
                <w:tab w:val="left" w:pos="353"/>
              </w:tabs>
              <w:spacing w:line="600" w:lineRule="exact"/>
              <w:ind w:firstLine="0" w:firstLineChars="0"/>
              <w:jc w:val="center"/>
              <w:rPr>
                <w:rFonts w:ascii="黑体" w:hAnsi="黑体" w:eastAsia="黑体" w:cs="Times New Roman"/>
                <w:sz w:val="30"/>
                <w:szCs w:val="30"/>
              </w:rPr>
            </w:pPr>
            <w:bookmarkStart w:id="58" w:name="_Toc23180"/>
            <w:bookmarkStart w:id="59" w:name="_Toc25898"/>
            <w:r>
              <w:rPr>
                <w:rFonts w:hint="eastAsia" w:ascii="黑体" w:hAnsi="黑体" w:eastAsia="黑体" w:cs="Times New Roman"/>
                <w:sz w:val="30"/>
                <w:szCs w:val="30"/>
              </w:rPr>
              <w:t>专栏</w:t>
            </w:r>
            <w:r>
              <w:rPr>
                <w:rFonts w:hint="eastAsia" w:ascii="黑体" w:hAnsi="黑体" w:eastAsia="黑体" w:cs="Times New Roman"/>
                <w:sz w:val="30"/>
                <w:szCs w:val="30"/>
                <w:lang w:val="en-US" w:eastAsia="zh-CN"/>
              </w:rPr>
              <w:t>4</w:t>
            </w:r>
            <w:r>
              <w:rPr>
                <w:rFonts w:ascii="黑体" w:hAnsi="黑体" w:eastAsia="黑体" w:cs="Times New Roman"/>
                <w:sz w:val="30"/>
                <w:szCs w:val="30"/>
              </w:rPr>
              <w:t xml:space="preserve"> </w:t>
            </w:r>
            <w:r>
              <w:rPr>
                <w:rFonts w:hint="eastAsia" w:ascii="黑体" w:hAnsi="黑体" w:eastAsia="黑体" w:cs="Times New Roman"/>
                <w:sz w:val="30"/>
                <w:szCs w:val="30"/>
              </w:rPr>
              <w:t>生态保护红线管理要求</w:t>
            </w:r>
          </w:p>
        </w:tc>
      </w:tr>
      <w:tr w14:paraId="520A3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vAlign w:val="center"/>
          </w:tcPr>
          <w:p w14:paraId="619CE2C2">
            <w:pPr>
              <w:widowControl w:val="0"/>
              <w:spacing w:line="500" w:lineRule="exact"/>
              <w:ind w:firstLine="0" w:firstLineChars="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严格规范人为活  动</w:t>
            </w:r>
          </w:p>
        </w:tc>
        <w:tc>
          <w:tcPr>
            <w:tcW w:w="7574" w:type="dxa"/>
            <w:vAlign w:val="center"/>
          </w:tcPr>
          <w:p w14:paraId="5B9F99C2">
            <w:pPr>
              <w:widowControl w:val="0"/>
              <w:spacing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①</w:t>
            </w:r>
            <w:r>
              <w:rPr>
                <w:rFonts w:ascii="仿宋_GB2312" w:hAnsi="仿宋_GB2312" w:eastAsia="仿宋_GB2312" w:cs="Times New Roman"/>
                <w:kern w:val="2"/>
                <w:sz w:val="24"/>
                <w:szCs w:val="24"/>
                <w:lang w:val="en-US" w:eastAsia="zh-CN" w:bidi="ar-SA"/>
              </w:rPr>
              <w:t>生态保护红线内，自然保护地核心保护区原则上禁止人为活动。</w:t>
            </w:r>
          </w:p>
          <w:p w14:paraId="0EC44E72">
            <w:pPr>
              <w:widowControl w:val="0"/>
              <w:spacing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②</w:t>
            </w:r>
            <w:r>
              <w:rPr>
                <w:rFonts w:ascii="仿宋_GB2312" w:hAnsi="仿宋_GB2312" w:eastAsia="仿宋_GB2312" w:cs="Times New Roman"/>
                <w:kern w:val="2"/>
                <w:sz w:val="24"/>
                <w:szCs w:val="24"/>
                <w:lang w:val="en-US" w:eastAsia="zh-CN" w:bidi="ar-SA"/>
              </w:rPr>
              <w:t>生态保护红线内，自然保护地核心保护区外，严格禁止开发性、</w:t>
            </w:r>
            <w:r>
              <w:rPr>
                <w:rFonts w:hint="eastAsia" w:ascii="仿宋_GB2312" w:hAnsi="仿宋_GB2312" w:eastAsia="仿宋_GB2312" w:cs="Times New Roman"/>
                <w:kern w:val="2"/>
                <w:sz w:val="24"/>
                <w:szCs w:val="24"/>
                <w:lang w:val="en-US" w:eastAsia="zh-CN" w:bidi="ar-SA"/>
              </w:rPr>
              <w:t>生产性建设活动，在符合法律法规的前提下，仅允许对生态功能不造成破坏的有限人为活动（不视为占用生态保护红线）。</w:t>
            </w:r>
          </w:p>
          <w:p w14:paraId="5C0ACD44">
            <w:pPr>
              <w:widowControl/>
              <w:shd w:val="clear" w:color="auto" w:fill="FFFFFF"/>
              <w:spacing w:after="180"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w:t>
            </w:r>
            <w:r>
              <w:rPr>
                <w:rFonts w:hint="eastAsia" w:ascii="仿宋_GB2312" w:hAnsi="仿宋_GB2312" w:eastAsia="仿宋_GB2312" w:cs="Times New Roman"/>
                <w:kern w:val="2"/>
                <w:sz w:val="24"/>
                <w:szCs w:val="24"/>
                <w:shd w:val="clear" w:color="auto" w:fill="FFFFFF"/>
                <w:lang w:val="en-US" w:eastAsia="zh-CN" w:bidi="ar-SA"/>
              </w:rPr>
              <w:t>管护巡护、保护执法、科学研究、调查监测、测绘导航、防灾减灾救灾、军事国防、疫情防控等活动及相关的必要设施修筑。</w:t>
            </w:r>
          </w:p>
          <w:p w14:paraId="752051F4">
            <w:pPr>
              <w:widowControl/>
              <w:shd w:val="clear" w:color="auto" w:fill="FFFFFF"/>
              <w:spacing w:after="180"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w:t>
            </w:r>
            <w:r>
              <w:rPr>
                <w:rFonts w:hint="eastAsia" w:ascii="仿宋_GB2312" w:hAnsi="仿宋_GB2312" w:eastAsia="仿宋_GB2312" w:cs="Times New Roman"/>
                <w:kern w:val="2"/>
                <w:sz w:val="24"/>
                <w:szCs w:val="24"/>
                <w:shd w:val="clear" w:color="auto" w:fill="FFFFFF"/>
                <w:lang w:val="en-US" w:eastAsia="zh-CN" w:bidi="ar-SA"/>
              </w:rPr>
              <w:t>原住居民和其他合法权益主体，允许在不扩大现有建设用地、耕地、水产养殖规模和放牧强度（符合草畜平衡管理规定）的前提下，开展种植、放牧、捕捞、养殖等活动，修筑生产生活设施。</w:t>
            </w:r>
          </w:p>
          <w:p w14:paraId="013E51EB">
            <w:pPr>
              <w:widowControl/>
              <w:shd w:val="clear" w:color="auto" w:fill="FFFFFF"/>
              <w:spacing w:after="180"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w:t>
            </w:r>
            <w:r>
              <w:rPr>
                <w:rFonts w:hint="eastAsia" w:ascii="仿宋_GB2312" w:hAnsi="仿宋_GB2312" w:eastAsia="仿宋_GB2312" w:cs="Times New Roman"/>
                <w:kern w:val="2"/>
                <w:sz w:val="24"/>
                <w:szCs w:val="24"/>
                <w:shd w:val="clear" w:color="auto" w:fill="FFFFFF"/>
                <w:lang w:val="en-US" w:eastAsia="zh-CN" w:bidi="ar-SA"/>
              </w:rPr>
              <w:t>经依法批准的考古调查发掘、古生物化石调查发掘、标本采集和文物保护活动。</w:t>
            </w:r>
          </w:p>
          <w:p w14:paraId="0C89F006">
            <w:pPr>
              <w:widowControl/>
              <w:shd w:val="clear" w:color="auto" w:fill="FFFFFF"/>
              <w:spacing w:after="180"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w:t>
            </w:r>
            <w:r>
              <w:rPr>
                <w:rFonts w:hint="eastAsia" w:ascii="仿宋_GB2312" w:hAnsi="仿宋_GB2312" w:eastAsia="仿宋_GB2312" w:cs="Times New Roman"/>
                <w:kern w:val="2"/>
                <w:sz w:val="24"/>
                <w:szCs w:val="24"/>
                <w:shd w:val="clear" w:color="auto" w:fill="FFFFFF"/>
                <w:lang w:val="en-US" w:eastAsia="zh-CN" w:bidi="ar-SA"/>
              </w:rPr>
              <w:t>按规定对人工商品林进行抚育采伐，或以提升森林质量、优化栖息地、建设生物防火隔离带等为目的的树种更新，依法开展的</w:t>
            </w:r>
            <w:r>
              <w:rPr>
                <w:rFonts w:hint="eastAsia" w:ascii="仿宋_GB2312" w:hAnsi="仿宋_GB2312" w:eastAsia="仿宋_GB2312" w:cs="Times New Roman"/>
                <w:kern w:val="2"/>
                <w:sz w:val="24"/>
                <w:szCs w:val="24"/>
                <w:lang w:val="en-US" w:eastAsia="zh-CN" w:bidi="ar-SA"/>
              </w:rPr>
              <w:t>林业</w:t>
            </w:r>
            <w:r>
              <w:rPr>
                <w:rFonts w:hint="eastAsia" w:ascii="仿宋_GB2312" w:hAnsi="仿宋_GB2312" w:eastAsia="仿宋_GB2312" w:cs="Times New Roman"/>
                <w:kern w:val="2"/>
                <w:sz w:val="24"/>
                <w:szCs w:val="24"/>
                <w:shd w:val="clear" w:color="auto" w:fill="FFFFFF"/>
                <w:lang w:val="en-US" w:eastAsia="zh-CN" w:bidi="ar-SA"/>
              </w:rPr>
              <w:t>采伐经营。</w:t>
            </w:r>
          </w:p>
          <w:p w14:paraId="59F1102B">
            <w:pPr>
              <w:widowControl/>
              <w:shd w:val="clear" w:color="auto" w:fill="FFFFFF"/>
              <w:spacing w:after="180"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w:t>
            </w:r>
            <w:r>
              <w:rPr>
                <w:rFonts w:hint="eastAsia" w:ascii="仿宋_GB2312" w:hAnsi="仿宋_GB2312" w:eastAsia="仿宋_GB2312" w:cs="Times New Roman"/>
                <w:kern w:val="2"/>
                <w:sz w:val="24"/>
                <w:szCs w:val="24"/>
                <w:shd w:val="clear" w:color="auto" w:fill="FFFFFF"/>
                <w:lang w:val="en-US" w:eastAsia="zh-CN" w:bidi="ar-SA"/>
              </w:rPr>
              <w:t>不破坏生态功能的适度参观旅游、科普宣教及符合相关规划的配套性服务设施和相关的必要公共设施建设及维护。</w:t>
            </w:r>
          </w:p>
          <w:p w14:paraId="304728CD">
            <w:pPr>
              <w:widowControl/>
              <w:shd w:val="clear" w:color="auto" w:fill="FFFFFF"/>
              <w:spacing w:after="180"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w:t>
            </w:r>
            <w:r>
              <w:rPr>
                <w:rFonts w:hint="eastAsia" w:ascii="仿宋_GB2312" w:hAnsi="仿宋_GB2312" w:eastAsia="仿宋_GB2312" w:cs="Times New Roman"/>
                <w:kern w:val="2"/>
                <w:sz w:val="24"/>
                <w:szCs w:val="24"/>
                <w:shd w:val="clear" w:color="auto" w:fill="FFFFFF"/>
                <w:lang w:val="en-US" w:eastAsia="zh-CN" w:bidi="ar-SA"/>
              </w:rPr>
              <w:t>必须且无法避让、符合县级以上国土空间规划的线性基础设施、通讯和防洪、供水设施建设和船舶航行、航道疏浚清淤等活动；已有的合法水利、交通运输等设施运行维护改造。</w:t>
            </w:r>
          </w:p>
          <w:p w14:paraId="45316BD7">
            <w:pPr>
              <w:widowControl/>
              <w:shd w:val="clear" w:color="auto" w:fill="FFFFFF"/>
              <w:spacing w:after="180"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w:t>
            </w:r>
            <w:r>
              <w:rPr>
                <w:rFonts w:hint="eastAsia" w:ascii="仿宋_GB2312" w:hAnsi="仿宋_GB2312" w:eastAsia="仿宋_GB2312" w:cs="Times New Roman"/>
                <w:kern w:val="2"/>
                <w:sz w:val="24"/>
                <w:szCs w:val="24"/>
                <w:shd w:val="clear" w:color="auto" w:fill="FFFFFF"/>
                <w:lang w:val="en-US" w:eastAsia="zh-CN" w:bidi="ar-SA"/>
              </w:rPr>
              <w:t>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范围依照国家相关规定调出生态保护红线；已依法设立的油气采矿权不扩大用地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49AC02DE">
            <w:pPr>
              <w:widowControl/>
              <w:shd w:val="clear" w:color="auto" w:fill="FFFFFF"/>
              <w:spacing w:before="0" w:beforeAutospacing="0" w:after="180" w:afterAutospacing="0" w:line="500" w:lineRule="exact"/>
              <w:ind w:firstLine="420" w:firstLineChars="0"/>
              <w:jc w:val="left"/>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——依据县级以上国土空间规划和生态保护修复专项规划开展的生态修复。</w:t>
            </w:r>
          </w:p>
          <w:p w14:paraId="45CDADC2">
            <w:pPr>
              <w:widowControl/>
              <w:shd w:val="clear" w:color="auto" w:fill="FFFFFF"/>
              <w:spacing w:before="0" w:beforeAutospacing="0" w:after="180" w:afterAutospacing="0" w:line="500" w:lineRule="exact"/>
              <w:ind w:firstLine="420" w:firstLineChars="0"/>
              <w:jc w:val="left"/>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——法律法规规定允许的其他人为活动。</w:t>
            </w:r>
          </w:p>
          <w:p w14:paraId="4075C2DD">
            <w:pPr>
              <w:widowControl w:val="0"/>
              <w:spacing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上述有限人为活动，涉及新增建设用地的，在报批农用地转用、土地征收时，附省人民政府出具符合生态保护红线内允许有限人为活动的认定意见；不涉及新增建设用地的，按有关规定进行管理。上述活动涉及自然保护地的，应征求林业和草原主管部门或自然保护地管理机构意见。</w:t>
            </w:r>
          </w:p>
          <w:p w14:paraId="02C586E2">
            <w:pPr>
              <w:widowControl w:val="0"/>
              <w:spacing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生态保护红线内自然保护区、风景名胜区、饮用水水源保护区等区域，依照法律法规执行。</w:t>
            </w:r>
          </w:p>
        </w:tc>
      </w:tr>
      <w:tr w14:paraId="6E58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vAlign w:val="center"/>
          </w:tcPr>
          <w:p w14:paraId="7FF2BB75">
            <w:pPr>
              <w:widowControl w:val="0"/>
              <w:spacing w:line="500" w:lineRule="exact"/>
              <w:ind w:firstLine="0" w:firstLineChars="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严格占用生态保护红线审批</w:t>
            </w:r>
          </w:p>
        </w:tc>
        <w:tc>
          <w:tcPr>
            <w:tcW w:w="7574" w:type="dxa"/>
            <w:vAlign w:val="center"/>
          </w:tcPr>
          <w:p w14:paraId="04C79BA6">
            <w:pPr>
              <w:widowControl w:val="0"/>
              <w:spacing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除允许的有限人为活动之外，确需占用生态保护红线的国家重大项目，按规定由自然资源部进行用地预审后，报国务院批准。报批农用地转用、土地征收时，附省人民政府基于国土空间规划“一张图”和用途管制要求的不可避让论证意见，说明占用生态保护红线的必要性、节约集约和减缓生态环境影响措施。</w:t>
            </w:r>
          </w:p>
          <w:p w14:paraId="47665256">
            <w:pPr>
              <w:widowControl w:val="0"/>
              <w:spacing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①</w:t>
            </w:r>
            <w:r>
              <w:rPr>
                <w:rFonts w:ascii="仿宋_GB2312" w:hAnsi="仿宋_GB2312" w:eastAsia="仿宋_GB2312" w:cs="Times New Roman"/>
                <w:kern w:val="2"/>
                <w:sz w:val="24"/>
                <w:szCs w:val="24"/>
                <w:lang w:val="en-US" w:eastAsia="zh-CN" w:bidi="ar-SA"/>
              </w:rPr>
              <w:t>占用生态保护红线的国家重大项目，应严格落实生态环境分区管控要求，依法开展环境影响评价。</w:t>
            </w:r>
          </w:p>
          <w:p w14:paraId="4E516D1F">
            <w:pPr>
              <w:widowControl w:val="0"/>
              <w:spacing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②</w:t>
            </w:r>
            <w:r>
              <w:rPr>
                <w:rFonts w:ascii="仿宋_GB2312" w:hAnsi="仿宋_GB2312" w:eastAsia="仿宋_GB2312" w:cs="Times New Roman"/>
                <w:kern w:val="2"/>
                <w:sz w:val="24"/>
                <w:szCs w:val="24"/>
                <w:lang w:val="en-US" w:eastAsia="zh-CN" w:bidi="ar-SA"/>
              </w:rPr>
              <w:t>生态保护红线内允许的有限人为活动和国家重大项目占用生态保护红线涉及临时用地的，按照自然资源部关于规范临时用地管理的有关要求，参照临时占用永久基本农田规定办理，严格落实恢复责任。</w:t>
            </w:r>
          </w:p>
        </w:tc>
      </w:tr>
      <w:tr w14:paraId="772FB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vAlign w:val="center"/>
          </w:tcPr>
          <w:p w14:paraId="2BC76DF9">
            <w:pPr>
              <w:widowControl w:val="0"/>
              <w:spacing w:line="500" w:lineRule="exact"/>
              <w:ind w:firstLine="0" w:firstLineChars="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稳妥有序处理历史遗留问题</w:t>
            </w:r>
          </w:p>
        </w:tc>
        <w:tc>
          <w:tcPr>
            <w:tcW w:w="7574" w:type="dxa"/>
            <w:vAlign w:val="center"/>
          </w:tcPr>
          <w:p w14:paraId="7689B157">
            <w:pPr>
              <w:widowControl w:val="0"/>
              <w:spacing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①</w:t>
            </w:r>
            <w:r>
              <w:rPr>
                <w:rFonts w:ascii="仿宋_GB2312" w:hAnsi="仿宋_GB2312" w:eastAsia="仿宋_GB2312" w:cs="Times New Roman"/>
                <w:kern w:val="2"/>
                <w:sz w:val="24"/>
                <w:szCs w:val="24"/>
                <w:lang w:val="en-US" w:eastAsia="zh-CN" w:bidi="ar-SA"/>
              </w:rPr>
              <w:t>生态保护红线经国务院批准后，对需逐步退出的矿业权等，按照尊重历史、实事求是的原则，结合实际制定退出计划，明确时序安排、补偿安置、生态修复等要求，确保生态安全和社会稳定。</w:t>
            </w:r>
          </w:p>
          <w:p w14:paraId="590641B1">
            <w:pPr>
              <w:widowControl w:val="0"/>
              <w:spacing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②</w:t>
            </w:r>
            <w:r>
              <w:rPr>
                <w:rFonts w:ascii="仿宋_GB2312" w:hAnsi="仿宋_GB2312" w:eastAsia="仿宋_GB2312" w:cs="Times New Roman"/>
                <w:kern w:val="2"/>
                <w:sz w:val="24"/>
                <w:szCs w:val="24"/>
                <w:lang w:val="en-US" w:eastAsia="zh-CN" w:bidi="ar-SA"/>
              </w:rPr>
              <w:t>鼓励有条件的地方通过租赁、转换、购买等方式，对人工商品林实行统一管护，并将重要生态区位的人工商品林按规定逐步转为公益</w:t>
            </w:r>
            <w:r>
              <w:rPr>
                <w:rFonts w:hint="eastAsia" w:ascii="仿宋_GB2312" w:hAnsi="仿宋_GB2312" w:eastAsia="仿宋_GB2312" w:cs="Times New Roman"/>
                <w:kern w:val="2"/>
                <w:sz w:val="24"/>
                <w:szCs w:val="24"/>
                <w:lang w:val="en-US" w:eastAsia="zh-CN" w:bidi="ar-SA"/>
              </w:rPr>
              <w:t>林。</w:t>
            </w:r>
          </w:p>
          <w:p w14:paraId="7E77B9E9">
            <w:pPr>
              <w:widowControl w:val="0"/>
              <w:spacing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0"/>
                <w:lang w:val="en-US" w:eastAsia="zh-CN" w:bidi="ar-SA"/>
              </w:rPr>
              <w:t>③</w:t>
            </w:r>
            <w:r>
              <w:rPr>
                <w:rFonts w:ascii="仿宋_GB2312" w:hAnsi="仿宋_GB2312" w:eastAsia="仿宋_GB2312" w:cs="Times New Roman"/>
                <w:kern w:val="2"/>
                <w:sz w:val="24"/>
                <w:szCs w:val="24"/>
                <w:lang w:val="en-US" w:eastAsia="zh-CN" w:bidi="ar-SA"/>
              </w:rPr>
              <w:t>零星分布的已有水电、风电、光伏设施，按照相关法律法规规定进行管理，严禁扩大现有规模与范围，项目到期后由建设单位负责做好生态修复。</w:t>
            </w:r>
          </w:p>
        </w:tc>
      </w:tr>
    </w:tbl>
    <w:p w14:paraId="4F84ADC8">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r>
        <w:rPr>
          <w:rFonts w:hint="eastAsia" w:ascii="楷体_GB2312" w:eastAsia="楷体_GB2312" w:cs="Times New Roman"/>
          <w:bCs/>
          <w:sz w:val="32"/>
          <w:szCs w:val="32"/>
          <w:lang w:val="en-US" w:eastAsia="zh-CN"/>
        </w:rPr>
        <w:t>严格落实</w:t>
      </w:r>
      <w:r>
        <w:rPr>
          <w:rFonts w:hint="eastAsia" w:ascii="楷体_GB2312" w:hAnsi="Times New Roman" w:eastAsia="楷体_GB2312" w:cs="Times New Roman"/>
          <w:bCs/>
          <w:sz w:val="32"/>
          <w:szCs w:val="32"/>
          <w:lang w:val="en-US" w:eastAsia="zh-CN"/>
        </w:rPr>
        <w:t>城镇开发边界</w:t>
      </w:r>
      <w:bookmarkEnd w:id="58"/>
      <w:bookmarkEnd w:id="59"/>
    </w:p>
    <w:p w14:paraId="1B911DF1">
      <w:pPr>
        <w:ind w:firstLine="560"/>
        <w:rPr>
          <w:rFonts w:hint="eastAsia" w:ascii="仿宋_GB2312" w:hAnsi="仿宋_GB2312" w:eastAsia="仿宋_GB2312" w:cs="仿宋_GB2312"/>
          <w:bCs/>
        </w:rPr>
      </w:pPr>
      <w:r>
        <w:rPr>
          <w:rFonts w:hint="eastAsia" w:ascii="仿宋_GB2312" w:hAnsi="仿宋_GB2312" w:eastAsia="仿宋_GB2312" w:cs="仿宋_GB2312"/>
          <w:szCs w:val="24"/>
          <w:u w:val="single"/>
          <w:lang w:bidi="ar"/>
        </w:rPr>
        <w:t>到2035年，</w:t>
      </w:r>
      <w:r>
        <w:rPr>
          <w:rFonts w:hint="eastAsia" w:ascii="仿宋_GB2312" w:hAnsi="仿宋_GB2312" w:cs="仿宋_GB2312"/>
          <w:szCs w:val="24"/>
          <w:u w:val="single"/>
          <w:lang w:val="en-US" w:eastAsia="zh-CN" w:bidi="ar"/>
        </w:rPr>
        <w:t>黑马河镇</w:t>
      </w:r>
      <w:r>
        <w:rPr>
          <w:rFonts w:hint="eastAsia" w:ascii="仿宋_GB2312" w:hAnsi="仿宋_GB2312" w:eastAsia="仿宋_GB2312" w:cs="仿宋_GB2312"/>
          <w:szCs w:val="24"/>
          <w:u w:val="single"/>
          <w:lang w:bidi="ar"/>
        </w:rPr>
        <w:t>城镇开发边界面积控制在2020年现状城镇建设用地规模的</w:t>
      </w:r>
      <w:r>
        <w:rPr>
          <w:rFonts w:hint="eastAsia" w:ascii="仿宋_GB2312" w:hAnsi="仿宋_GB2312" w:eastAsia="仿宋_GB2312" w:cs="仿宋_GB2312"/>
          <w:szCs w:val="24"/>
          <w:u w:val="single"/>
          <w:lang w:val="en-US" w:eastAsia="zh-CN" w:bidi="ar"/>
        </w:rPr>
        <w:t>1.</w:t>
      </w:r>
      <w:r>
        <w:rPr>
          <w:rFonts w:hint="eastAsia" w:ascii="仿宋_GB2312" w:hAnsi="仿宋_GB2312" w:cs="仿宋_GB2312"/>
          <w:szCs w:val="24"/>
          <w:u w:val="single"/>
          <w:lang w:val="en-US" w:eastAsia="zh-CN" w:bidi="ar"/>
        </w:rPr>
        <w:t>56</w:t>
      </w:r>
      <w:r>
        <w:rPr>
          <w:rFonts w:hint="eastAsia" w:ascii="仿宋_GB2312" w:hAnsi="仿宋_GB2312" w:eastAsia="仿宋_GB2312" w:cs="仿宋_GB2312"/>
          <w:szCs w:val="24"/>
          <w:u w:val="single"/>
          <w:lang w:bidi="ar"/>
        </w:rPr>
        <w:t>倍</w:t>
      </w:r>
      <w:r>
        <w:rPr>
          <w:rFonts w:hint="eastAsia" w:ascii="仿宋_GB2312" w:hAnsi="仿宋_GB2312" w:cs="仿宋_GB2312"/>
          <w:szCs w:val="24"/>
          <w:u w:val="single"/>
          <w:lang w:eastAsia="zh-CN" w:bidi="ar"/>
        </w:rPr>
        <w:t>，</w:t>
      </w:r>
      <w:r>
        <w:rPr>
          <w:rFonts w:hint="eastAsia" w:ascii="仿宋_GB2312" w:hAnsi="仿宋_GB2312" w:cs="仿宋_GB2312"/>
          <w:szCs w:val="24"/>
          <w:u w:val="single"/>
          <w:lang w:val="en-US" w:eastAsia="zh-CN" w:bidi="ar"/>
        </w:rPr>
        <w:t>城镇开发边界面积106.64公顷</w:t>
      </w:r>
      <w:r>
        <w:rPr>
          <w:rFonts w:hint="eastAsia" w:ascii="仿宋_GB2312" w:hAnsi="仿宋_GB2312" w:eastAsia="仿宋_GB2312" w:cs="仿宋_GB2312"/>
          <w:szCs w:val="24"/>
          <w:u w:val="single"/>
          <w:lang w:eastAsia="zh-CN" w:bidi="ar"/>
        </w:rPr>
        <w:t>。</w:t>
      </w:r>
      <w:r>
        <w:rPr>
          <w:rFonts w:hint="eastAsia" w:ascii="仿宋_GB2312" w:hAnsi="仿宋_GB2312" w:eastAsia="仿宋_GB2312" w:cs="仿宋_GB2312"/>
          <w:szCs w:val="24"/>
          <w:u w:val="none"/>
          <w:lang w:eastAsia="zh-CN" w:bidi="ar"/>
        </w:rPr>
        <w:t>城镇开发边界一经划定，原则上不得调整，因国家和省重大战略实施、重大政策调整、重大项目建设、以及行政区划调整等确需调整的，按国土空间规划修改程序进行</w:t>
      </w:r>
      <w:r>
        <w:rPr>
          <w:rFonts w:hint="eastAsia" w:ascii="仿宋_GB2312" w:hAnsi="仿宋_GB2312" w:eastAsia="仿宋_GB2312" w:cs="仿宋_GB2312"/>
          <w:bCs/>
        </w:rPr>
        <w:t>。</w:t>
      </w:r>
    </w:p>
    <w:p w14:paraId="05317BB2">
      <w:pPr>
        <w:ind w:firstLine="560"/>
        <w:rPr>
          <w:rFonts w:hint="eastAsia" w:ascii="仿宋_GB2312" w:hAnsi="仿宋_GB2312" w:eastAsia="仿宋_GB2312" w:cs="仿宋_GB2312"/>
          <w:bCs/>
        </w:rPr>
        <w:sectPr>
          <w:footerReference r:id="rId7" w:type="default"/>
          <w:pgSz w:w="11906" w:h="16838"/>
          <w:pgMar w:top="1440" w:right="1800" w:bottom="1440" w:left="1800" w:header="964" w:footer="624" w:gutter="0"/>
          <w:pgBorders>
            <w:top w:val="none" w:sz="0" w:space="0"/>
            <w:left w:val="none" w:sz="0" w:space="0"/>
            <w:bottom w:val="none" w:sz="0" w:space="0"/>
            <w:right w:val="none" w:sz="0" w:space="0"/>
          </w:pgBorders>
          <w:pgNumType w:start="1"/>
          <w:cols w:space="425" w:num="1"/>
          <w:docGrid w:type="lines" w:linePitch="312" w:charSpace="0"/>
        </w:sectPr>
      </w:pP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FAEB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5000" w:type="pct"/>
          </w:tcPr>
          <w:p w14:paraId="51372F2C">
            <w:pPr>
              <w:tabs>
                <w:tab w:val="left" w:pos="353"/>
              </w:tabs>
              <w:spacing w:line="600" w:lineRule="exact"/>
              <w:ind w:firstLine="21" w:firstLineChars="7"/>
              <w:jc w:val="center"/>
              <w:rPr>
                <w:rFonts w:ascii="仿宋_GB2312" w:hAnsi="仿宋_GB2312" w:eastAsia="仿宋_GB2312" w:cs="Times New Roman"/>
                <w:b/>
                <w:sz w:val="21"/>
                <w:szCs w:val="28"/>
              </w:rPr>
            </w:pPr>
            <w:bookmarkStart w:id="60" w:name="_Toc8984"/>
            <w:r>
              <w:rPr>
                <w:rFonts w:hint="eastAsia" w:ascii="黑体" w:hAnsi="黑体" w:eastAsia="黑体" w:cs="Times New Roman"/>
                <w:sz w:val="30"/>
                <w:szCs w:val="30"/>
              </w:rPr>
              <w:t>专栏</w:t>
            </w:r>
            <w:r>
              <w:rPr>
                <w:rFonts w:hint="eastAsia" w:ascii="黑体" w:hAnsi="黑体" w:eastAsia="黑体" w:cs="Times New Roman"/>
                <w:sz w:val="30"/>
                <w:szCs w:val="30"/>
                <w:lang w:val="en-US" w:eastAsia="zh-CN"/>
              </w:rPr>
              <w:t>5</w:t>
            </w:r>
            <w:r>
              <w:rPr>
                <w:rFonts w:ascii="黑体" w:hAnsi="黑体" w:eastAsia="黑体" w:cs="Times New Roman"/>
                <w:sz w:val="30"/>
                <w:szCs w:val="30"/>
              </w:rPr>
              <w:t xml:space="preserve"> </w:t>
            </w:r>
            <w:r>
              <w:rPr>
                <w:rFonts w:hint="eastAsia" w:ascii="黑体" w:hAnsi="黑体" w:eastAsia="黑体" w:cs="Times New Roman"/>
                <w:sz w:val="30"/>
                <w:szCs w:val="30"/>
              </w:rPr>
              <w:t>城镇开发边界管理规则</w:t>
            </w:r>
          </w:p>
        </w:tc>
      </w:tr>
      <w:tr w14:paraId="0131C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5000" w:type="pct"/>
          </w:tcPr>
          <w:p w14:paraId="4A8080BD">
            <w:pPr>
              <w:widowControl w:val="0"/>
              <w:spacing w:line="500" w:lineRule="exact"/>
              <w:ind w:firstLine="480" w:firstLineChars="200"/>
              <w:jc w:val="both"/>
              <w:rPr>
                <w:rFonts w:ascii="仿宋_GB2312" w:hAnsi="仿宋_GB2312" w:eastAsia="仿宋_GB2312" w:cs="Times New Roman"/>
                <w:kern w:val="2"/>
                <w:sz w:val="24"/>
                <w:szCs w:val="24"/>
                <w:lang w:val="en-US" w:eastAsia="zh-CN" w:bidi="ar-SA"/>
              </w:rPr>
            </w:pPr>
            <w:bookmarkStart w:id="61" w:name="_Hlk133223133"/>
            <w:r>
              <w:rPr>
                <w:rFonts w:hint="eastAsia" w:ascii="仿宋_GB2312" w:hAnsi="仿宋_GB2312" w:eastAsia="仿宋_GB2312" w:cs="Times New Roman"/>
                <w:kern w:val="2"/>
                <w:sz w:val="24"/>
                <w:szCs w:val="24"/>
                <w:lang w:val="en-US" w:eastAsia="zh-CN" w:bidi="ar-SA"/>
              </w:rPr>
              <w:t>城镇开发边界内，各类建设活动严格实行用途管制，按照规划用途依法办理有关手续，并加强与水体保护线、绿地系统线、基础设施建设控制线、历史文化保护线等协同管控。严格城镇开发边界外的空间准入，原则上除特殊用地外，只能用于农业生产、乡村振兴、生态保护和交通等基础设施建设，不得进行城镇集中建设，不得设立各类开发区。</w:t>
            </w:r>
          </w:p>
          <w:p w14:paraId="7F78FDA9">
            <w:pPr>
              <w:widowControl w:val="0"/>
              <w:spacing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①集中建设区用于布局城市、建制镇和新区、开发区等各类城镇集中建设。</w:t>
            </w:r>
          </w:p>
          <w:p w14:paraId="17A2248F">
            <w:pPr>
              <w:widowControl w:val="0"/>
              <w:spacing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②弹性发展区在满足特定条件下方可进行城镇开发和集中建设。在不突破规划城镇建设用地规模的前提下，城镇建设用地布局可在弹性发展区范围内进行调整。</w:t>
            </w:r>
          </w:p>
          <w:p w14:paraId="0EBF24A1">
            <w:pPr>
              <w:tabs>
                <w:tab w:val="left" w:pos="353"/>
              </w:tabs>
              <w:spacing w:line="500" w:lineRule="exact"/>
              <w:ind w:firstLine="480" w:firstLineChars="200"/>
              <w:rPr>
                <w:rFonts w:ascii="仿宋_GB2312" w:hAnsi="仿宋_GB2312" w:eastAsia="仿宋_GB2312" w:cs="Times New Roman"/>
                <w:sz w:val="24"/>
                <w:szCs w:val="24"/>
              </w:rPr>
            </w:pPr>
            <w:r>
              <w:rPr>
                <w:rFonts w:hint="eastAsia" w:ascii="仿宋_GB2312" w:hAnsi="仿宋_GB2312" w:eastAsia="仿宋_GB2312" w:cs="Times New Roman"/>
                <w:sz w:val="24"/>
                <w:szCs w:val="24"/>
              </w:rPr>
              <w:t>③特别用途区原则上禁止任何城镇集中建设行为，实施建设用地总量控制，原则上不得新增除市政基础设施、交通物流基础设施、生态修复工程、必要的配套及游憩设施外的其他城镇建设用地。</w:t>
            </w:r>
            <w:bookmarkEnd w:id="61"/>
          </w:p>
        </w:tc>
      </w:tr>
      <w:bookmarkEnd w:id="60"/>
    </w:tbl>
    <w:p w14:paraId="019EC04B">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default" w:ascii="楷体_GB2312" w:eastAsia="楷体_GB2312" w:cs="Times New Roman"/>
          <w:bCs/>
          <w:sz w:val="32"/>
          <w:szCs w:val="32"/>
          <w:lang w:val="en-US" w:eastAsia="zh-CN"/>
        </w:rPr>
      </w:pPr>
      <w:r>
        <w:rPr>
          <w:rFonts w:hint="eastAsia" w:ascii="楷体_GB2312" w:eastAsia="楷体_GB2312" w:cs="Times New Roman"/>
          <w:bCs/>
          <w:sz w:val="32"/>
          <w:szCs w:val="32"/>
          <w:lang w:val="en-US" w:eastAsia="zh-CN"/>
        </w:rPr>
        <w:t>强化自然灾害综合风险防控</w:t>
      </w:r>
    </w:p>
    <w:p w14:paraId="2C2DD29A">
      <w:pPr>
        <w:rPr>
          <w:rFonts w:hint="default"/>
          <w:lang w:val="en-US" w:eastAsia="zh-CN"/>
        </w:rPr>
      </w:pPr>
      <w:r>
        <w:rPr>
          <w:rFonts w:hint="eastAsia" w:ascii="楷体_GB2312" w:hAnsi="楷体_GB2312" w:eastAsia="楷体_GB2312" w:cs="楷体_GB2312"/>
          <w:lang w:val="en-US" w:eastAsia="zh-CN"/>
        </w:rPr>
        <w:t>地质灾害风险区。</w:t>
      </w:r>
      <w:r>
        <w:rPr>
          <w:rFonts w:hint="eastAsia"/>
          <w:lang w:val="en-US" w:eastAsia="zh-CN"/>
        </w:rPr>
        <w:t>镇</w:t>
      </w:r>
      <w:r>
        <w:rPr>
          <w:rFonts w:hint="default"/>
          <w:lang w:val="en-US" w:eastAsia="zh-CN"/>
        </w:rPr>
        <w:t>域地质灾害主要类型包括滑坡、崩塌、泥石流等，地质灾害高风险区主要分布于</w:t>
      </w:r>
      <w:r>
        <w:rPr>
          <w:rFonts w:hint="eastAsia"/>
          <w:lang w:val="en-US" w:eastAsia="zh-CN"/>
        </w:rPr>
        <w:t>镇区北部环湖地区</w:t>
      </w:r>
      <w:r>
        <w:rPr>
          <w:rFonts w:hint="default"/>
          <w:lang w:val="en-US" w:eastAsia="zh-CN"/>
        </w:rPr>
        <w:t>以及青海南山一带</w:t>
      </w:r>
      <w:r>
        <w:rPr>
          <w:rFonts w:hint="eastAsia"/>
          <w:lang w:val="en-US" w:eastAsia="zh-CN"/>
        </w:rPr>
        <w:t>，高风险区面积约257.76平方千米</w:t>
      </w:r>
      <w:r>
        <w:rPr>
          <w:rFonts w:hint="default"/>
          <w:lang w:val="en-US" w:eastAsia="zh-CN"/>
        </w:rPr>
        <w:t>。城乡建设应充分考虑地质灾害风险影响，分类明确风险管控措施，</w:t>
      </w:r>
      <w:r>
        <w:rPr>
          <w:rFonts w:hint="default"/>
          <w:u w:val="none"/>
          <w:lang w:val="en-US" w:eastAsia="zh-CN"/>
        </w:rPr>
        <w:t>高风险区应采取地质灾害避险搬迁、排危除险等整治措施严控风险。中风险区应落实风险管控措施，采取地质灾害综合整治措施开展治理，全力确保安全。低风险区要按规定落实地质灾害防范措施，开展城乡建设。单独选址项目应按照地质灾害防治相关要求，开展地质灾害危险性评估并配套实施相关防护工程。</w:t>
      </w:r>
    </w:p>
    <w:p w14:paraId="39EDFF09">
      <w:pPr>
        <w:rPr>
          <w:rFonts w:hint="eastAsia" w:eastAsia="仿宋_GB2312"/>
          <w:lang w:val="en-US" w:eastAsia="zh-CN"/>
        </w:rPr>
      </w:pPr>
      <w:r>
        <w:rPr>
          <w:rFonts w:hint="eastAsia" w:ascii="楷体_GB2312" w:hAnsi="楷体_GB2312" w:eastAsia="楷体_GB2312" w:cs="楷体_GB2312"/>
          <w:lang w:val="en-US" w:eastAsia="zh-CN"/>
        </w:rPr>
        <w:t>洪涝风险控制线。</w:t>
      </w:r>
      <w:r>
        <w:rPr>
          <w:rFonts w:hint="eastAsia"/>
          <w:lang w:val="en-US" w:eastAsia="zh-CN"/>
        </w:rPr>
        <w:t>以水利部门依法划定的河湖管理范围为基础，将县域主要水库、河湖湿地等洪涝水行泄、调蓄的自然空间划入洪涝风险控制线，保障防洪排涝系统完整性和通达性，</w:t>
      </w:r>
      <w:r>
        <w:rPr>
          <w:rFonts w:hint="eastAsia"/>
          <w:u w:val="single"/>
          <w:lang w:val="en-US" w:eastAsia="zh-CN"/>
        </w:rPr>
        <w:t>洪涝风险控制线总面积41.87平方千米。</w:t>
      </w:r>
      <w:r>
        <w:rPr>
          <w:rFonts w:hint="eastAsia"/>
          <w:u w:val="none"/>
          <w:lang w:val="en-US" w:eastAsia="zh-CN"/>
        </w:rPr>
        <w:t>对洪涝风险控制线内的耕地，在不妨碍行洪、蓄洪和输水等功能的前提下，依法依规分类处理。城市建设和发展不得占用洪涝行泄空间；对妨碍行洪、影响河势稳定、危害水工程安全的已建项目，依法限期拆除并恢复原状。对桥梁、码头等审批类项目进行防洪影响评价，消除不利影响。</w:t>
      </w:r>
    </w:p>
    <w:p w14:paraId="2DADF7EA">
      <w:pPr>
        <w:pStyle w:val="3"/>
        <w:numPr>
          <w:ilvl w:val="0"/>
          <w:numId w:val="2"/>
        </w:numPr>
      </w:pPr>
      <w:bookmarkStart w:id="62" w:name="_Toc30175"/>
      <w:bookmarkStart w:id="63" w:name="_Toc7127"/>
      <w:r>
        <w:rPr>
          <w:rFonts w:hint="eastAsia"/>
          <w:lang w:val="en-US" w:eastAsia="zh-CN"/>
        </w:rPr>
        <w:t>细化落实主体功能区布局</w:t>
      </w:r>
      <w:bookmarkEnd w:id="62"/>
      <w:bookmarkEnd w:id="63"/>
    </w:p>
    <w:p w14:paraId="423E2CAD">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64" w:name="_Toc26908"/>
      <w:r>
        <w:rPr>
          <w:rFonts w:hint="eastAsia" w:ascii="楷体_GB2312" w:hAnsi="Times New Roman" w:eastAsia="楷体_GB2312" w:cs="Times New Roman"/>
          <w:bCs/>
          <w:sz w:val="32"/>
          <w:szCs w:val="32"/>
          <w:lang w:val="en-US" w:eastAsia="zh-CN"/>
        </w:rPr>
        <w:t>落实细化主体功能区布局</w:t>
      </w:r>
      <w:bookmarkEnd w:id="64"/>
    </w:p>
    <w:p w14:paraId="31F6DB3E">
      <w:pPr>
        <w:rPr>
          <w:rFonts w:hint="eastAsia"/>
          <w:lang w:val="en-US" w:eastAsia="zh-CN"/>
        </w:rPr>
      </w:pPr>
      <w:r>
        <w:rPr>
          <w:rFonts w:hint="eastAsia"/>
          <w:lang w:val="en-US" w:eastAsia="zh-CN"/>
        </w:rPr>
        <w:t>共和县国土空间规划确定黑马河镇为城市化地区，</w:t>
      </w:r>
      <w:r>
        <w:rPr>
          <w:rFonts w:ascii="仿宋_GB2312" w:hAnsi="仿宋_GB2312" w:eastAsia="仿宋_GB2312" w:cs="仿宋_GB2312"/>
          <w:kern w:val="2"/>
          <w:sz w:val="32"/>
          <w:szCs w:val="32"/>
          <w:lang w:bidi="ar"/>
        </w:rPr>
        <w:t>是全</w:t>
      </w:r>
      <w:r>
        <w:rPr>
          <w:rFonts w:hint="eastAsia" w:ascii="仿宋_GB2312" w:hAnsi="仿宋_GB2312" w:cs="仿宋_GB2312"/>
          <w:kern w:val="2"/>
          <w:sz w:val="32"/>
          <w:szCs w:val="32"/>
          <w:lang w:eastAsia="zh-CN" w:bidi="ar"/>
        </w:rPr>
        <w:t>镇</w:t>
      </w:r>
      <w:r>
        <w:rPr>
          <w:rFonts w:ascii="仿宋_GB2312" w:hAnsi="仿宋_GB2312" w:eastAsia="仿宋_GB2312" w:cs="仿宋_GB2312"/>
          <w:kern w:val="2"/>
          <w:sz w:val="32"/>
          <w:szCs w:val="32"/>
          <w:lang w:bidi="ar"/>
        </w:rPr>
        <w:t>人口、产业集聚的主要载体</w:t>
      </w:r>
      <w:r>
        <w:rPr>
          <w:rFonts w:hint="eastAsia"/>
          <w:lang w:val="en-US" w:eastAsia="zh-CN"/>
        </w:rPr>
        <w:t>。</w:t>
      </w:r>
    </w:p>
    <w:p w14:paraId="190EA9D2">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加强主体功能区管控</w:t>
      </w:r>
    </w:p>
    <w:p w14:paraId="2F0710A8">
      <w:pPr>
        <w:rPr>
          <w:rFonts w:hint="default"/>
          <w:lang w:val="en-US" w:eastAsia="zh-CN"/>
        </w:rPr>
      </w:pPr>
      <w:r>
        <w:rPr>
          <w:rFonts w:hint="eastAsia"/>
          <w:lang w:val="en-US" w:eastAsia="zh-CN"/>
        </w:rPr>
        <w:t>黑马河镇为城市化地区，</w:t>
      </w:r>
      <w:r>
        <w:rPr>
          <w:rFonts w:hint="eastAsia" w:ascii="仿宋_GB2312" w:hAnsi="仿宋_GB2312" w:eastAsia="仿宋_GB2312" w:cs="仿宋_GB2312"/>
          <w:kern w:val="2"/>
          <w:sz w:val="32"/>
          <w:szCs w:val="32"/>
          <w:lang w:bidi="ar"/>
        </w:rPr>
        <w:t>是全</w:t>
      </w:r>
      <w:r>
        <w:rPr>
          <w:rFonts w:hint="eastAsia" w:ascii="仿宋_GB2312" w:hAnsi="仿宋_GB2312" w:cs="仿宋_GB2312"/>
          <w:kern w:val="2"/>
          <w:sz w:val="32"/>
          <w:szCs w:val="32"/>
          <w:lang w:eastAsia="zh-CN" w:bidi="ar"/>
        </w:rPr>
        <w:t>镇</w:t>
      </w:r>
      <w:r>
        <w:rPr>
          <w:rFonts w:hint="eastAsia" w:ascii="仿宋_GB2312" w:hAnsi="仿宋_GB2312" w:eastAsia="仿宋_GB2312" w:cs="仿宋_GB2312"/>
          <w:kern w:val="2"/>
          <w:sz w:val="32"/>
          <w:szCs w:val="32"/>
          <w:lang w:bidi="ar"/>
        </w:rPr>
        <w:t>人口和产业主要集聚地区，</w:t>
      </w:r>
      <w:r>
        <w:rPr>
          <w:rFonts w:hint="eastAsia"/>
          <w:lang w:val="en-US" w:eastAsia="zh-CN"/>
        </w:rPr>
        <w:t>辐射带动区域经济社会发展，提高地区综合竞争力，成为带动黑马河镇崛起的协调发展、绿色发展、高质量发展、特色发展和安全发展的先行区域。鼓励人口向镇区转移和集聚，重点保障民生设施、产业和基础设施项目的用地，完善城乡建设用地增减挂钩制度，提高建设用地的集约节约利用程度。精致配置各项服务配套设施，持续完善基础设施配置，因地制宜建设各具特色的高原美丽城镇，探索高原牧区城镇化的新路径。</w:t>
      </w:r>
    </w:p>
    <w:p w14:paraId="3B336EAA">
      <w:pPr>
        <w:pStyle w:val="3"/>
        <w:numPr>
          <w:ilvl w:val="0"/>
          <w:numId w:val="2"/>
        </w:numPr>
      </w:pPr>
      <w:bookmarkStart w:id="65" w:name="_Toc305"/>
      <w:bookmarkStart w:id="66" w:name="_Toc24864"/>
      <w:r>
        <w:rPr>
          <w:rFonts w:hint="eastAsia"/>
          <w:lang w:val="en-US" w:eastAsia="zh-CN"/>
        </w:rPr>
        <w:t>构建</w:t>
      </w:r>
      <w:r>
        <w:rPr>
          <w:rFonts w:hint="eastAsia"/>
        </w:rPr>
        <w:t>国土空间开发保护</w:t>
      </w:r>
      <w:r>
        <w:rPr>
          <w:rFonts w:hint="eastAsia"/>
          <w:lang w:val="en-US" w:eastAsia="zh-CN"/>
        </w:rPr>
        <w:t>新</w:t>
      </w:r>
      <w:r>
        <w:rPr>
          <w:rFonts w:hint="eastAsia"/>
        </w:rPr>
        <w:t>格局</w:t>
      </w:r>
      <w:bookmarkEnd w:id="65"/>
      <w:bookmarkEnd w:id="66"/>
      <w:bookmarkStart w:id="299" w:name="_GoBack"/>
      <w:bookmarkEnd w:id="299"/>
    </w:p>
    <w:p w14:paraId="098E362F">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67" w:name="_Toc8635"/>
      <w:bookmarkStart w:id="68" w:name="_Toc24088"/>
      <w:r>
        <w:rPr>
          <w:rFonts w:hint="eastAsia" w:ascii="楷体_GB2312" w:hAnsi="Times New Roman" w:eastAsia="楷体_GB2312" w:cs="Times New Roman"/>
          <w:bCs/>
          <w:sz w:val="32"/>
          <w:szCs w:val="32"/>
        </w:rPr>
        <w:t>国土空间开发保护总体格局</w:t>
      </w:r>
      <w:bookmarkEnd w:id="67"/>
      <w:bookmarkEnd w:id="68"/>
    </w:p>
    <w:p w14:paraId="39848877">
      <w:pPr>
        <w:ind w:firstLine="560"/>
        <w:rPr>
          <w:rFonts w:hint="eastAsia" w:ascii="仿宋_GB2312" w:hAnsi="仿宋_GB2312" w:eastAsia="仿宋_GB2312" w:cs="仿宋_GB2312"/>
          <w:bCs/>
        </w:rPr>
      </w:pPr>
      <w:r>
        <w:rPr>
          <w:rFonts w:hint="eastAsia" w:ascii="仿宋_GB2312" w:hAnsi="仿宋_GB2312" w:cs="仿宋_GB2312"/>
          <w:bCs/>
          <w:lang w:val="en-US" w:eastAsia="zh-CN"/>
        </w:rPr>
        <w:t>规划构建</w:t>
      </w:r>
      <w:r>
        <w:rPr>
          <w:rFonts w:hint="eastAsia" w:ascii="仿宋_GB2312" w:hAnsi="仿宋_GB2312" w:eastAsia="仿宋_GB2312" w:cs="仿宋_GB2312"/>
          <w:bCs/>
        </w:rPr>
        <w:t>“一心辐射，两</w:t>
      </w:r>
      <w:r>
        <w:rPr>
          <w:rFonts w:hint="eastAsia" w:ascii="仿宋_GB2312" w:hAnsi="仿宋_GB2312" w:eastAsia="仿宋_GB2312" w:cs="仿宋_GB2312"/>
          <w:bCs/>
          <w:lang w:val="en-US" w:eastAsia="zh-CN"/>
        </w:rPr>
        <w:t>带</w:t>
      </w:r>
      <w:r>
        <w:rPr>
          <w:rFonts w:hint="eastAsia" w:ascii="仿宋_GB2312" w:hAnsi="仿宋_GB2312" w:eastAsia="仿宋_GB2312" w:cs="仿宋_GB2312"/>
          <w:bCs/>
        </w:rPr>
        <w:t>三</w:t>
      </w:r>
      <w:r>
        <w:rPr>
          <w:rFonts w:hint="eastAsia" w:ascii="仿宋_GB2312" w:hAnsi="仿宋_GB2312" w:cs="仿宋_GB2312"/>
          <w:bCs/>
          <w:lang w:val="en-US" w:eastAsia="zh-CN"/>
        </w:rPr>
        <w:t>区</w:t>
      </w:r>
      <w:r>
        <w:rPr>
          <w:rFonts w:hint="eastAsia" w:ascii="仿宋_GB2312" w:hAnsi="仿宋_GB2312" w:eastAsia="仿宋_GB2312" w:cs="仿宋_GB2312"/>
          <w:bCs/>
        </w:rPr>
        <w:t>”的</w:t>
      </w:r>
      <w:r>
        <w:rPr>
          <w:rFonts w:hint="eastAsia" w:ascii="仿宋_GB2312" w:hAnsi="仿宋_GB2312" w:cs="仿宋_GB2312"/>
          <w:bCs/>
          <w:lang w:val="en-US" w:eastAsia="zh-CN"/>
        </w:rPr>
        <w:t>城镇</w:t>
      </w:r>
      <w:r>
        <w:rPr>
          <w:rFonts w:hint="eastAsia" w:ascii="仿宋_GB2312" w:hAnsi="仿宋_GB2312" w:eastAsia="仿宋_GB2312" w:cs="仿宋_GB2312"/>
          <w:bCs/>
        </w:rPr>
        <w:t>总体开发保护格局。</w:t>
      </w:r>
    </w:p>
    <w:p w14:paraId="2901D8B3">
      <w:pPr>
        <w:ind w:firstLine="560"/>
        <w:rPr>
          <w:rFonts w:hint="default" w:ascii="仿宋_GB2312" w:hAnsi="仿宋_GB2312" w:eastAsia="仿宋_GB2312" w:cs="仿宋_GB2312"/>
          <w:bCs/>
          <w:lang w:val="en-US" w:eastAsia="zh-CN"/>
        </w:rPr>
      </w:pPr>
      <w:r>
        <w:rPr>
          <w:rFonts w:hint="eastAsia" w:ascii="楷体_GB2312" w:hAnsi="楷体_GB2312" w:eastAsia="楷体_GB2312" w:cs="楷体_GB2312"/>
          <w:bCs/>
        </w:rPr>
        <w:t>一心：</w:t>
      </w:r>
      <w:r>
        <w:rPr>
          <w:rFonts w:hint="eastAsia" w:ascii="仿宋_GB2312" w:hAnsi="仿宋_GB2312" w:eastAsia="仿宋_GB2312" w:cs="仿宋_GB2312"/>
          <w:bCs/>
        </w:rPr>
        <w:t>将黑马河镇镇区规划为引领城乡发展的核心。</w:t>
      </w:r>
      <w:r>
        <w:rPr>
          <w:rFonts w:hint="eastAsia" w:ascii="仿宋_GB2312" w:hAnsi="仿宋_GB2312" w:cs="仿宋_GB2312"/>
          <w:bCs/>
          <w:lang w:eastAsia="zh-CN"/>
        </w:rPr>
        <w:t>是</w:t>
      </w:r>
      <w:r>
        <w:rPr>
          <w:rFonts w:hint="eastAsia" w:ascii="仿宋_GB2312" w:hAnsi="仿宋_GB2312" w:cs="仿宋_GB2312"/>
          <w:bCs/>
          <w:lang w:val="en-US" w:eastAsia="zh-CN"/>
        </w:rPr>
        <w:t>全镇政治、文化和经济中心，也是引领全镇发展的核心区。</w:t>
      </w:r>
    </w:p>
    <w:p w14:paraId="6AD9076D">
      <w:pPr>
        <w:ind w:firstLine="560"/>
        <w:rPr>
          <w:rFonts w:hint="eastAsia" w:ascii="仿宋_GB2312" w:hAnsi="仿宋_GB2312" w:eastAsia="仿宋_GB2312" w:cs="仿宋_GB2312"/>
          <w:bCs/>
          <w:lang w:val="en-US" w:eastAsia="zh-CN"/>
        </w:rPr>
      </w:pPr>
      <w:r>
        <w:rPr>
          <w:rFonts w:hint="eastAsia" w:ascii="楷体_GB2312" w:hAnsi="楷体_GB2312" w:eastAsia="楷体_GB2312" w:cs="楷体_GB2312"/>
          <w:bCs/>
        </w:rPr>
        <w:t>两</w:t>
      </w:r>
      <w:r>
        <w:rPr>
          <w:rFonts w:hint="eastAsia" w:ascii="楷体_GB2312" w:hAnsi="楷体_GB2312" w:eastAsia="楷体_GB2312" w:cs="楷体_GB2312"/>
          <w:bCs/>
          <w:lang w:val="en-US" w:eastAsia="zh-CN"/>
        </w:rPr>
        <w:t>带</w:t>
      </w:r>
      <w:r>
        <w:rPr>
          <w:rFonts w:hint="eastAsia" w:ascii="楷体_GB2312" w:hAnsi="楷体_GB2312" w:eastAsia="楷体_GB2312" w:cs="楷体_GB2312"/>
          <w:bCs/>
        </w:rPr>
        <w:t>：</w:t>
      </w:r>
      <w:r>
        <w:rPr>
          <w:rFonts w:hint="eastAsia" w:ascii="仿宋_GB2312" w:hAnsi="仿宋_GB2312" w:eastAsia="仿宋_GB2312" w:cs="仿宋_GB2312"/>
          <w:bCs/>
          <w:lang w:val="en-US" w:eastAsia="zh-CN"/>
        </w:rPr>
        <w:t>沿青海湖旅游专线和S208环湖延伸的环湖生态文旅发展带和沿G6</w:t>
      </w:r>
      <w:r>
        <w:rPr>
          <w:rFonts w:hint="eastAsia" w:ascii="仿宋_GB2312" w:hAnsi="仿宋_GB2312" w:cs="仿宋_GB2312"/>
          <w:bCs/>
          <w:lang w:val="en-US" w:eastAsia="zh-CN"/>
        </w:rPr>
        <w:t>发展</w:t>
      </w:r>
      <w:r>
        <w:rPr>
          <w:rFonts w:hint="eastAsia" w:ascii="仿宋_GB2312" w:hAnsi="仿宋_GB2312" w:eastAsia="仿宋_GB2312" w:cs="仿宋_GB2312"/>
          <w:bCs/>
          <w:lang w:val="en-US" w:eastAsia="zh-CN"/>
        </w:rPr>
        <w:t>的现代农牧业发展带。</w:t>
      </w:r>
    </w:p>
    <w:p w14:paraId="7AFD4352">
      <w:pPr>
        <w:ind w:firstLine="560"/>
        <w:rPr>
          <w:rFonts w:hint="default" w:ascii="仿宋_GB2312" w:hAnsi="仿宋_GB2312" w:eastAsia="仿宋_GB2312" w:cs="仿宋_GB2312"/>
          <w:bCs/>
          <w:lang w:val="en-US" w:eastAsia="zh-CN"/>
        </w:rPr>
      </w:pPr>
      <w:r>
        <w:rPr>
          <w:rFonts w:hint="eastAsia" w:ascii="楷体_GB2312" w:hAnsi="楷体_GB2312" w:eastAsia="楷体_GB2312" w:cs="楷体_GB2312"/>
          <w:bCs/>
        </w:rPr>
        <w:t>三</w:t>
      </w:r>
      <w:r>
        <w:rPr>
          <w:rFonts w:hint="eastAsia" w:ascii="楷体_GB2312" w:hAnsi="楷体_GB2312" w:eastAsia="楷体_GB2312" w:cs="楷体_GB2312"/>
          <w:bCs/>
          <w:lang w:val="en-US" w:eastAsia="zh-CN"/>
        </w:rPr>
        <w:t>区</w:t>
      </w:r>
      <w:r>
        <w:rPr>
          <w:rFonts w:hint="eastAsia" w:ascii="楷体_GB2312" w:hAnsi="楷体_GB2312" w:eastAsia="楷体_GB2312" w:cs="楷体_GB2312"/>
          <w:bCs/>
        </w:rPr>
        <w:t>：</w:t>
      </w:r>
      <w:r>
        <w:rPr>
          <w:rFonts w:hint="eastAsia" w:ascii="仿宋_GB2312" w:hAnsi="仿宋_GB2312" w:eastAsia="仿宋_GB2312" w:cs="仿宋_GB2312"/>
          <w:bCs/>
          <w:lang w:val="en-US" w:eastAsia="zh-CN"/>
        </w:rPr>
        <w:t>镇域北部环湖生态旅游片区</w:t>
      </w:r>
      <w:r>
        <w:rPr>
          <w:rFonts w:hint="eastAsia" w:ascii="仿宋_GB2312" w:hAnsi="仿宋_GB2312" w:cs="仿宋_GB2312"/>
          <w:bCs/>
          <w:lang w:val="en-US" w:eastAsia="zh-CN"/>
        </w:rPr>
        <w:t>、</w:t>
      </w:r>
      <w:r>
        <w:rPr>
          <w:rFonts w:hint="eastAsia" w:ascii="仿宋_GB2312" w:hAnsi="仿宋_GB2312" w:eastAsia="仿宋_GB2312" w:cs="仿宋_GB2312"/>
          <w:bCs/>
          <w:lang w:val="en-US" w:eastAsia="zh-CN"/>
        </w:rPr>
        <w:t>中部南山生态保护片区和南部现代农牧业发展片区。</w:t>
      </w:r>
    </w:p>
    <w:p w14:paraId="1AF3E5C6">
      <w:pPr>
        <w:pStyle w:val="3"/>
        <w:numPr>
          <w:ilvl w:val="0"/>
          <w:numId w:val="10"/>
        </w:numPr>
      </w:pPr>
      <w:bookmarkStart w:id="69" w:name="_Toc9848"/>
      <w:bookmarkStart w:id="70" w:name="_Toc19682"/>
      <w:r>
        <w:rPr>
          <w:rFonts w:hint="eastAsia"/>
          <w:lang w:val="en-US" w:eastAsia="zh-CN"/>
        </w:rPr>
        <w:t>国土空间规划分区与用途管制</w:t>
      </w:r>
      <w:bookmarkEnd w:id="69"/>
      <w:bookmarkEnd w:id="70"/>
    </w:p>
    <w:p w14:paraId="4C54B96B">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71" w:name="_Toc21557"/>
      <w:bookmarkStart w:id="72" w:name="_Toc25908"/>
      <w:r>
        <w:rPr>
          <w:rFonts w:hint="eastAsia" w:ascii="楷体_GB2312" w:hAnsi="Times New Roman" w:eastAsia="楷体_GB2312" w:cs="Times New Roman"/>
          <w:bCs/>
          <w:sz w:val="32"/>
          <w:szCs w:val="32"/>
        </w:rPr>
        <w:t>生态保护区</w:t>
      </w:r>
      <w:bookmarkEnd w:id="71"/>
      <w:bookmarkEnd w:id="72"/>
    </w:p>
    <w:p w14:paraId="148B37D8">
      <w:pPr>
        <w:ind w:firstLine="560"/>
        <w:rPr>
          <w:rFonts w:hint="eastAsia" w:ascii="仿宋_GB2312" w:hAnsi="仿宋_GB2312" w:eastAsia="仿宋_GB2312" w:cs="仿宋_GB2312"/>
        </w:rPr>
      </w:pPr>
      <w:r>
        <w:rPr>
          <w:rFonts w:hint="eastAsia"/>
        </w:rPr>
        <w:t>落实县级国土空间规划“三区三线”划定成果，对生态功能重要区域及生态环境敏感脆弱区域进行严格保护。遵循生态系统完整性，维护自然地貌特征，改善陆地生态系统，维护水系网格的系统性、整体性和连通性</w:t>
      </w:r>
      <w:r>
        <w:rPr>
          <w:rFonts w:hint="eastAsia"/>
          <w:lang w:eastAsia="zh-CN"/>
        </w:rPr>
        <w:t>。</w:t>
      </w:r>
      <w:r>
        <w:rPr>
          <w:rFonts w:hint="eastAsia" w:ascii="仿宋_GB2312" w:hAnsi="仿宋_GB2312" w:eastAsia="仿宋_GB2312" w:cs="仿宋_GB2312"/>
        </w:rPr>
        <w:t>本次规划落实上位划定的生态保护区</w:t>
      </w:r>
      <w:r>
        <w:rPr>
          <w:rFonts w:hint="eastAsia" w:ascii="仿宋_GB2312" w:hAnsi="仿宋_GB2312" w:cs="仿宋_GB2312"/>
          <w:lang w:eastAsia="zh-CN"/>
        </w:rPr>
        <w:t>，</w:t>
      </w:r>
      <w:r>
        <w:rPr>
          <w:rFonts w:hint="eastAsia" w:ascii="仿宋_GB2312" w:hAnsi="仿宋_GB2312" w:eastAsia="仿宋_GB2312" w:cs="仿宋_GB2312"/>
        </w:rPr>
        <w:t>面积</w:t>
      </w:r>
      <w:r>
        <w:rPr>
          <w:rFonts w:hint="eastAsia" w:ascii="仿宋_GB2312" w:hAnsi="仿宋_GB2312" w:eastAsia="仿宋_GB2312" w:cs="仿宋_GB2312"/>
          <w:sz w:val="32"/>
          <w:szCs w:val="32"/>
          <w:lang w:val="en-US" w:eastAsia="zh-CN"/>
        </w:rPr>
        <w:t>占全镇国土总面积的</w:t>
      </w:r>
      <w:r>
        <w:rPr>
          <w:rFonts w:hint="eastAsia" w:ascii="仿宋_GB2312" w:hAnsi="仿宋_GB2312" w:cs="仿宋_GB2312"/>
          <w:sz w:val="32"/>
          <w:szCs w:val="32"/>
          <w:lang w:val="en-US" w:eastAsia="zh-CN"/>
        </w:rPr>
        <w:t>4.67</w:t>
      </w:r>
      <w:r>
        <w:rPr>
          <w:rFonts w:hint="eastAsia" w:ascii="仿宋_GB2312" w:hAnsi="仿宋_GB2312" w:eastAsia="仿宋_GB2312" w:cs="仿宋_GB2312"/>
          <w:sz w:val="32"/>
          <w:szCs w:val="32"/>
          <w:lang w:val="en-US" w:eastAsia="zh-CN"/>
        </w:rPr>
        <w:t>%，主要分布在青海湖</w:t>
      </w:r>
      <w:r>
        <w:rPr>
          <w:rFonts w:hint="eastAsia" w:ascii="仿宋_GB2312" w:hAnsi="仿宋_GB2312" w:cs="仿宋_GB2312"/>
          <w:sz w:val="32"/>
          <w:szCs w:val="32"/>
          <w:lang w:val="en-US" w:eastAsia="zh-CN"/>
        </w:rPr>
        <w:t>沿岸</w:t>
      </w:r>
      <w:r>
        <w:rPr>
          <w:rFonts w:hint="eastAsia" w:ascii="仿宋_GB2312" w:hAnsi="仿宋_GB2312" w:eastAsia="仿宋_GB2312" w:cs="仿宋_GB2312"/>
          <w:sz w:val="32"/>
          <w:szCs w:val="32"/>
          <w:lang w:val="en-US" w:eastAsia="zh-CN"/>
        </w:rPr>
        <w:t>地区</w:t>
      </w:r>
      <w:r>
        <w:rPr>
          <w:rFonts w:hint="eastAsia" w:ascii="仿宋_GB2312" w:hAnsi="仿宋_GB2312" w:eastAsia="仿宋_GB2312" w:cs="仿宋_GB2312"/>
        </w:rPr>
        <w:t>。</w:t>
      </w:r>
    </w:p>
    <w:p w14:paraId="44F0193A">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73" w:name="_Toc12956"/>
      <w:bookmarkStart w:id="74" w:name="_Toc17048"/>
      <w:r>
        <w:rPr>
          <w:rFonts w:hint="eastAsia" w:ascii="楷体_GB2312" w:hAnsi="Times New Roman" w:eastAsia="楷体_GB2312" w:cs="Times New Roman"/>
          <w:bCs/>
          <w:sz w:val="32"/>
          <w:szCs w:val="32"/>
        </w:rPr>
        <w:t>生态控制区</w:t>
      </w:r>
      <w:bookmarkEnd w:id="73"/>
      <w:bookmarkEnd w:id="74"/>
    </w:p>
    <w:p w14:paraId="0BF05FF7">
      <w:pPr>
        <w:ind w:firstLine="560"/>
        <w:rPr>
          <w:rFonts w:hint="eastAsia" w:ascii="仿宋_GB2312" w:hAnsi="仿宋_GB2312" w:eastAsia="仿宋_GB2312" w:cs="仿宋_GB2312"/>
        </w:rPr>
      </w:pPr>
      <w:r>
        <w:rPr>
          <w:rFonts w:hint="eastAsia" w:ascii="仿宋_GB2312" w:hAnsi="仿宋_GB2312" w:eastAsia="仿宋_GB2312" w:cs="仿宋_GB2312"/>
        </w:rPr>
        <w:t>生态控制区是生态保护红线外，需要予以保留原貌、强化生态保育和生态建设、限制开发建设的陆地自然区域，本次</w:t>
      </w:r>
      <w:r>
        <w:rPr>
          <w:rFonts w:hint="eastAsia" w:ascii="仿宋_GB2312" w:hAnsi="仿宋_GB2312" w:eastAsia="仿宋_GB2312" w:cs="仿宋_GB2312"/>
          <w:lang w:eastAsia="zh-CN"/>
        </w:rPr>
        <w:t>规划</w:t>
      </w:r>
      <w:r>
        <w:rPr>
          <w:rFonts w:hint="eastAsia" w:ascii="仿宋_GB2312" w:hAnsi="仿宋_GB2312" w:eastAsia="仿宋_GB2312" w:cs="仿宋_GB2312"/>
        </w:rPr>
        <w:t>落实上位划定的生态控制区</w:t>
      </w:r>
      <w:r>
        <w:rPr>
          <w:rFonts w:hint="eastAsia" w:ascii="仿宋_GB2312" w:hAnsi="仿宋_GB2312" w:cs="仿宋_GB2312"/>
          <w:lang w:eastAsia="zh-CN"/>
        </w:rPr>
        <w:t>，</w:t>
      </w:r>
      <w:r>
        <w:rPr>
          <w:rFonts w:hint="eastAsia" w:ascii="仿宋_GB2312" w:hAnsi="仿宋_GB2312" w:eastAsia="仿宋_GB2312" w:cs="仿宋_GB2312"/>
        </w:rPr>
        <w:t>面积约</w:t>
      </w:r>
      <w:r>
        <w:rPr>
          <w:rFonts w:hint="eastAsia" w:ascii="仿宋_GB2312" w:hAnsi="仿宋_GB2312" w:eastAsia="仿宋_GB2312" w:cs="仿宋_GB2312"/>
          <w:sz w:val="32"/>
          <w:szCs w:val="32"/>
          <w:lang w:val="en-US" w:eastAsia="zh-CN"/>
        </w:rPr>
        <w:t>占全镇国土总面积的1.</w:t>
      </w:r>
      <w:r>
        <w:rPr>
          <w:rFonts w:hint="eastAsia" w:ascii="仿宋_GB2312" w:hAnsi="仿宋_GB2312" w:cs="仿宋_GB2312"/>
          <w:sz w:val="32"/>
          <w:szCs w:val="32"/>
          <w:lang w:val="en-US" w:eastAsia="zh-CN"/>
        </w:rPr>
        <w:t>44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主要分布在</w:t>
      </w:r>
      <w:r>
        <w:rPr>
          <w:rFonts w:hint="eastAsia" w:ascii="仿宋_GB2312" w:hAnsi="仿宋_GB2312" w:cs="仿宋_GB2312"/>
          <w:sz w:val="32"/>
          <w:szCs w:val="32"/>
          <w:lang w:val="en-US" w:eastAsia="zh-CN"/>
        </w:rPr>
        <w:t>青海南山和主要河流区域</w:t>
      </w:r>
      <w:r>
        <w:rPr>
          <w:rFonts w:hint="eastAsia" w:ascii="仿宋_GB2312" w:hAnsi="仿宋_GB2312" w:eastAsia="仿宋_GB2312" w:cs="仿宋_GB2312"/>
          <w:sz w:val="32"/>
          <w:szCs w:val="32"/>
        </w:rPr>
        <w:t>。</w:t>
      </w:r>
    </w:p>
    <w:p w14:paraId="49B357FA">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75" w:name="_Toc31251"/>
      <w:bookmarkStart w:id="76" w:name="_Toc19511"/>
      <w:r>
        <w:rPr>
          <w:rFonts w:hint="eastAsia" w:ascii="楷体_GB2312" w:hAnsi="Times New Roman" w:eastAsia="楷体_GB2312" w:cs="Times New Roman"/>
          <w:bCs/>
          <w:sz w:val="32"/>
          <w:szCs w:val="32"/>
        </w:rPr>
        <w:t>农田保护区</w:t>
      </w:r>
      <w:bookmarkEnd w:id="75"/>
      <w:bookmarkEnd w:id="76"/>
    </w:p>
    <w:p w14:paraId="12588D93">
      <w:pPr>
        <w:ind w:firstLine="560"/>
        <w:rPr>
          <w:rFonts w:hint="eastAsia" w:ascii="仿宋_GB2312" w:hAnsi="仿宋_GB2312" w:eastAsia="仿宋_GB2312" w:cs="仿宋_GB2312"/>
        </w:rPr>
      </w:pPr>
      <w:r>
        <w:rPr>
          <w:rFonts w:hint="eastAsia" w:ascii="仿宋_GB2312" w:hAnsi="仿宋_GB2312" w:eastAsia="仿宋_GB2312" w:cs="仿宋_GB2312"/>
        </w:rPr>
        <w:t>落实县级国土空间规划“三区三线”划定成果，将相对集中需严格保护的永久基本农田纳入农田保护区，本次规划共划定黑马河镇农田保护</w:t>
      </w:r>
      <w:bookmarkStart w:id="77" w:name="_Hlk149659972"/>
      <w:r>
        <w:rPr>
          <w:rFonts w:hint="eastAsia" w:ascii="仿宋_GB2312" w:hAnsi="仿宋_GB2312" w:eastAsia="仿宋_GB2312" w:cs="仿宋_GB2312"/>
        </w:rPr>
        <w:t>区</w:t>
      </w:r>
      <w:r>
        <w:rPr>
          <w:rFonts w:hint="eastAsia" w:ascii="仿宋_GB2312" w:hAnsi="仿宋_GB2312" w:cs="仿宋_GB2312"/>
          <w:lang w:eastAsia="zh-CN"/>
        </w:rPr>
        <w:t>，</w:t>
      </w:r>
      <w:r>
        <w:rPr>
          <w:rFonts w:hint="eastAsia" w:ascii="仿宋_GB2312" w:hAnsi="仿宋_GB2312" w:eastAsia="仿宋_GB2312" w:cs="仿宋_GB2312"/>
        </w:rPr>
        <w:t>面积约</w:t>
      </w:r>
      <w:bookmarkEnd w:id="77"/>
      <w:r>
        <w:rPr>
          <w:rFonts w:hint="eastAsia" w:ascii="仿宋_GB2312" w:hAnsi="仿宋_GB2312" w:eastAsia="仿宋_GB2312" w:cs="仿宋_GB2312"/>
        </w:rPr>
        <w:t>占全镇国土总面积的</w:t>
      </w:r>
      <w:r>
        <w:rPr>
          <w:rFonts w:hint="eastAsia" w:ascii="仿宋_GB2312" w:hAnsi="仿宋_GB2312" w:cs="仿宋_GB2312"/>
          <w:lang w:val="en-US" w:eastAsia="zh-CN"/>
        </w:rPr>
        <w:t>0.54</w:t>
      </w:r>
      <w:r>
        <w:rPr>
          <w:rFonts w:hint="eastAsia" w:ascii="仿宋_GB2312" w:hAnsi="仿宋_GB2312" w:eastAsia="仿宋_GB2312" w:cs="仿宋_GB2312"/>
        </w:rPr>
        <w:t>%，主要分布在</w:t>
      </w:r>
      <w:r>
        <w:rPr>
          <w:rFonts w:hint="eastAsia" w:ascii="仿宋_GB2312" w:hAnsi="仿宋_GB2312" w:cs="仿宋_GB2312"/>
          <w:lang w:val="en-US" w:eastAsia="zh-CN"/>
        </w:rPr>
        <w:t>加隆村南部</w:t>
      </w:r>
      <w:r>
        <w:rPr>
          <w:rFonts w:hint="eastAsia" w:ascii="仿宋_GB2312" w:hAnsi="仿宋_GB2312" w:eastAsia="仿宋_GB2312" w:cs="仿宋_GB2312"/>
        </w:rPr>
        <w:t>和</w:t>
      </w:r>
      <w:r>
        <w:rPr>
          <w:rFonts w:hint="eastAsia" w:ascii="仿宋_GB2312" w:hAnsi="仿宋_GB2312" w:cs="仿宋_GB2312"/>
          <w:lang w:val="en-US" w:eastAsia="zh-CN"/>
        </w:rPr>
        <w:t>然却乎村</w:t>
      </w:r>
      <w:r>
        <w:rPr>
          <w:rFonts w:hint="eastAsia" w:ascii="仿宋_GB2312" w:hAnsi="仿宋_GB2312" w:eastAsia="仿宋_GB2312" w:cs="仿宋_GB2312"/>
        </w:rPr>
        <w:t>。</w:t>
      </w:r>
    </w:p>
    <w:p w14:paraId="26E20C04">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78" w:name="_Toc16483"/>
      <w:bookmarkStart w:id="79" w:name="_Toc10526"/>
      <w:r>
        <w:rPr>
          <w:rFonts w:hint="eastAsia" w:ascii="楷体_GB2312" w:hAnsi="Times New Roman" w:eastAsia="楷体_GB2312" w:cs="Times New Roman"/>
          <w:bCs/>
          <w:sz w:val="32"/>
          <w:szCs w:val="32"/>
        </w:rPr>
        <w:t>城镇发展区</w:t>
      </w:r>
      <w:bookmarkEnd w:id="78"/>
      <w:bookmarkEnd w:id="79"/>
    </w:p>
    <w:p w14:paraId="618728B1">
      <w:pPr>
        <w:ind w:firstLine="560"/>
        <w:rPr>
          <w:rFonts w:hint="eastAsia" w:ascii="仿宋_GB2312" w:hAnsi="仿宋_GB2312" w:eastAsia="仿宋_GB2312" w:cs="仿宋_GB2312"/>
        </w:rPr>
      </w:pPr>
      <w:r>
        <w:rPr>
          <w:rFonts w:hint="eastAsia" w:ascii="仿宋_GB2312" w:hAnsi="仿宋_GB2312" w:eastAsia="仿宋_GB2312" w:cs="仿宋_GB2312"/>
          <w:sz w:val="32"/>
          <w:szCs w:val="32"/>
        </w:rPr>
        <w:t>落实</w:t>
      </w:r>
      <w:r>
        <w:rPr>
          <w:rFonts w:hint="eastAsia" w:ascii="仿宋_GB2312" w:hAnsi="仿宋_GB2312" w:eastAsia="仿宋_GB2312" w:cs="仿宋_GB2312"/>
          <w:sz w:val="32"/>
          <w:szCs w:val="32"/>
          <w:lang w:val="en-US" w:eastAsia="zh-CN"/>
        </w:rPr>
        <w:t>县级国土空间规划</w:t>
      </w:r>
      <w:r>
        <w:rPr>
          <w:rFonts w:hint="eastAsia" w:ascii="仿宋_GB2312" w:hAnsi="仿宋_GB2312" w:eastAsia="仿宋_GB2312" w:cs="仿宋_GB2312"/>
          <w:sz w:val="32"/>
          <w:szCs w:val="32"/>
        </w:rPr>
        <w:t>“三区三线”划定成果，</w:t>
      </w:r>
      <w:r>
        <w:rPr>
          <w:rFonts w:hint="eastAsia" w:ascii="仿宋_GB2312" w:hAnsi="仿宋_GB2312" w:cs="仿宋_GB2312"/>
          <w:sz w:val="32"/>
          <w:szCs w:val="32"/>
          <w:lang w:val="en-US" w:eastAsia="zh-CN"/>
        </w:rPr>
        <w:t>黑马河</w:t>
      </w:r>
      <w:r>
        <w:rPr>
          <w:rFonts w:hint="eastAsia" w:ascii="仿宋_GB2312" w:hAnsi="仿宋_GB2312" w:eastAsia="仿宋_GB2312" w:cs="仿宋_GB2312"/>
          <w:sz w:val="32"/>
          <w:szCs w:val="32"/>
          <w:lang w:val="en-US" w:eastAsia="zh-CN"/>
        </w:rPr>
        <w:t>镇</w:t>
      </w:r>
      <w:r>
        <w:rPr>
          <w:rFonts w:hint="eastAsia" w:ascii="仿宋_GB2312" w:hAnsi="仿宋_GB2312" w:eastAsia="仿宋_GB2312" w:cs="仿宋_GB2312"/>
          <w:sz w:val="32"/>
          <w:szCs w:val="32"/>
        </w:rPr>
        <w:t>城镇发展区</w:t>
      </w:r>
      <w:r>
        <w:rPr>
          <w:rFonts w:hint="eastAsia" w:ascii="仿宋_GB2312" w:hAnsi="仿宋_GB2312" w:eastAsia="仿宋_GB2312" w:cs="仿宋_GB2312"/>
          <w:sz w:val="32"/>
          <w:szCs w:val="32"/>
          <w:lang w:val="en-US" w:eastAsia="zh-CN"/>
        </w:rPr>
        <w:t>面积占全镇国土总面积的0.0</w:t>
      </w:r>
      <w:r>
        <w:rPr>
          <w:rFonts w:hint="eastAsia" w:ascii="仿宋_GB2312" w:hAnsi="仿宋_GB2312" w:cs="仿宋_GB2312"/>
          <w:sz w:val="32"/>
          <w:szCs w:val="32"/>
          <w:lang w:val="en-US" w:eastAsia="zh-CN"/>
        </w:rPr>
        <w:t>9</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，均为城镇集中建设区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全部位于镇区</w:t>
      </w:r>
      <w:r>
        <w:rPr>
          <w:rFonts w:hint="eastAsia" w:ascii="仿宋_GB2312" w:hAnsi="仿宋_GB2312" w:eastAsia="仿宋_GB2312" w:cs="仿宋_GB2312"/>
        </w:rPr>
        <w:t>。</w:t>
      </w:r>
    </w:p>
    <w:p w14:paraId="03629890">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80" w:name="_Toc3640"/>
      <w:bookmarkStart w:id="81" w:name="_Toc17049"/>
      <w:r>
        <w:rPr>
          <w:rFonts w:hint="eastAsia" w:ascii="楷体_GB2312" w:hAnsi="Times New Roman" w:eastAsia="楷体_GB2312" w:cs="Times New Roman"/>
          <w:bCs/>
          <w:sz w:val="32"/>
          <w:szCs w:val="32"/>
        </w:rPr>
        <w:t>乡村发展区</w:t>
      </w:r>
      <w:bookmarkEnd w:id="80"/>
      <w:bookmarkEnd w:id="81"/>
    </w:p>
    <w:p w14:paraId="6A45034E">
      <w:pPr>
        <w:ind w:firstLine="560"/>
        <w:rPr>
          <w:rFonts w:hint="eastAsia" w:ascii="仿宋_GB2312" w:hAnsi="仿宋_GB2312" w:eastAsia="仿宋_GB2312" w:cs="仿宋_GB2312"/>
        </w:rPr>
      </w:pPr>
      <w:r>
        <w:rPr>
          <w:rFonts w:hint="eastAsia" w:ascii="仿宋_GB2312" w:hAnsi="仿宋_GB2312" w:eastAsia="仿宋_GB2312" w:cs="仿宋_GB2312"/>
        </w:rPr>
        <w:t>将永久基本农田保护区外的一般耕地、部分林地、村庄用地等以农业生产、林地保育、乡村发展为主的区域划定为乡村发展区。规划乡村发展区占全镇国土总面积的</w:t>
      </w:r>
      <w:r>
        <w:rPr>
          <w:rFonts w:hint="eastAsia" w:ascii="仿宋_GB2312" w:hAnsi="仿宋_GB2312" w:cs="仿宋_GB2312"/>
          <w:lang w:val="en-US" w:eastAsia="zh-CN"/>
        </w:rPr>
        <w:t>93.25</w:t>
      </w:r>
      <w:r>
        <w:rPr>
          <w:rFonts w:hint="eastAsia" w:ascii="仿宋_GB2312" w:hAnsi="仿宋_GB2312" w:eastAsia="仿宋_GB2312" w:cs="仿宋_GB2312"/>
        </w:rPr>
        <w:t>%。其中村庄建设区占全镇国土总面积的0.</w:t>
      </w:r>
      <w:r>
        <w:rPr>
          <w:rFonts w:hint="eastAsia" w:ascii="仿宋_GB2312" w:hAnsi="仿宋_GB2312" w:cs="仿宋_GB2312"/>
          <w:lang w:val="en-US" w:eastAsia="zh-CN"/>
        </w:rPr>
        <w:t>34</w:t>
      </w:r>
      <w:r>
        <w:rPr>
          <w:rFonts w:hint="eastAsia" w:ascii="仿宋_GB2312" w:hAnsi="仿宋_GB2312" w:eastAsia="仿宋_GB2312" w:cs="仿宋_GB2312"/>
        </w:rPr>
        <w:t>%；一般农业区占全镇国土总面积的</w:t>
      </w:r>
      <w:r>
        <w:rPr>
          <w:rFonts w:hint="eastAsia" w:ascii="仿宋_GB2312" w:hAnsi="仿宋_GB2312" w:cs="仿宋_GB2312"/>
          <w:lang w:val="en-US" w:eastAsia="zh-CN"/>
        </w:rPr>
        <w:t>5.20</w:t>
      </w:r>
      <w:r>
        <w:rPr>
          <w:rFonts w:hint="eastAsia" w:ascii="仿宋_GB2312" w:hAnsi="仿宋_GB2312" w:eastAsia="仿宋_GB2312" w:cs="仿宋_GB2312"/>
        </w:rPr>
        <w:t>%；林业发展区占全镇国土总面积的</w:t>
      </w:r>
      <w:r>
        <w:rPr>
          <w:rFonts w:hint="eastAsia" w:ascii="仿宋_GB2312" w:hAnsi="仿宋_GB2312" w:cs="仿宋_GB2312"/>
          <w:lang w:val="en-US" w:eastAsia="zh-CN"/>
        </w:rPr>
        <w:t>7.59</w:t>
      </w:r>
      <w:r>
        <w:rPr>
          <w:rFonts w:hint="eastAsia" w:ascii="仿宋_GB2312" w:hAnsi="仿宋_GB2312" w:eastAsia="仿宋_GB2312" w:cs="仿宋_GB2312"/>
        </w:rPr>
        <w:t>%；牧业发展区占全镇国土总面积的</w:t>
      </w:r>
      <w:r>
        <w:rPr>
          <w:rFonts w:hint="eastAsia" w:ascii="仿宋_GB2312" w:hAnsi="仿宋_GB2312" w:cs="仿宋_GB2312"/>
          <w:lang w:val="en-US" w:eastAsia="zh-CN"/>
        </w:rPr>
        <w:t>80.12</w:t>
      </w:r>
      <w:r>
        <w:rPr>
          <w:rFonts w:hint="eastAsia" w:ascii="仿宋_GB2312" w:hAnsi="仿宋_GB2312" w:eastAsia="仿宋_GB2312" w:cs="仿宋_GB2312"/>
        </w:rPr>
        <w:t>%。乡村发展区重点优化农业产业结构，合理确定村庄建设边界，控制村庄建设用地总量，科学划定宅基地范围，优化宅基地布局，按一户一宅要求保障合理的宅基地需求，有序推进村庄用地更新改造，提升农村人居环境。</w:t>
      </w:r>
    </w:p>
    <w:p w14:paraId="7CA9368C">
      <w:pPr>
        <w:pStyle w:val="3"/>
        <w:numPr>
          <w:ilvl w:val="0"/>
          <w:numId w:val="10"/>
        </w:numPr>
      </w:pPr>
      <w:bookmarkStart w:id="82" w:name="_Toc17786"/>
      <w:bookmarkStart w:id="83" w:name="_Toc31825"/>
      <w:r>
        <w:rPr>
          <w:rFonts w:hint="eastAsia"/>
          <w:lang w:val="en-US" w:eastAsia="zh-CN"/>
        </w:rPr>
        <w:t>国土空间</w:t>
      </w:r>
      <w:r>
        <w:rPr>
          <w:rFonts w:hint="eastAsia"/>
        </w:rPr>
        <w:t>用途结构</w:t>
      </w:r>
      <w:bookmarkEnd w:id="82"/>
      <w:bookmarkEnd w:id="83"/>
    </w:p>
    <w:p w14:paraId="2997BCC2">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84" w:name="_Toc16220"/>
      <w:bookmarkStart w:id="85" w:name="_Toc15731"/>
      <w:r>
        <w:rPr>
          <w:rFonts w:hint="eastAsia" w:ascii="楷体_GB2312" w:hAnsi="Times New Roman" w:eastAsia="楷体_GB2312" w:cs="Times New Roman"/>
          <w:bCs/>
          <w:sz w:val="32"/>
          <w:szCs w:val="32"/>
          <w:lang w:val="en-US" w:eastAsia="zh-CN"/>
        </w:rPr>
        <w:t>国土空间用途功能调整</w:t>
      </w:r>
      <w:bookmarkEnd w:id="84"/>
      <w:bookmarkEnd w:id="85"/>
    </w:p>
    <w:p w14:paraId="66BED4D7">
      <w:pPr>
        <w:ind w:firstLine="560"/>
        <w:rPr>
          <w:rFonts w:hint="default" w:ascii="仿宋_GB2312" w:hAnsi="仿宋_GB2312" w:eastAsia="仿宋_GB2312" w:cs="仿宋_GB2312"/>
          <w:lang w:val="en-US" w:eastAsia="zh-CN"/>
        </w:rPr>
      </w:pPr>
      <w:r>
        <w:rPr>
          <w:rFonts w:hint="eastAsia" w:ascii="仿宋_GB2312" w:hAnsi="仿宋_GB2312" w:eastAsia="仿宋_GB2312" w:cs="仿宋_GB2312"/>
        </w:rPr>
        <w:t>统筹安排各类用地，落实</w:t>
      </w:r>
      <w:r>
        <w:rPr>
          <w:rFonts w:hint="eastAsia" w:ascii="仿宋_GB2312" w:hAnsi="仿宋_GB2312" w:eastAsia="仿宋_GB2312" w:cs="仿宋_GB2312"/>
          <w:lang w:val="en-US" w:eastAsia="zh-CN"/>
        </w:rPr>
        <w:t>上位</w:t>
      </w:r>
      <w:r>
        <w:rPr>
          <w:rFonts w:hint="eastAsia" w:ascii="仿宋_GB2312" w:hAnsi="仿宋_GB2312" w:eastAsia="仿宋_GB2312" w:cs="仿宋_GB2312"/>
        </w:rPr>
        <w:t>规划确定的各类约束性指标，在县域范围内依次考虑满足粮食生产、保障农业、满足生态保护需求，严格控制各类建设占用生态和农业用地</w:t>
      </w:r>
      <w:r>
        <w:rPr>
          <w:rFonts w:hint="eastAsia" w:ascii="仿宋_GB2312" w:hAnsi="仿宋_GB2312" w:cs="仿宋_GB2312"/>
          <w:lang w:eastAsia="zh-CN"/>
        </w:rPr>
        <w:t>，</w:t>
      </w:r>
      <w:r>
        <w:rPr>
          <w:rFonts w:hint="eastAsia" w:ascii="仿宋_GB2312" w:hAnsi="仿宋_GB2312" w:cs="仿宋_GB2312"/>
          <w:lang w:val="en-US" w:eastAsia="zh-CN"/>
        </w:rPr>
        <w:t>确保耕地面积不少于6.45平方千米，林地面积不少于87.82平方千米，农业设施建设用地面积不少于2.52平方千米。严格基本草原保护制度，实施草畜平衡，协调州级、县级重大项目用地需求，适当调整草地面积。</w:t>
      </w:r>
    </w:p>
    <w:p w14:paraId="38D8B096">
      <w:pPr>
        <w:ind w:firstLine="560"/>
        <w:rPr>
          <w:rFonts w:hint="default" w:ascii="仿宋_GB2312" w:hAnsi="仿宋_GB2312" w:eastAsia="仿宋_GB2312" w:cs="仿宋_GB2312"/>
          <w:lang w:val="en-US" w:eastAsia="zh-CN"/>
        </w:rPr>
      </w:pPr>
      <w:r>
        <w:rPr>
          <w:rFonts w:hint="eastAsia" w:ascii="仿宋_GB2312" w:hAnsi="仿宋_GB2312" w:eastAsia="仿宋_GB2312" w:cs="仿宋_GB2312"/>
        </w:rPr>
        <w:t>优化调整建设用地，</w:t>
      </w:r>
      <w:r>
        <w:rPr>
          <w:rFonts w:hint="eastAsia" w:ascii="仿宋_GB2312" w:hAnsi="仿宋_GB2312" w:eastAsia="仿宋_GB2312" w:cs="仿宋_GB2312"/>
          <w:color w:val="000000" w:themeColor="text1"/>
          <w14:textFill>
            <w14:solidFill>
              <w14:schemeClr w14:val="tx1"/>
            </w14:solidFill>
          </w14:textFill>
        </w:rPr>
        <w:t>优化各类设施用地规模、结构与布局，优先安排服务于国土安全、对外开放、社会民生重大项目需求，提高重大设施用地集约节约水平。</w:t>
      </w:r>
      <w:r>
        <w:rPr>
          <w:rFonts w:hint="eastAsia" w:ascii="仿宋_GB2312" w:hAnsi="仿宋_GB2312" w:eastAsia="仿宋_GB2312" w:cs="仿宋_GB2312"/>
        </w:rPr>
        <w:t>适度扩大城镇建设用地规模，城镇建设用地</w:t>
      </w:r>
      <w:r>
        <w:rPr>
          <w:rFonts w:hint="eastAsia" w:ascii="仿宋_GB2312" w:hAnsi="仿宋_GB2312" w:cs="仿宋_GB2312"/>
          <w:lang w:val="en-US" w:eastAsia="zh-CN"/>
        </w:rPr>
        <w:t>控制在1.07平方千米，</w:t>
      </w:r>
      <w:r>
        <w:rPr>
          <w:rFonts w:hint="eastAsia" w:ascii="仿宋_GB2312" w:hAnsi="仿宋_GB2312" w:eastAsia="仿宋_GB2312" w:cs="仿宋_GB2312"/>
        </w:rPr>
        <w:t>主要用于</w:t>
      </w:r>
      <w:r>
        <w:rPr>
          <w:rFonts w:hint="eastAsia" w:ascii="仿宋_GB2312" w:hAnsi="仿宋_GB2312" w:eastAsia="仿宋_GB2312" w:cs="仿宋_GB2312"/>
          <w:lang w:val="en-US" w:eastAsia="zh-CN"/>
        </w:rPr>
        <w:t>镇区</w:t>
      </w:r>
      <w:r>
        <w:rPr>
          <w:rFonts w:hint="eastAsia" w:ascii="仿宋_GB2312" w:hAnsi="仿宋_GB2312" w:eastAsia="仿宋_GB2312" w:cs="仿宋_GB2312"/>
        </w:rPr>
        <w:t>发展，以推动城镇化进程。村庄建设用地总量</w:t>
      </w:r>
      <w:r>
        <w:rPr>
          <w:rFonts w:hint="eastAsia" w:ascii="仿宋_GB2312" w:hAnsi="仿宋_GB2312" w:eastAsia="仿宋_GB2312" w:cs="仿宋_GB2312"/>
          <w:lang w:val="en-US" w:eastAsia="zh-CN"/>
        </w:rPr>
        <w:t>适当</w:t>
      </w:r>
      <w:r>
        <w:rPr>
          <w:rFonts w:hint="eastAsia" w:ascii="仿宋_GB2312" w:hAnsi="仿宋_GB2312" w:eastAsia="仿宋_GB2312" w:cs="仿宋_GB2312"/>
        </w:rPr>
        <w:t>增加的前提下，优化村庄用地布局，</w:t>
      </w:r>
      <w:r>
        <w:rPr>
          <w:rFonts w:hint="eastAsia" w:ascii="仿宋_GB2312" w:hAnsi="仿宋_GB2312" w:cs="仿宋_GB2312"/>
          <w:lang w:val="en-US" w:eastAsia="zh-CN"/>
        </w:rPr>
        <w:t>积极稳妥推进零散农村居民点复垦，支持乡村振兴发展空间，合理保障重点中心村用地需要，</w:t>
      </w:r>
      <w:r>
        <w:rPr>
          <w:rFonts w:hint="eastAsia" w:ascii="仿宋_GB2312" w:hAnsi="仿宋_GB2312" w:eastAsia="仿宋_GB2312" w:cs="仿宋_GB2312"/>
        </w:rPr>
        <w:t>有效保障</w:t>
      </w:r>
      <w:r>
        <w:rPr>
          <w:rFonts w:hint="eastAsia" w:ascii="仿宋_GB2312" w:hAnsi="仿宋_GB2312" w:cs="仿宋_GB2312"/>
          <w:lang w:val="en-US" w:eastAsia="zh-CN"/>
        </w:rPr>
        <w:t>重大</w:t>
      </w:r>
      <w:r>
        <w:rPr>
          <w:rFonts w:hint="eastAsia" w:ascii="仿宋_GB2312" w:hAnsi="仿宋_GB2312" w:eastAsia="仿宋_GB2312" w:cs="仿宋_GB2312"/>
          <w:lang w:val="en-US" w:eastAsia="zh-CN"/>
        </w:rPr>
        <w:t>基础设施</w:t>
      </w:r>
      <w:r>
        <w:rPr>
          <w:rFonts w:hint="eastAsia" w:ascii="仿宋_GB2312" w:hAnsi="仿宋_GB2312" w:eastAsia="仿宋_GB2312" w:cs="仿宋_GB2312"/>
        </w:rPr>
        <w:t>用地需求</w:t>
      </w:r>
      <w:r>
        <w:rPr>
          <w:rFonts w:hint="eastAsia" w:ascii="仿宋_GB2312" w:hAnsi="仿宋_GB2312" w:cs="仿宋_GB2312"/>
          <w:lang w:eastAsia="zh-CN"/>
        </w:rPr>
        <w:t>。</w:t>
      </w:r>
      <w:r>
        <w:rPr>
          <w:rFonts w:hint="eastAsia" w:ascii="仿宋_GB2312" w:hAnsi="仿宋_GB2312" w:cs="仿宋_GB2312"/>
          <w:lang w:val="en-US" w:eastAsia="zh-CN"/>
        </w:rPr>
        <w:t>村庄建设用地面积控制在1.31平方千米内。</w:t>
      </w:r>
      <w:r>
        <w:rPr>
          <w:rFonts w:hint="eastAsia" w:ascii="仿宋_GB2312" w:hAnsi="仿宋_GB2312" w:eastAsia="仿宋_GB2312" w:cs="仿宋_GB2312"/>
        </w:rPr>
        <w:t>有效保障交通、能源、水利等</w:t>
      </w:r>
      <w:r>
        <w:rPr>
          <w:rFonts w:hint="eastAsia" w:ascii="仿宋_GB2312" w:hAnsi="仿宋_GB2312" w:eastAsia="仿宋_GB2312" w:cs="仿宋_GB2312"/>
          <w:lang w:val="en-US" w:eastAsia="zh-CN"/>
        </w:rPr>
        <w:t>重大</w:t>
      </w:r>
      <w:r>
        <w:rPr>
          <w:rFonts w:hint="eastAsia" w:ascii="仿宋_GB2312" w:hAnsi="仿宋_GB2312" w:eastAsia="仿宋_GB2312" w:cs="仿宋_GB2312"/>
        </w:rPr>
        <w:t>基础设施用地需求</w:t>
      </w:r>
      <w:r>
        <w:rPr>
          <w:rFonts w:hint="eastAsia" w:ascii="仿宋_GB2312" w:hAnsi="仿宋_GB2312" w:cs="仿宋_GB2312"/>
          <w:lang w:eastAsia="zh-CN"/>
        </w:rPr>
        <w:t>，</w:t>
      </w:r>
      <w:r>
        <w:rPr>
          <w:rFonts w:hint="eastAsia" w:ascii="仿宋_GB2312" w:hAnsi="仿宋_GB2312" w:cs="仿宋_GB2312"/>
          <w:lang w:val="en-US" w:eastAsia="zh-CN"/>
        </w:rPr>
        <w:t>加快推进城际铁路、公路等运输枢纽建设，推进水土保持工程建设，区域基础设施用地面积控制在2.91平方千米内。</w:t>
      </w:r>
    </w:p>
    <w:p w14:paraId="0AE86712">
      <w:pPr>
        <w:ind w:firstLine="560"/>
        <w:rPr>
          <w:rFonts w:hint="eastAsia" w:ascii="仿宋_GB2312" w:hAnsi="仿宋_GB2312" w:eastAsia="仿宋_GB2312" w:cs="仿宋_GB2312"/>
        </w:rPr>
      </w:pPr>
      <w:r>
        <w:rPr>
          <w:rFonts w:hint="eastAsia" w:ascii="仿宋_GB2312" w:hAnsi="仿宋_GB2312" w:eastAsia="仿宋_GB2312" w:cs="仿宋_GB2312"/>
        </w:rPr>
        <w:t>适度调整其他土地，</w:t>
      </w:r>
      <w:r>
        <w:rPr>
          <w:rFonts w:hint="eastAsia" w:ascii="仿宋_GB2312" w:hAnsi="仿宋_GB2312" w:eastAsia="仿宋_GB2312" w:cs="仿宋_GB2312"/>
          <w:color w:val="000000" w:themeColor="text1"/>
          <w14:textFill>
            <w14:solidFill>
              <w14:schemeClr w14:val="tx1"/>
            </w14:solidFill>
          </w14:textFill>
        </w:rPr>
        <w:t>加大全地区重要湖泊、水系、湿地等重要生态空间保护力度，严格限制用地改变用途，持续推进生态保护与修复，逐步实现</w:t>
      </w:r>
      <w:r>
        <w:rPr>
          <w:rFonts w:hint="eastAsia" w:ascii="仿宋_GB2312" w:hAnsi="仿宋_GB2312" w:cs="仿宋_GB2312"/>
          <w:color w:val="000000" w:themeColor="text1"/>
          <w:lang w:val="en-US" w:eastAsia="zh-CN"/>
          <w14:textFill>
            <w14:solidFill>
              <w14:schemeClr w14:val="tx1"/>
            </w14:solidFill>
          </w14:textFill>
        </w:rPr>
        <w:t>其他土地</w:t>
      </w:r>
      <w:r>
        <w:rPr>
          <w:rFonts w:hint="eastAsia" w:ascii="仿宋_GB2312" w:hAnsi="仿宋_GB2312" w:eastAsia="仿宋_GB2312" w:cs="仿宋_GB2312"/>
          <w:color w:val="000000" w:themeColor="text1"/>
          <w14:textFill>
            <w14:solidFill>
              <w14:schemeClr w14:val="tx1"/>
            </w14:solidFill>
          </w14:textFill>
        </w:rPr>
        <w:t>面积</w:t>
      </w:r>
      <w:r>
        <w:rPr>
          <w:rFonts w:hint="eastAsia" w:ascii="仿宋_GB2312" w:hAnsi="仿宋_GB2312" w:cs="仿宋_GB2312"/>
          <w:color w:val="000000" w:themeColor="text1"/>
          <w:lang w:val="en-US" w:eastAsia="zh-CN"/>
          <w14:textFill>
            <w14:solidFill>
              <w14:schemeClr w14:val="tx1"/>
            </w14:solidFill>
          </w14:textFill>
        </w:rPr>
        <w:t>保持</w:t>
      </w:r>
      <w:r>
        <w:rPr>
          <w:rFonts w:hint="eastAsia" w:ascii="仿宋_GB2312" w:hAnsi="仿宋_GB2312" w:eastAsia="仿宋_GB2312" w:cs="仿宋_GB2312"/>
          <w:color w:val="000000" w:themeColor="text1"/>
          <w14:textFill>
            <w14:solidFill>
              <w14:schemeClr w14:val="tx1"/>
            </w14:solidFill>
          </w14:textFill>
        </w:rPr>
        <w:t>稳定、</w:t>
      </w:r>
      <w:r>
        <w:rPr>
          <w:rFonts w:hint="eastAsia" w:ascii="仿宋_GB2312" w:hAnsi="仿宋_GB2312" w:eastAsia="仿宋_GB2312" w:cs="仿宋_GB2312"/>
          <w:lang w:val="en-US" w:eastAsia="zh-CN"/>
        </w:rPr>
        <w:t>沟渠面积适当减少</w:t>
      </w:r>
      <w:r>
        <w:rPr>
          <w:rFonts w:hint="eastAsia" w:ascii="仿宋_GB2312" w:hAnsi="仿宋_GB2312" w:cs="仿宋_GB2312"/>
          <w:lang w:val="en-US" w:eastAsia="zh-CN"/>
        </w:rPr>
        <w:t>。</w:t>
      </w:r>
    </w:p>
    <w:p w14:paraId="034E9C8E">
      <w:pPr>
        <w:ind w:left="0" w:leftChars="0" w:firstLine="0" w:firstLineChars="0"/>
        <w:rPr>
          <w:rFonts w:hint="eastAsia" w:ascii="仿宋_GB2312" w:hAnsi="仿宋_GB2312" w:eastAsia="仿宋_GB2312" w:cs="仿宋_GB2312"/>
        </w:rPr>
      </w:pPr>
      <w:r>
        <w:rPr>
          <w:rFonts w:hint="eastAsia" w:ascii="仿宋_GB2312" w:hAnsi="仿宋_GB2312" w:eastAsia="仿宋_GB2312" w:cs="仿宋_GB2312"/>
        </w:rPr>
        <w:br w:type="page"/>
      </w:r>
    </w:p>
    <w:p w14:paraId="1133F6A4">
      <w:pPr>
        <w:pStyle w:val="2"/>
        <w:ind w:left="-140"/>
        <w:rPr>
          <w:rFonts w:hint="eastAsia" w:ascii="方正小标宋简体" w:hAnsi="方正小标宋简体" w:eastAsia="方正小标宋简体" w:cs="方正小标宋简体"/>
          <w:b w:val="0"/>
          <w:bCs w:val="0"/>
          <w:lang w:val="en-US" w:eastAsia="zh-CN"/>
        </w:rPr>
      </w:pPr>
      <w:bookmarkStart w:id="86" w:name="_Toc6859"/>
      <w:bookmarkStart w:id="87" w:name="_Toc6313"/>
      <w:r>
        <w:rPr>
          <w:rFonts w:hint="eastAsia" w:ascii="方正小标宋简体" w:hAnsi="方正小标宋简体" w:eastAsia="方正小标宋简体" w:cs="方正小标宋简体"/>
          <w:b w:val="0"/>
          <w:bCs w:val="0"/>
          <w:lang w:val="en-US" w:eastAsia="zh-CN"/>
        </w:rPr>
        <w:t>保护生态空间，筑牢区域生态安全屏障</w:t>
      </w:r>
      <w:bookmarkEnd w:id="86"/>
      <w:bookmarkEnd w:id="87"/>
    </w:p>
    <w:p w14:paraId="3E955F27">
      <w:pPr>
        <w:pStyle w:val="3"/>
        <w:numPr>
          <w:ilvl w:val="0"/>
          <w:numId w:val="11"/>
        </w:numPr>
        <w:rPr>
          <w:rFonts w:hint="eastAsia"/>
        </w:rPr>
      </w:pPr>
      <w:bookmarkStart w:id="88" w:name="_Toc17788"/>
      <w:bookmarkStart w:id="89" w:name="_Toc23849"/>
      <w:r>
        <w:rPr>
          <w:rFonts w:hint="eastAsia"/>
        </w:rPr>
        <w:t>保护生态空间“山清水秀”</w:t>
      </w:r>
      <w:bookmarkEnd w:id="88"/>
      <w:bookmarkEnd w:id="89"/>
    </w:p>
    <w:p w14:paraId="7A5D5D29">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default" w:ascii="楷体_GB2312" w:hAnsi="Times New Roman" w:eastAsia="楷体_GB2312" w:cs="Times New Roman"/>
          <w:bCs/>
          <w:sz w:val="32"/>
          <w:szCs w:val="32"/>
          <w:lang w:val="en-US" w:eastAsia="zh-CN"/>
        </w:rPr>
      </w:pPr>
      <w:bookmarkStart w:id="90" w:name="_Toc20153"/>
      <w:r>
        <w:rPr>
          <w:rFonts w:hint="eastAsia" w:ascii="楷体_GB2312" w:eastAsia="楷体_GB2312" w:cs="Times New Roman"/>
          <w:bCs/>
          <w:sz w:val="32"/>
          <w:szCs w:val="32"/>
          <w:lang w:val="en-US" w:eastAsia="zh-CN"/>
        </w:rPr>
        <w:t>合理划定</w:t>
      </w:r>
      <w:r>
        <w:rPr>
          <w:rFonts w:hint="eastAsia" w:ascii="楷体_GB2312" w:hAnsi="Times New Roman" w:eastAsia="楷体_GB2312" w:cs="Times New Roman"/>
          <w:bCs/>
          <w:sz w:val="32"/>
          <w:szCs w:val="32"/>
          <w:lang w:val="en-US" w:eastAsia="zh-CN"/>
        </w:rPr>
        <w:t>生态空间</w:t>
      </w:r>
      <w:bookmarkEnd w:id="90"/>
    </w:p>
    <w:p w14:paraId="296A06B9">
      <w:pPr>
        <w:rPr>
          <w:rFonts w:hint="eastAsia"/>
        </w:rPr>
      </w:pPr>
      <w:r>
        <w:rPr>
          <w:rFonts w:hint="eastAsia"/>
        </w:rPr>
        <w:t>坚持人与自然和谐共生，严格保护承担生态系统维护与生态服务功能的生态空间，规划划定生态空间面积约174.32平方千米。规划严格保护东部青海湖沿岸及布哈河生态湿地系统以及青海南山山体森林系统。</w:t>
      </w:r>
    </w:p>
    <w:p w14:paraId="14F199BF">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r>
        <w:rPr>
          <w:rFonts w:hint="eastAsia" w:ascii="楷体_GB2312" w:eastAsia="楷体_GB2312" w:cs="Times New Roman"/>
          <w:bCs/>
          <w:sz w:val="32"/>
          <w:szCs w:val="32"/>
          <w:lang w:val="en-US" w:eastAsia="zh-CN"/>
        </w:rPr>
        <w:t>落实以国家公园为主体的自然保护地体系</w:t>
      </w:r>
    </w:p>
    <w:p w14:paraId="28548954">
      <w:pPr>
        <w:rPr>
          <w:rFonts w:hint="eastAsia"/>
        </w:rPr>
      </w:pPr>
      <w:r>
        <w:rPr>
          <w:rFonts w:hint="eastAsia" w:ascii="楷体_GB2312" w:hAnsi="楷体_GB2312" w:eastAsia="楷体_GB2312" w:cs="楷体_GB2312"/>
        </w:rPr>
        <w:t>自然保护地体系。</w:t>
      </w:r>
      <w:r>
        <w:rPr>
          <w:rFonts w:hint="eastAsia" w:ascii="仿宋_GB2312" w:hAnsi="仿宋_GB2312" w:eastAsia="仿宋_GB2312" w:cs="仿宋_GB2312"/>
          <w:lang w:val="en-US" w:eastAsia="zh-CN"/>
        </w:rPr>
        <w:t>黑马河镇</w:t>
      </w:r>
      <w:r>
        <w:rPr>
          <w:rFonts w:hint="eastAsia"/>
        </w:rPr>
        <w:t>自然保护地总面积</w:t>
      </w:r>
      <w:r>
        <w:rPr>
          <w:rFonts w:hint="eastAsia"/>
          <w:lang w:val="en-US" w:eastAsia="zh-CN"/>
        </w:rPr>
        <w:t>515.47</w:t>
      </w:r>
      <w:r>
        <w:rPr>
          <w:rFonts w:hint="eastAsia"/>
        </w:rPr>
        <w:t>平方千米，其中青海湖国家级自然保护区面积</w:t>
      </w:r>
      <w:r>
        <w:rPr>
          <w:rFonts w:hint="eastAsia"/>
          <w:lang w:val="en-US" w:eastAsia="zh-CN"/>
        </w:rPr>
        <w:t>54.05</w:t>
      </w:r>
      <w:r>
        <w:rPr>
          <w:rFonts w:hint="eastAsia"/>
        </w:rPr>
        <w:t>平方千米，青海湖国家级风景名胜区面积</w:t>
      </w:r>
      <w:r>
        <w:rPr>
          <w:rFonts w:hint="eastAsia"/>
          <w:lang w:val="en-US" w:eastAsia="zh-CN"/>
        </w:rPr>
        <w:t>461.42</w:t>
      </w:r>
      <w:r>
        <w:rPr>
          <w:rFonts w:hint="eastAsia"/>
        </w:rPr>
        <w:t>平方千米。</w:t>
      </w:r>
    </w:p>
    <w:p w14:paraId="7BE660C7">
      <w:pPr>
        <w:rPr>
          <w:rFonts w:hint="eastAsia"/>
        </w:rPr>
      </w:pPr>
      <w:r>
        <w:rPr>
          <w:rFonts w:hint="eastAsia" w:ascii="楷体_GB2312" w:hAnsi="楷体_GB2312" w:eastAsia="楷体_GB2312" w:cs="楷体_GB2312"/>
        </w:rPr>
        <w:t>助力国家公园创建。</w:t>
      </w:r>
      <w:r>
        <w:rPr>
          <w:rFonts w:hint="eastAsia"/>
        </w:rPr>
        <w:t>高站位高标准助力青海湖国家公园创建工作，统筹湖里和岸上、水源和流域，全面实施山水林田湖草沙一体化保护和系统治理，使创建国家公园和打造国际生态旅游目的地相得益彰。通过环湖流域生态综合治理，恢复林草植被，治理风沙，防止荒漠化，稳定并逐步增加环湖河流入湖流量，遏制地区生态环境恶化状况，拯救濒危物种普氏原羚栖息环境，不断提升青海湖生态系统的多样性、稳定性和持续性。</w:t>
      </w:r>
    </w:p>
    <w:p w14:paraId="6C0E7AE0">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r>
        <w:rPr>
          <w:rFonts w:hint="eastAsia" w:ascii="楷体_GB2312" w:hAnsi="Times New Roman" w:eastAsia="楷体_GB2312" w:cs="Times New Roman"/>
          <w:bCs/>
          <w:sz w:val="32"/>
          <w:szCs w:val="32"/>
          <w:lang w:val="en-US" w:eastAsia="zh-CN"/>
        </w:rPr>
        <w:t>加强自然保护地管控</w:t>
      </w:r>
    </w:p>
    <w:p w14:paraId="39C9C598">
      <w:pPr>
        <w:rPr>
          <w:rFonts w:hint="eastAsia" w:eastAsia="仿宋_GB2312"/>
          <w:lang w:eastAsia="zh-CN"/>
        </w:rPr>
      </w:pPr>
      <w:r>
        <w:rPr>
          <w:rFonts w:hint="eastAsia"/>
        </w:rPr>
        <w:t>严格落实对自然保护地核心保护区和一般控制区的管控要求。加强自然保护地管控，保护生态系统的原真性和完整性，维持和恢复珍稀濒危野生动植物种群数量及赖以生存的栖息环境。坚持生态优先、绿色发展，巩固和扩大生态安全屏障建设成果。以助力青海湖国家公园创建为重点，全面提升自然生态系统稳定性和生态功能，打造山水林田湖草沙生命共同体</w:t>
      </w:r>
      <w:r>
        <w:rPr>
          <w:rFonts w:hint="eastAsia"/>
          <w:lang w:eastAsia="zh-CN"/>
        </w:rPr>
        <w:t>。</w:t>
      </w:r>
    </w:p>
    <w:p w14:paraId="751A646A">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91" w:name="_Toc21702"/>
      <w:r>
        <w:rPr>
          <w:rFonts w:hint="eastAsia" w:ascii="楷体_GB2312" w:hAnsi="Times New Roman" w:eastAsia="楷体_GB2312" w:cs="Times New Roman"/>
          <w:bCs/>
          <w:sz w:val="32"/>
          <w:szCs w:val="32"/>
          <w:lang w:val="en-US" w:eastAsia="zh-CN"/>
        </w:rPr>
        <w:t>筑牢环湖生态安全屏障</w:t>
      </w:r>
      <w:bookmarkEnd w:id="91"/>
    </w:p>
    <w:p w14:paraId="4357FCC8">
      <w:pPr>
        <w:rPr>
          <w:rFonts w:hint="eastAsia"/>
        </w:rPr>
      </w:pPr>
      <w:r>
        <w:rPr>
          <w:rFonts w:hint="eastAsia"/>
        </w:rPr>
        <w:t>保护青海湖水体及青海南山灌木林，保护草原湿地，恢复林草植被，治理风沙防止荒漠化，遏制生态环境恶化，保护濒危物种普氏原羚。通过大力实施生态保护修复重大工程，形成以青海湖草原湿地生态功能区为屏障的生态安全格局，筑牢</w:t>
      </w:r>
      <w:r>
        <w:rPr>
          <w:rFonts w:hint="eastAsia"/>
          <w:lang w:val="en-US" w:eastAsia="zh-CN"/>
        </w:rPr>
        <w:t>环湖</w:t>
      </w:r>
      <w:r>
        <w:rPr>
          <w:rFonts w:hint="eastAsia"/>
        </w:rPr>
        <w:t>生态安全屏障。以青海湖流域及周边地区生态环境综合治理、自然保护地建设为重点，通过环湖流域生态综合治理措施，恢复环湖流域林草植被，治理风沙，防止荒漠化，稳定并逐步增加环湖河流入湖流量，环青海湖地区人居环境得到明显改善。</w:t>
      </w:r>
    </w:p>
    <w:p w14:paraId="0E6CF574">
      <w:pPr>
        <w:pStyle w:val="3"/>
        <w:numPr>
          <w:ilvl w:val="0"/>
          <w:numId w:val="11"/>
        </w:numPr>
        <w:rPr>
          <w:rFonts w:hint="eastAsia"/>
          <w:lang w:val="en-US" w:eastAsia="zh-CN"/>
        </w:rPr>
      </w:pPr>
      <w:bookmarkStart w:id="92" w:name="_Toc19883"/>
      <w:bookmarkStart w:id="93" w:name="_Toc10628"/>
      <w:r>
        <w:rPr>
          <w:rFonts w:hint="eastAsia"/>
          <w:lang w:val="en-US" w:eastAsia="zh-CN"/>
        </w:rPr>
        <w:t>增强水资源刚性约束和管控</w:t>
      </w:r>
      <w:bookmarkEnd w:id="92"/>
      <w:bookmarkEnd w:id="93"/>
    </w:p>
    <w:p w14:paraId="16E58F53">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94" w:name="_Toc2878"/>
      <w:r>
        <w:rPr>
          <w:rFonts w:hint="eastAsia" w:ascii="楷体_GB2312" w:eastAsia="楷体_GB2312" w:cs="Times New Roman"/>
          <w:bCs/>
          <w:sz w:val="32"/>
          <w:szCs w:val="32"/>
          <w:lang w:val="en-US" w:eastAsia="zh-CN"/>
        </w:rPr>
        <w:t>严格</w:t>
      </w:r>
      <w:r>
        <w:rPr>
          <w:rFonts w:hint="eastAsia" w:ascii="楷体_GB2312" w:hAnsi="Times New Roman" w:eastAsia="楷体_GB2312" w:cs="Times New Roman"/>
          <w:bCs/>
          <w:sz w:val="32"/>
          <w:szCs w:val="32"/>
          <w:lang w:val="en-US" w:eastAsia="zh-CN"/>
        </w:rPr>
        <w:t>水资源</w:t>
      </w:r>
      <w:bookmarkEnd w:id="94"/>
      <w:r>
        <w:rPr>
          <w:rFonts w:hint="eastAsia" w:ascii="楷体_GB2312" w:eastAsia="楷体_GB2312" w:cs="Times New Roman"/>
          <w:bCs/>
          <w:sz w:val="32"/>
          <w:szCs w:val="32"/>
          <w:lang w:val="en-US" w:eastAsia="zh-CN"/>
        </w:rPr>
        <w:t>刚性约束</w:t>
      </w:r>
    </w:p>
    <w:p w14:paraId="3ECD0C1B">
      <w:pPr>
        <w:rPr>
          <w:rFonts w:hint="default"/>
          <w:u w:val="single"/>
          <w:lang w:val="en-US" w:eastAsia="zh-CN"/>
        </w:rPr>
      </w:pPr>
      <w:r>
        <w:rPr>
          <w:rFonts w:hint="eastAsia" w:ascii="仿宋_GB2312" w:hAnsi="仿宋_GB2312" w:eastAsia="仿宋_GB2312" w:cs="仿宋_GB2312"/>
          <w:sz w:val="32"/>
          <w:szCs w:val="32"/>
          <w:lang w:val="en-US" w:eastAsia="zh-CN"/>
        </w:rPr>
        <w:t>坚持以水定地、以水定产、以水定城、以水定人，严格落实用水总量、用水效率和水环境功能区限制纳污“三条红线”，落实水资源消耗总量和强度双控制，以水资源最大刚性约束抑制不合理用水需求，促进发展规模、产业布局与水资源承载能力相协调。</w:t>
      </w:r>
      <w:r>
        <w:rPr>
          <w:rFonts w:hint="eastAsia" w:ascii="仿宋_GB2312" w:hAnsi="仿宋_GB2312" w:eastAsia="仿宋_GB2312" w:cs="仿宋_GB2312"/>
          <w:sz w:val="32"/>
          <w:szCs w:val="32"/>
          <w:u w:val="single"/>
          <w:lang w:val="en-US" w:eastAsia="zh-CN"/>
        </w:rPr>
        <w:t>2035年，</w:t>
      </w:r>
      <w:r>
        <w:rPr>
          <w:rFonts w:hint="eastAsia" w:ascii="仿宋_GB2312" w:hAnsi="仿宋_GB2312" w:cs="仿宋_GB2312"/>
          <w:sz w:val="32"/>
          <w:szCs w:val="32"/>
          <w:u w:val="single"/>
          <w:lang w:val="en-US" w:eastAsia="zh-CN"/>
        </w:rPr>
        <w:t>黑马河镇</w:t>
      </w:r>
      <w:r>
        <w:rPr>
          <w:rFonts w:hint="eastAsia" w:ascii="仿宋_GB2312" w:hAnsi="仿宋_GB2312" w:eastAsia="仿宋_GB2312" w:cs="仿宋_GB2312"/>
          <w:sz w:val="32"/>
          <w:szCs w:val="32"/>
          <w:u w:val="single"/>
          <w:lang w:val="en-US" w:eastAsia="zh-CN"/>
        </w:rPr>
        <w:t>用水总量控制在县级下达指标内。</w:t>
      </w:r>
    </w:p>
    <w:p w14:paraId="63C702A3">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r>
        <w:rPr>
          <w:rFonts w:hint="eastAsia" w:ascii="楷体_GB2312" w:eastAsia="楷体_GB2312" w:cs="Times New Roman"/>
          <w:bCs/>
          <w:sz w:val="32"/>
          <w:szCs w:val="32"/>
          <w:lang w:val="en-US" w:eastAsia="zh-CN"/>
        </w:rPr>
        <w:t>强化水资源节约利用</w:t>
      </w:r>
    </w:p>
    <w:p w14:paraId="12643540">
      <w:pPr>
        <w:rPr>
          <w:rFonts w:hint="eastAsia"/>
          <w:bCs/>
        </w:rPr>
      </w:pPr>
      <w:r>
        <w:rPr>
          <w:rFonts w:hint="eastAsia"/>
        </w:rPr>
        <w:t>保障粮食安全，提高农业节水水平支撑灌面增长，逐步降低农业用水占比，筑牢生态屏障</w:t>
      </w:r>
      <w:r>
        <w:rPr>
          <w:rFonts w:hint="eastAsia"/>
          <w:lang w:eastAsia="zh-CN"/>
        </w:rPr>
        <w:t>，</w:t>
      </w:r>
      <w:r>
        <w:rPr>
          <w:rFonts w:hint="eastAsia"/>
        </w:rPr>
        <w:t>推进沙化土地治理，预留生态环境用水，坚持底线约束，提高用水效率，保障城乡生活用水</w:t>
      </w:r>
      <w:r>
        <w:rPr>
          <w:rFonts w:hint="eastAsia"/>
          <w:lang w:eastAsia="zh-CN"/>
        </w:rPr>
        <w:t>，</w:t>
      </w:r>
      <w:r>
        <w:rPr>
          <w:rFonts w:hint="eastAsia"/>
        </w:rPr>
        <w:t>提高生活节水水平，推进</w:t>
      </w:r>
      <w:r>
        <w:rPr>
          <w:rFonts w:hint="eastAsia"/>
          <w:lang w:val="en-US" w:eastAsia="zh-CN"/>
        </w:rPr>
        <w:t>黑马河镇</w:t>
      </w:r>
      <w:r>
        <w:rPr>
          <w:rFonts w:hint="eastAsia"/>
        </w:rPr>
        <w:t>节水型社会建设</w:t>
      </w:r>
      <w:r>
        <w:rPr>
          <w:rFonts w:hint="eastAsia"/>
          <w:lang w:eastAsia="zh-CN"/>
        </w:rPr>
        <w:t>。</w:t>
      </w:r>
      <w:r>
        <w:rPr>
          <w:bCs/>
        </w:rPr>
        <w:t>2035</w:t>
      </w:r>
      <w:r>
        <w:rPr>
          <w:rFonts w:hint="eastAsia"/>
          <w:bCs/>
        </w:rPr>
        <w:t>年，</w:t>
      </w:r>
      <w:r>
        <w:rPr>
          <w:rFonts w:hint="eastAsia"/>
          <w:bCs/>
          <w:lang w:val="en-US" w:eastAsia="zh-CN"/>
        </w:rPr>
        <w:t>黑马河镇</w:t>
      </w:r>
      <w:r>
        <w:rPr>
          <w:rFonts w:hint="eastAsia"/>
          <w:bCs/>
        </w:rPr>
        <w:t>农田灌溉水有效利用系数、万元地区生产总值用水量降幅、万元工业增加值用水量降幅达到</w:t>
      </w:r>
      <w:r>
        <w:rPr>
          <w:rFonts w:hint="eastAsia"/>
          <w:bCs/>
          <w:lang w:val="en-US" w:eastAsia="zh-CN"/>
        </w:rPr>
        <w:t>共和县</w:t>
      </w:r>
      <w:r>
        <w:rPr>
          <w:rFonts w:hint="eastAsia"/>
          <w:bCs/>
        </w:rPr>
        <w:t>下达指标。</w:t>
      </w:r>
    </w:p>
    <w:p w14:paraId="2DCF456E">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r>
        <w:rPr>
          <w:rFonts w:hint="eastAsia" w:ascii="楷体_GB2312" w:eastAsia="楷体_GB2312" w:cs="Times New Roman"/>
          <w:bCs/>
          <w:sz w:val="32"/>
          <w:szCs w:val="32"/>
          <w:lang w:val="en-US" w:eastAsia="zh-CN"/>
        </w:rPr>
        <w:t>加强河湖水域空间管控</w:t>
      </w:r>
    </w:p>
    <w:p w14:paraId="28EFD0A2">
      <w:pPr>
        <w:rPr>
          <w:rFonts w:hint="eastAsia"/>
          <w:bCs/>
        </w:rPr>
      </w:pPr>
      <w:r>
        <w:rPr>
          <w:rFonts w:hint="eastAsia"/>
          <w:bCs/>
        </w:rPr>
        <w:t>强化河湖水域岸线空间管控，保护河湖水域岸线资源，划定</w:t>
      </w:r>
      <w:r>
        <w:rPr>
          <w:rFonts w:hint="eastAsia"/>
          <w:bCs/>
          <w:lang w:val="en-US" w:eastAsia="zh-CN"/>
        </w:rPr>
        <w:t>黑马河、智海确河、然却乎沟、切如沟等河流</w:t>
      </w:r>
      <w:r>
        <w:rPr>
          <w:rFonts w:hint="eastAsia"/>
          <w:bCs/>
        </w:rPr>
        <w:t>管理范围线。严格水域岸线空间管控，有效保护岸线资源，落实河湖岸线保护与利用规划，明确岸线功能分区、优化岸线空间布局、规范岸线开发利用活动。至</w:t>
      </w:r>
      <w:r>
        <w:rPr>
          <w:bCs/>
        </w:rPr>
        <w:t>2035</w:t>
      </w:r>
      <w:r>
        <w:rPr>
          <w:rFonts w:hint="eastAsia"/>
          <w:bCs/>
        </w:rPr>
        <w:t>年，</w:t>
      </w:r>
      <w:r>
        <w:rPr>
          <w:rFonts w:hint="eastAsia"/>
          <w:bCs/>
          <w:lang w:val="en-US" w:eastAsia="zh-CN"/>
        </w:rPr>
        <w:t>黑马河镇</w:t>
      </w:r>
      <w:r>
        <w:rPr>
          <w:rFonts w:hint="eastAsia"/>
          <w:bCs/>
        </w:rPr>
        <w:t>重要河湖水域岸线监管率达到</w:t>
      </w:r>
      <w:r>
        <w:rPr>
          <w:bCs/>
        </w:rPr>
        <w:t>100%</w:t>
      </w:r>
      <w:r>
        <w:rPr>
          <w:rFonts w:hint="eastAsia"/>
          <w:bCs/>
        </w:rPr>
        <w:t>。</w:t>
      </w:r>
    </w:p>
    <w:p w14:paraId="6BC47637">
      <w:pPr>
        <w:rPr>
          <w:rFonts w:hint="eastAsia"/>
          <w:bCs/>
        </w:rPr>
      </w:pPr>
      <w:r>
        <w:rPr>
          <w:rFonts w:hint="eastAsia" w:ascii="楷体" w:hAnsi="楷体" w:eastAsia="楷体"/>
          <w:szCs w:val="32"/>
        </w:rPr>
        <w:t>加强河流生态流量管控</w:t>
      </w:r>
      <w:r>
        <w:rPr>
          <w:rFonts w:hint="eastAsia"/>
          <w:bCs/>
        </w:rPr>
        <w:t>。以</w:t>
      </w:r>
      <w:r>
        <w:rPr>
          <w:rFonts w:hint="eastAsia"/>
          <w:bCs/>
          <w:lang w:val="en-US" w:eastAsia="zh-CN"/>
        </w:rPr>
        <w:t>黑马河、智海确河、然却乎沟、切如沟等</w:t>
      </w:r>
      <w:r>
        <w:rPr>
          <w:rFonts w:hint="eastAsia"/>
          <w:bCs/>
        </w:rPr>
        <w:t>主要河流为重点，科学确定重要河流生态流量，落实河流生态流量保障方案，严格流域区域取用水总量控制，强化流域水资源统一调度，将重点河湖生态流量保障目标落实情况纳入最严格水资源管理制度考核，重点保障枯水期生态基流，维持河道生态系统稳定。</w:t>
      </w:r>
    </w:p>
    <w:p w14:paraId="5505A8F1">
      <w:pPr>
        <w:pStyle w:val="3"/>
        <w:numPr>
          <w:ilvl w:val="0"/>
          <w:numId w:val="11"/>
        </w:numPr>
        <w:rPr>
          <w:rFonts w:hint="eastAsia"/>
          <w:lang w:val="zh-CN" w:eastAsia="zh-CN"/>
        </w:rPr>
      </w:pPr>
      <w:bookmarkStart w:id="95" w:name="_Toc912"/>
      <w:bookmarkStart w:id="96" w:name="_Toc17351"/>
      <w:r>
        <w:rPr>
          <w:rFonts w:hint="eastAsia"/>
          <w:lang w:val="zh-CN" w:eastAsia="zh-CN"/>
        </w:rPr>
        <w:t>加强生态资源保护与利用</w:t>
      </w:r>
      <w:bookmarkEnd w:id="95"/>
      <w:bookmarkEnd w:id="96"/>
    </w:p>
    <w:p w14:paraId="42AFE159">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97" w:name="_Toc31233"/>
      <w:r>
        <w:rPr>
          <w:rFonts w:hint="eastAsia" w:ascii="楷体_GB2312" w:eastAsia="楷体_GB2312" w:cs="Times New Roman"/>
          <w:bCs/>
          <w:sz w:val="32"/>
          <w:szCs w:val="32"/>
          <w:lang w:val="en-US" w:eastAsia="zh-CN"/>
        </w:rPr>
        <w:t>森林资源保护与利用</w:t>
      </w:r>
      <w:bookmarkEnd w:id="97"/>
    </w:p>
    <w:p w14:paraId="391D350A">
      <w:pPr>
        <w:ind w:firstLine="560"/>
        <w:rPr>
          <w:rFonts w:hint="eastAsia" w:ascii="仿宋_GB2312" w:hAnsi="仿宋_GB2312" w:eastAsia="仿宋_GB2312" w:cs="仿宋_GB2312"/>
        </w:rPr>
      </w:pPr>
      <w:r>
        <w:rPr>
          <w:rFonts w:hint="eastAsia" w:ascii="仿宋_GB2312" w:hAnsi="仿宋_GB2312" w:eastAsia="仿宋_GB2312" w:cs="仿宋_GB2312"/>
        </w:rPr>
        <w:t>建立以水土保持林、水源涵养林为主体的森林生态体系，加大重点地区生态治理力度，有效遏制水土流失，改善生态环境。以西部青海南山山脉森林为核心，结合河流、重大交通廊道防护林，构筑保障黑马河镇生态系统安全的森林生态网络体系。按照发展现代林业和建设生态文明的要求，严格实施用途管制和林地分级管理，切实保护现有森林，有效补充林地数量，引导节约使用林地，确保林地资源稳定增长。到2035年，全镇森林覆盖率不低于7.59%。</w:t>
      </w:r>
    </w:p>
    <w:p w14:paraId="2B69E34F">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98" w:name="_Toc5750"/>
      <w:r>
        <w:rPr>
          <w:rFonts w:hint="eastAsia" w:ascii="楷体_GB2312" w:eastAsia="楷体_GB2312" w:cs="Times New Roman"/>
          <w:bCs/>
          <w:sz w:val="32"/>
          <w:szCs w:val="32"/>
          <w:lang w:val="en-US" w:eastAsia="zh-CN"/>
        </w:rPr>
        <w:t>湿地资源保护与利用</w:t>
      </w:r>
      <w:bookmarkEnd w:id="98"/>
    </w:p>
    <w:p w14:paraId="1739B432">
      <w:pPr>
        <w:rPr>
          <w:rFonts w:hint="eastAsia" w:ascii="仿宋_GB2312" w:hAnsi="仿宋_GB2312" w:eastAsia="仿宋_GB2312" w:cs="仿宋_GB2312"/>
        </w:rPr>
      </w:pPr>
      <w:r>
        <w:rPr>
          <w:rFonts w:hint="eastAsia" w:ascii="仿宋_GB2312" w:hAnsi="仿宋_GB2312" w:eastAsia="仿宋_GB2312" w:cs="仿宋_GB2312"/>
        </w:rPr>
        <w:t>坚持保护优先、严格管理、系统治理、科学修复、合理利用的原则，加强湿地保护，保持既有空间不减少，并通过生态修复逐步恢复增加湿地面积，健全湿地保护体系，维护湿地生态功能及生物多样性。依托生态本底优势，扎实推进山水林田湖草沙冰生态保护和修复，强化青海湖自然岸线湿地生态系统的保护与恢复。重点保护青海湖国家级自然保护区等生态资源，最大限度地保护湿地资源和野生动植物资源及其赖以生存的湿地生态系统、森林生态系统，使其免遭破坏和污染。到2035年，全镇湿地保护率达到</w:t>
      </w:r>
      <w:r>
        <w:rPr>
          <w:rFonts w:hint="eastAsia" w:ascii="仿宋_GB2312" w:hAnsi="仿宋_GB2312" w:cs="仿宋_GB2312"/>
          <w:lang w:val="en-US" w:eastAsia="zh-CN"/>
        </w:rPr>
        <w:t>上级下达指标</w:t>
      </w:r>
      <w:r>
        <w:rPr>
          <w:rFonts w:hint="eastAsia" w:ascii="仿宋_GB2312" w:hAnsi="仿宋_GB2312" w:eastAsia="仿宋_GB2312" w:cs="仿宋_GB2312"/>
        </w:rPr>
        <w:t>。</w:t>
      </w:r>
    </w:p>
    <w:p w14:paraId="79D83C9F">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99" w:name="_Toc3723"/>
      <w:r>
        <w:rPr>
          <w:rFonts w:hint="eastAsia" w:ascii="楷体_GB2312" w:eastAsia="楷体_GB2312" w:cs="Times New Roman"/>
          <w:bCs/>
          <w:sz w:val="32"/>
          <w:szCs w:val="32"/>
          <w:lang w:val="en-US" w:eastAsia="zh-CN"/>
        </w:rPr>
        <w:t>沙漠治理与利用</w:t>
      </w:r>
      <w:bookmarkEnd w:id="99"/>
    </w:p>
    <w:p w14:paraId="4BB6F0B6">
      <w:pPr>
        <w:pStyle w:val="16"/>
        <w:ind w:firstLine="640"/>
        <w:rPr>
          <w:bCs/>
        </w:rPr>
      </w:pPr>
      <w:r>
        <w:rPr>
          <w:rFonts w:hint="eastAsia" w:ascii="仿宋_GB2312" w:hAnsi="仿宋_GB2312" w:eastAsia="仿宋_GB2312" w:cs="仿宋_GB2312"/>
          <w:sz w:val="32"/>
          <w:szCs w:val="32"/>
          <w:lang w:val="en-US" w:eastAsia="zh-CN"/>
        </w:rPr>
        <w:t>持续推进青海湖周边沙漠生态系统的复原、保护和利用，维护沙漠生态系统功能，增强沙漠生物多样性。</w:t>
      </w:r>
      <w:r>
        <w:rPr>
          <w:rFonts w:hint="eastAsia"/>
          <w:bCs/>
        </w:rPr>
        <w:t>以保护和恢复林草植被、减轻风沙危害为主要手段，重点加大</w:t>
      </w:r>
      <w:r>
        <w:rPr>
          <w:rFonts w:hint="eastAsia"/>
          <w:bCs/>
          <w:lang w:val="en-US" w:eastAsia="zh-CN"/>
        </w:rPr>
        <w:t>黑马河镇区</w:t>
      </w:r>
      <w:r>
        <w:rPr>
          <w:rFonts w:hint="eastAsia"/>
          <w:bCs/>
        </w:rPr>
        <w:t>周边、绿洲、交通干线及生态区位特殊地区沙化土地治理力度。加大对</w:t>
      </w:r>
      <w:r>
        <w:rPr>
          <w:rFonts w:hint="eastAsia"/>
          <w:bCs/>
          <w:lang w:val="en-US" w:eastAsia="zh-CN"/>
        </w:rPr>
        <w:t>镇域中部、青海南山北部</w:t>
      </w:r>
      <w:r>
        <w:rPr>
          <w:rFonts w:hint="eastAsia"/>
          <w:bCs/>
        </w:rPr>
        <w:t>沙化土地的治理，采取以封为主、封造结合的措施，重点对公路两侧</w:t>
      </w:r>
      <w:r>
        <w:rPr>
          <w:bCs/>
        </w:rPr>
        <w:t>500米以内、农牧户定居点周围的流动与半流动沙地进行综合整治，促进人工干预下荒漠化土地的有效修复，荒漠化地区植被覆盖度有所增加，沙化土地扩张趋势得到进一步遏制。</w:t>
      </w:r>
    </w:p>
    <w:p w14:paraId="60400CFE">
      <w:pPr>
        <w:pStyle w:val="3"/>
        <w:numPr>
          <w:ilvl w:val="0"/>
          <w:numId w:val="11"/>
        </w:numPr>
        <w:rPr>
          <w:rFonts w:hint="eastAsia"/>
          <w:lang w:val="zh-CN" w:eastAsia="zh-CN"/>
        </w:rPr>
      </w:pPr>
      <w:bookmarkStart w:id="100" w:name="_Toc20995"/>
      <w:bookmarkStart w:id="101" w:name="_Toc32559"/>
      <w:r>
        <w:rPr>
          <w:rFonts w:hint="eastAsia"/>
          <w:lang w:val="zh-CN" w:eastAsia="zh-CN"/>
        </w:rPr>
        <w:t>实施山水林田湖草沙一体化保护和系统治理</w:t>
      </w:r>
      <w:bookmarkEnd w:id="100"/>
      <w:bookmarkEnd w:id="101"/>
    </w:p>
    <w:p w14:paraId="314FC8EA">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r>
        <w:rPr>
          <w:rFonts w:hint="eastAsia" w:ascii="楷体_GB2312" w:eastAsia="楷体_GB2312" w:cs="Times New Roman"/>
          <w:bCs/>
          <w:sz w:val="32"/>
          <w:szCs w:val="32"/>
          <w:lang w:val="en-US" w:eastAsia="zh-CN"/>
        </w:rPr>
        <w:t>加强重点生态功能区生态保护修复</w:t>
      </w:r>
    </w:p>
    <w:p w14:paraId="4DCC1801">
      <w:pPr>
        <w:pStyle w:val="16"/>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坚持山水林田湖草沙生命共同体理念，遵循自然生态系统的整体性、系统性及其内在规律，以自然恢复为主、人工修复为辅，强化自然生态系统原真性与完整性的保护和修复。针对</w:t>
      </w:r>
      <w:r>
        <w:rPr>
          <w:rFonts w:hint="eastAsia" w:ascii="仿宋_GB2312" w:hAnsi="仿宋_GB2312" w:cs="仿宋_GB2312"/>
          <w:sz w:val="32"/>
          <w:szCs w:val="32"/>
          <w:lang w:val="en-US" w:eastAsia="zh-CN"/>
        </w:rPr>
        <w:t>黑马河</w:t>
      </w:r>
      <w:r>
        <w:rPr>
          <w:rFonts w:hint="eastAsia" w:ascii="仿宋_GB2312" w:hAnsi="仿宋_GB2312" w:eastAsia="仿宋_GB2312" w:cs="仿宋_GB2312"/>
          <w:sz w:val="32"/>
          <w:szCs w:val="32"/>
          <w:lang w:val="en-US" w:eastAsia="zh-CN"/>
        </w:rPr>
        <w:t>镇生态脆弱、功能退化的现实问题，按照因地制宜、分区施策的原则，实施山水林田湖草沙一体化保护和系统治理，提升生态系统稳定性。</w:t>
      </w:r>
    </w:p>
    <w:p w14:paraId="014B44F2">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实施山水林田湖草沙治理工程</w:t>
      </w:r>
    </w:p>
    <w:p w14:paraId="10C73D12">
      <w:pPr>
        <w:widowControl w:val="0"/>
        <w:spacing w:after="120" w:line="600" w:lineRule="exact"/>
        <w:ind w:firstLine="640"/>
        <w:jc w:val="both"/>
        <w:rPr>
          <w:rFonts w:ascii="Calibri" w:hAnsi="Calibri" w:eastAsia="仿宋_GB2312" w:cs="Times New Roman"/>
          <w:kern w:val="2"/>
          <w:sz w:val="32"/>
          <w:szCs w:val="22"/>
          <w:lang w:val="en-US" w:eastAsia="zh-CN" w:bidi="ar-SA"/>
        </w:rPr>
      </w:pPr>
      <w:r>
        <w:rPr>
          <w:rFonts w:hint="eastAsia" w:ascii="Calibri" w:hAnsi="Calibri" w:eastAsia="仿宋_GB2312" w:cs="Times New Roman"/>
          <w:kern w:val="2"/>
          <w:sz w:val="32"/>
          <w:szCs w:val="22"/>
          <w:lang w:val="en-US" w:eastAsia="zh-CN" w:bidi="ar-SA"/>
        </w:rPr>
        <w:t>推进青海湖流域水环境综合治理工程，提升草原、森林、湿地、河湖、荒漠等自然生态系统自我修复能力，筑牢生态安全格局。统筹协调推进“三北”防护林、天然林保护工程，鼓励乔灌草结合、工程和生物措施相统一的生态修复工程，促进各项生态工程实施相得益彰。加大乡村河湖湿地生态系统保护和恢复力度。大力推进荒漠化、水土流失综合治理，加强生态清洁小流域建设，推进绿色小水电改造。实施生物多样性保护工程，加强野生动植物保护。</w:t>
      </w:r>
    </w:p>
    <w:p w14:paraId="6A2B8EC4">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强化水生态保护与水环境治理</w:t>
      </w:r>
    </w:p>
    <w:p w14:paraId="1AF2175C">
      <w:pPr>
        <w:widowControl w:val="0"/>
        <w:spacing w:after="120" w:line="600" w:lineRule="exact"/>
        <w:ind w:firstLine="640"/>
        <w:jc w:val="both"/>
        <w:rPr>
          <w:rFonts w:hint="eastAsia" w:ascii="Calibri" w:hAnsi="Calibri" w:eastAsia="仿宋_GB2312" w:cs="Times New Roman"/>
          <w:kern w:val="2"/>
          <w:sz w:val="32"/>
          <w:szCs w:val="22"/>
          <w:lang w:val="en-US" w:eastAsia="zh-CN" w:bidi="ar-SA"/>
        </w:rPr>
      </w:pPr>
      <w:r>
        <w:rPr>
          <w:rFonts w:hint="eastAsia" w:ascii="楷体_GB2312" w:hAnsi="楷体_GB2312" w:eastAsia="楷体_GB2312" w:cs="楷体_GB2312"/>
          <w:kern w:val="2"/>
          <w:sz w:val="32"/>
          <w:szCs w:val="22"/>
          <w:lang w:val="en-US" w:eastAsia="zh-CN" w:bidi="ar-SA"/>
        </w:rPr>
        <w:t>强化水生态保护与修复。</w:t>
      </w:r>
      <w:r>
        <w:rPr>
          <w:rFonts w:hint="eastAsia" w:ascii="Calibri" w:hAnsi="Calibri" w:eastAsia="仿宋_GB2312" w:cs="Times New Roman"/>
          <w:kern w:val="2"/>
          <w:sz w:val="32"/>
          <w:szCs w:val="22"/>
          <w:lang w:val="en-US" w:eastAsia="zh-CN" w:bidi="ar-SA"/>
        </w:rPr>
        <w:t>构建流域尺度的生态保护与修复单元，统筹实施水生态保护与修复工程。推进小流域生态综合治理，实施城镇周边水系连通等水生态保护修复项目，实现水生态保护与修复精细化管理，系统推进黑马河、智海确河、然却乎沟、切如沟等流域水环境保护、水生态修复、水污染防治和水资源管理。</w:t>
      </w:r>
    </w:p>
    <w:p w14:paraId="2173EE2C">
      <w:pPr>
        <w:widowControl w:val="0"/>
        <w:spacing w:after="120" w:line="600" w:lineRule="exact"/>
        <w:ind w:firstLine="640"/>
        <w:jc w:val="both"/>
        <w:rPr>
          <w:rFonts w:hint="eastAsia" w:ascii="Calibri" w:hAnsi="Calibri" w:eastAsia="仿宋_GB2312" w:cs="Times New Roman"/>
          <w:kern w:val="2"/>
          <w:sz w:val="32"/>
          <w:szCs w:val="22"/>
          <w:lang w:val="en-US" w:eastAsia="zh-CN" w:bidi="ar-SA"/>
        </w:rPr>
      </w:pPr>
      <w:r>
        <w:rPr>
          <w:rFonts w:hint="eastAsia" w:ascii="楷体_GB2312" w:hAnsi="楷体_GB2312" w:eastAsia="楷体_GB2312" w:cs="楷体_GB2312"/>
          <w:kern w:val="2"/>
          <w:sz w:val="32"/>
          <w:szCs w:val="22"/>
          <w:lang w:val="en-US" w:eastAsia="zh-CN" w:bidi="ar-SA"/>
        </w:rPr>
        <w:t>加大水环境污染防治。</w:t>
      </w:r>
      <w:r>
        <w:rPr>
          <w:rFonts w:hint="eastAsia" w:ascii="Calibri" w:hAnsi="Calibri" w:eastAsia="仿宋_GB2312" w:cs="Times New Roman"/>
          <w:kern w:val="2"/>
          <w:sz w:val="32"/>
          <w:szCs w:val="22"/>
          <w:lang w:val="en-US" w:eastAsia="zh-CN" w:bidi="ar-SA"/>
        </w:rPr>
        <w:t>从严核定水环境功能区纳污能力，严格控制入河湖排污总量，加强水污染防治和污染减排。持续推进水环境污染综合治理。推进黑马河、智海确河等河道治理，开展生态清洁小流域建设。</w:t>
      </w:r>
    </w:p>
    <w:p w14:paraId="55AD7852">
      <w:pPr>
        <w:widowControl w:val="0"/>
        <w:spacing w:after="120" w:line="600" w:lineRule="exact"/>
        <w:ind w:firstLine="640"/>
        <w:jc w:val="both"/>
        <w:rPr>
          <w:rFonts w:hint="eastAsia" w:ascii="Calibri" w:hAnsi="Calibri" w:eastAsia="仿宋_GB2312" w:cs="Times New Roman"/>
          <w:kern w:val="2"/>
          <w:sz w:val="32"/>
          <w:szCs w:val="22"/>
          <w:lang w:val="en-US" w:eastAsia="zh-CN" w:bidi="ar-SA"/>
        </w:rPr>
      </w:pPr>
      <w:r>
        <w:rPr>
          <w:rFonts w:hint="eastAsia" w:ascii="楷体_GB2312" w:hAnsi="楷体_GB2312" w:eastAsia="楷体_GB2312" w:cs="楷体_GB2312"/>
          <w:kern w:val="2"/>
          <w:sz w:val="32"/>
          <w:szCs w:val="22"/>
          <w:lang w:val="en-US" w:eastAsia="zh-CN" w:bidi="ar-SA"/>
        </w:rPr>
        <w:t>严格保护饮用水水源地。</w:t>
      </w:r>
      <w:r>
        <w:rPr>
          <w:rFonts w:hint="eastAsia" w:ascii="仿宋_GB2312" w:hAnsi="仿宋_GB2312" w:eastAsia="仿宋_GB2312" w:cs="仿宋_GB2312"/>
          <w:kern w:val="2"/>
          <w:sz w:val="32"/>
          <w:szCs w:val="22"/>
          <w:lang w:val="en-US" w:eastAsia="zh-CN" w:bidi="ar-SA"/>
        </w:rPr>
        <w:t>加强饮用水水源地保护，划定水源地饮用水水源保护区，严格水源保护管理。实施水源地生态保护及规范化建设。至2035年，黑马河镇饮用水水源地水质达标率保持在100%。</w:t>
      </w:r>
    </w:p>
    <w:p w14:paraId="554D6062">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加强水土流失防治</w:t>
      </w:r>
    </w:p>
    <w:p w14:paraId="3A245418">
      <w:pPr>
        <w:widowControl w:val="0"/>
        <w:spacing w:after="120" w:line="600" w:lineRule="exact"/>
        <w:ind w:firstLine="640"/>
        <w:jc w:val="both"/>
        <w:rPr>
          <w:rFonts w:hint="eastAsia" w:ascii="Calibri" w:hAnsi="Calibri" w:eastAsia="仿宋_GB2312" w:cs="Times New Roman"/>
          <w:kern w:val="2"/>
          <w:sz w:val="32"/>
          <w:szCs w:val="22"/>
          <w:lang w:val="en-US" w:eastAsia="zh-CN" w:bidi="ar-SA"/>
        </w:rPr>
      </w:pPr>
      <w:r>
        <w:rPr>
          <w:rFonts w:hint="eastAsia" w:ascii="楷体_GB2312" w:hAnsi="楷体_GB2312" w:eastAsia="楷体_GB2312" w:cs="楷体_GB2312"/>
          <w:kern w:val="2"/>
          <w:sz w:val="32"/>
          <w:szCs w:val="22"/>
          <w:lang w:val="en-US" w:eastAsia="zh-CN" w:bidi="ar-SA"/>
        </w:rPr>
        <w:t>重点加强青海湖区域的水土流失防治，</w:t>
      </w:r>
      <w:r>
        <w:rPr>
          <w:rFonts w:hint="eastAsia" w:ascii="Calibri" w:hAnsi="Calibri" w:eastAsia="仿宋_GB2312" w:cs="Times New Roman"/>
          <w:kern w:val="2"/>
          <w:sz w:val="32"/>
          <w:szCs w:val="22"/>
          <w:lang w:val="en-US" w:eastAsia="zh-CN" w:bidi="ar-SA"/>
        </w:rPr>
        <w:t>以地表植被建设、侵蚀沟道治理为重点，完善流域水土流失预防和治理措施体系，因地制宜推进生态清洁小流域建设，着力构建城镇及其周边小流域生态优美、生活宜居的生态环境，维护水土资源可持续利用。深化水土保持生态建设，实施水土保持工程，</w:t>
      </w:r>
      <w:r>
        <w:rPr>
          <w:rFonts w:hint="eastAsia" w:ascii="仿宋_GB2312" w:hAnsi="仿宋_GB2312" w:eastAsia="仿宋_GB2312" w:cs="仿宋_GB2312"/>
          <w:kern w:val="2"/>
          <w:sz w:val="32"/>
          <w:szCs w:val="22"/>
          <w:lang w:val="en-US" w:eastAsia="zh-CN" w:bidi="ar-SA"/>
        </w:rPr>
        <w:t>突出加强青海湖区域水蚀生态维护保土区水土流失治理。到2035年，严格落实上级下达的水土流失治理任务。</w:t>
      </w:r>
    </w:p>
    <w:p w14:paraId="70879309">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实施沙化土地综合治理</w:t>
      </w:r>
    </w:p>
    <w:p w14:paraId="0F189BB4">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楷体_GB2312" w:hAnsi="楷体_GB2312" w:eastAsia="楷体_GB2312" w:cs="楷体_GB2312"/>
          <w:kern w:val="2"/>
          <w:sz w:val="32"/>
          <w:szCs w:val="22"/>
          <w:lang w:val="en-US" w:eastAsia="zh-CN" w:bidi="ar-SA"/>
        </w:rPr>
        <w:t>实施环青海湖地区荒漠化土地治理。</w:t>
      </w:r>
      <w:r>
        <w:rPr>
          <w:rFonts w:hint="eastAsia" w:ascii="仿宋_GB2312" w:hAnsi="仿宋_GB2312" w:eastAsia="仿宋_GB2312" w:cs="仿宋_GB2312"/>
          <w:kern w:val="2"/>
          <w:sz w:val="32"/>
          <w:szCs w:val="22"/>
          <w:lang w:val="en-US" w:eastAsia="zh-CN" w:bidi="ar-SA"/>
        </w:rPr>
        <w:t>对黑马河镇沙漠化土地实施封沙育林育草工程，遏制沙漠化蔓延。遵循自然规律，自然恢复和人工修复相结合，积极探索以放牧为主合理利用草场的生产经营方向，采取“沙漠+光伏+设施牧草种植”和飞播种草等治沙模式防止土地沙化，构建以林为主、林草结合的防风固沙林体系。</w:t>
      </w:r>
    </w:p>
    <w:p w14:paraId="17415019">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强化土壤污染防治</w:t>
      </w:r>
    </w:p>
    <w:p w14:paraId="7FA1908A">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楷体_GB2312" w:hAnsi="楷体_GB2312" w:eastAsia="楷体_GB2312" w:cs="楷体_GB2312"/>
          <w:kern w:val="2"/>
          <w:sz w:val="32"/>
          <w:szCs w:val="22"/>
          <w:lang w:val="en-US" w:eastAsia="zh-CN" w:bidi="ar-SA"/>
        </w:rPr>
        <w:t>完成全镇土壤污染源排查与整治，</w:t>
      </w:r>
      <w:r>
        <w:rPr>
          <w:rFonts w:hint="eastAsia" w:ascii="仿宋_GB2312" w:hAnsi="仿宋_GB2312" w:eastAsia="仿宋_GB2312" w:cs="仿宋_GB2312"/>
          <w:kern w:val="2"/>
          <w:sz w:val="32"/>
          <w:szCs w:val="22"/>
          <w:lang w:val="en-US" w:eastAsia="zh-CN" w:bidi="ar-SA"/>
        </w:rPr>
        <w:t>按照“分区分类”的原则，实施以风险管控为主的治理策略，加强土壤污染源头防控，严格控制新增污染，实施重点污染源综合防控，推动受污染耕地安全利用，加强污染地块风险管控与修复，防控重点区域土壤污染风险。保障工业园区环保基础设施用地，实施关闭搬迁企业或历史遗留污染源整治，持续推进重金属污染综合防控治理，加强固体废物污染防治，实行污染地块全过程闭环管理。</w:t>
      </w:r>
    </w:p>
    <w:p w14:paraId="1366C399">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积极推进国土绿化工程</w:t>
      </w:r>
    </w:p>
    <w:p w14:paraId="62DB4083">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t>深入开展国土绿化巩固提升行动，增强生态系统功能和生态产品供给能力，提升生态系统碳汇增量，筑牢国土生态安全屏障，增进人民生态福祉。依托三北防护林、天然林保护、防沙治沙等国家重点工程，结合实际情况，按照宜林则林、宜草则草的原则实施人工造林，继续推进国土绿化。不断拓展绿化空间，对重点生态脆弱区、宜林沙化土地、裸土地等实施造林绿化，有序安排年度绿化任务。到2035年，森林覆盖率不低于7.59%。规划新增造林绿化空间</w:t>
      </w:r>
      <w:r>
        <w:rPr>
          <w:rFonts w:hint="eastAsia" w:ascii="仿宋_GB2312" w:hAnsi="仿宋_GB2312" w:cs="仿宋_GB2312"/>
          <w:kern w:val="2"/>
          <w:sz w:val="32"/>
          <w:szCs w:val="22"/>
          <w:lang w:val="en-US" w:eastAsia="zh-CN" w:bidi="ar-SA"/>
        </w:rPr>
        <w:t>约92.26公顷</w:t>
      </w:r>
      <w:r>
        <w:rPr>
          <w:rFonts w:hint="eastAsia" w:ascii="仿宋_GB2312" w:hAnsi="仿宋_GB2312" w:eastAsia="仿宋_GB2312" w:cs="仿宋_GB2312"/>
          <w:kern w:val="2"/>
          <w:sz w:val="32"/>
          <w:szCs w:val="22"/>
          <w:lang w:val="en-US" w:eastAsia="zh-CN" w:bidi="ar-SA"/>
        </w:rPr>
        <w:t>，主要分布在加隆村，并落实到国土空间规划“一张图”上。</w:t>
      </w:r>
    </w:p>
    <w:p w14:paraId="2066CB86">
      <w:pPr>
        <w:pStyle w:val="16"/>
        <w:ind w:firstLine="640"/>
        <w:rPr>
          <w:rFonts w:hint="eastAsia" w:ascii="仿宋_GB2312" w:hAnsi="仿宋_GB2312" w:eastAsia="仿宋_GB2312" w:cs="仿宋_GB2312"/>
          <w:sz w:val="32"/>
          <w:szCs w:val="32"/>
          <w:lang w:val="en-US" w:eastAsia="zh-CN"/>
        </w:rPr>
      </w:pPr>
    </w:p>
    <w:p w14:paraId="262A67A5">
      <w:pPr>
        <w:rPr>
          <w:rFonts w:hint="eastAsia"/>
          <w:bCs/>
        </w:rPr>
      </w:pPr>
      <w:r>
        <w:rPr>
          <w:rFonts w:hint="eastAsia"/>
          <w:bCs/>
        </w:rPr>
        <w:br w:type="page"/>
      </w:r>
    </w:p>
    <w:p w14:paraId="183232EA">
      <w:pPr>
        <w:pStyle w:val="2"/>
        <w:ind w:left="-140"/>
        <w:rPr>
          <w:rFonts w:hint="eastAsia" w:ascii="方正小标宋简体" w:hAnsi="方正小标宋简体" w:eastAsia="方正小标宋简体" w:cs="方正小标宋简体"/>
          <w:b w:val="0"/>
          <w:bCs w:val="0"/>
          <w:lang w:val="en-US" w:eastAsia="zh-CN"/>
        </w:rPr>
      </w:pPr>
      <w:bookmarkStart w:id="102" w:name="_Toc22194"/>
      <w:bookmarkStart w:id="103" w:name="_Toc17172"/>
      <w:r>
        <w:rPr>
          <w:rFonts w:hint="eastAsia" w:ascii="方正小标宋简体" w:hAnsi="方正小标宋简体" w:eastAsia="方正小标宋简体" w:cs="方正小标宋简体"/>
          <w:b w:val="0"/>
          <w:bCs w:val="0"/>
          <w:lang w:val="en-US" w:eastAsia="zh-CN"/>
        </w:rPr>
        <w:t>夯实农业空间，提标升级绿色有机农畜产品</w:t>
      </w:r>
      <w:bookmarkEnd w:id="102"/>
      <w:bookmarkEnd w:id="103"/>
    </w:p>
    <w:p w14:paraId="6139FCE3">
      <w:pPr>
        <w:pStyle w:val="3"/>
        <w:numPr>
          <w:ilvl w:val="0"/>
          <w:numId w:val="12"/>
        </w:numPr>
        <w:rPr>
          <w:rFonts w:hint="default"/>
          <w:lang w:val="en-US" w:eastAsia="zh-CN"/>
        </w:rPr>
      </w:pPr>
      <w:bookmarkStart w:id="104" w:name="_Toc18980"/>
      <w:bookmarkStart w:id="105" w:name="_Toc17423"/>
      <w:r>
        <w:rPr>
          <w:rFonts w:hint="eastAsia"/>
          <w:lang w:val="en-US" w:eastAsia="zh-CN"/>
        </w:rPr>
        <w:t>保障农业空间“提质增效”</w:t>
      </w:r>
      <w:bookmarkEnd w:id="104"/>
      <w:bookmarkEnd w:id="105"/>
    </w:p>
    <w:p w14:paraId="5B8F749D">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06" w:name="_Toc22442"/>
      <w:r>
        <w:rPr>
          <w:rFonts w:hint="eastAsia" w:ascii="楷体_GB2312" w:hAnsi="Times New Roman" w:eastAsia="楷体_GB2312" w:cs="Times New Roman"/>
          <w:bCs/>
          <w:sz w:val="32"/>
          <w:szCs w:val="32"/>
          <w:lang w:val="en-US" w:eastAsia="zh-CN"/>
        </w:rPr>
        <w:t>合理划定农业空间</w:t>
      </w:r>
      <w:bookmarkEnd w:id="106"/>
    </w:p>
    <w:p w14:paraId="404CA77E">
      <w:pPr>
        <w:rPr>
          <w:rFonts w:hint="eastAsia" w:ascii="仿宋_GB2312" w:hAnsi="仿宋_GB2312" w:eastAsia="仿宋_GB2312" w:cs="仿宋_GB2312"/>
          <w:bCs/>
        </w:rPr>
      </w:pPr>
      <w:r>
        <w:rPr>
          <w:rFonts w:hint="eastAsia" w:ascii="仿宋_GB2312" w:hAnsi="仿宋_GB2312" w:eastAsia="仿宋_GB2312" w:cs="仿宋_GB2312"/>
          <w:bCs/>
        </w:rPr>
        <w:t>保障承担农产品生产和农村生活等功能的农业空间，面积约</w:t>
      </w:r>
      <w:r>
        <w:rPr>
          <w:rFonts w:hint="eastAsia" w:ascii="仿宋_GB2312" w:hAnsi="仿宋_GB2312" w:cs="仿宋_GB2312"/>
          <w:bCs/>
          <w:lang w:val="en-US" w:eastAsia="zh-CN"/>
        </w:rPr>
        <w:t>976.77</w:t>
      </w:r>
      <w:r>
        <w:rPr>
          <w:rFonts w:hint="eastAsia" w:ascii="仿宋_GB2312" w:hAnsi="仿宋_GB2312" w:eastAsia="仿宋_GB2312" w:cs="仿宋_GB2312"/>
          <w:bCs/>
        </w:rPr>
        <w:t>平方千米。规划围绕农村农业优化发展，落实耕地保护，积极发展现代农业，加强农田质量建设，促进农业生产提质增效，优化农村居民点布局与建设，改善提升农村生活环境，稳定粮食和蔬菜等城镇主要农产品供应的基本空间。</w:t>
      </w:r>
    </w:p>
    <w:p w14:paraId="1F5B4A2D">
      <w:pPr>
        <w:pStyle w:val="3"/>
        <w:numPr>
          <w:ilvl w:val="0"/>
          <w:numId w:val="12"/>
        </w:numPr>
        <w:rPr>
          <w:rFonts w:hint="eastAsia"/>
          <w:lang w:val="en-US" w:eastAsia="zh-CN"/>
        </w:rPr>
      </w:pPr>
      <w:bookmarkStart w:id="107" w:name="_Toc31818"/>
      <w:bookmarkStart w:id="108" w:name="_Toc18504"/>
      <w:r>
        <w:rPr>
          <w:rFonts w:hint="eastAsia"/>
          <w:lang w:val="en-US" w:eastAsia="zh-CN"/>
        </w:rPr>
        <w:t>实施耕地数量、质量、生态“三位一体”保护</w:t>
      </w:r>
      <w:bookmarkEnd w:id="107"/>
      <w:bookmarkEnd w:id="108"/>
    </w:p>
    <w:p w14:paraId="3BB467A2">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09" w:name="_Toc132547292"/>
      <w:bookmarkStart w:id="110" w:name="_Toc24698"/>
      <w:r>
        <w:rPr>
          <w:rFonts w:hint="eastAsia" w:ascii="楷体_GB2312" w:hAnsi="Times New Roman" w:eastAsia="楷体_GB2312" w:cs="Times New Roman"/>
          <w:bCs/>
          <w:sz w:val="32"/>
          <w:szCs w:val="32"/>
          <w:lang w:val="en-US" w:eastAsia="zh-CN"/>
        </w:rPr>
        <w:t>坚持最严格的耕地保护制度</w:t>
      </w:r>
      <w:bookmarkEnd w:id="109"/>
      <w:bookmarkEnd w:id="110"/>
    </w:p>
    <w:p w14:paraId="250C98BD">
      <w:pPr>
        <w:rPr>
          <w:rFonts w:hint="eastAsia" w:ascii="仿宋_GB2312" w:hAnsi="仿宋_GB2312" w:eastAsia="仿宋_GB2312"/>
          <w:sz w:val="32"/>
          <w:szCs w:val="32"/>
        </w:rPr>
      </w:pPr>
      <w:r>
        <w:rPr>
          <w:rFonts w:hint="eastAsia" w:ascii="楷体" w:hAnsi="楷体" w:eastAsia="楷体"/>
          <w:sz w:val="32"/>
          <w:szCs w:val="32"/>
        </w:rPr>
        <w:t>落实“合理利用土地、切实保护耕地”的基本国策</w:t>
      </w:r>
      <w:r>
        <w:rPr>
          <w:rFonts w:hint="eastAsia" w:ascii="仿宋_GB2312" w:hAnsi="仿宋_GB2312" w:eastAsia="仿宋_GB2312"/>
          <w:sz w:val="32"/>
          <w:szCs w:val="32"/>
        </w:rPr>
        <w:t>，切实保护耕地资源，将0.9676</w:t>
      </w:r>
      <w:r>
        <w:rPr>
          <w:rFonts w:hint="eastAsia" w:ascii="仿宋_GB2312" w:hAnsi="仿宋_GB2312"/>
          <w:sz w:val="32"/>
          <w:szCs w:val="32"/>
          <w:lang w:val="en-US" w:eastAsia="zh-CN"/>
        </w:rPr>
        <w:t>万亩</w:t>
      </w:r>
      <w:r>
        <w:rPr>
          <w:rFonts w:hint="eastAsia" w:ascii="仿宋_GB2312" w:hAnsi="仿宋_GB2312" w:eastAsia="仿宋_GB2312"/>
          <w:sz w:val="32"/>
          <w:szCs w:val="32"/>
        </w:rPr>
        <w:t>耕地和0.9409</w:t>
      </w:r>
      <w:r>
        <w:rPr>
          <w:rFonts w:hint="eastAsia" w:ascii="仿宋_GB2312" w:hAnsi="仿宋_GB2312"/>
          <w:sz w:val="32"/>
          <w:szCs w:val="32"/>
          <w:lang w:val="en-US" w:eastAsia="zh-CN"/>
        </w:rPr>
        <w:t>万亩</w:t>
      </w:r>
      <w:r>
        <w:rPr>
          <w:rFonts w:hint="eastAsia" w:ascii="仿宋_GB2312" w:hAnsi="仿宋_GB2312" w:eastAsia="仿宋_GB2312"/>
          <w:sz w:val="32"/>
          <w:szCs w:val="32"/>
        </w:rPr>
        <w:t>永久基本农田带位置下达至各</w:t>
      </w:r>
      <w:r>
        <w:rPr>
          <w:rFonts w:hint="eastAsia" w:ascii="仿宋_GB2312" w:hAnsi="仿宋_GB2312"/>
          <w:sz w:val="32"/>
          <w:szCs w:val="32"/>
          <w:lang w:val="en-US" w:eastAsia="zh-CN"/>
        </w:rPr>
        <w:t>村庄</w:t>
      </w:r>
      <w:r>
        <w:rPr>
          <w:rFonts w:hint="eastAsia" w:ascii="仿宋_GB2312" w:hAnsi="仿宋_GB2312" w:eastAsia="仿宋_GB2312"/>
          <w:sz w:val="32"/>
          <w:szCs w:val="32"/>
        </w:rPr>
        <w:t>，健全落实耕地保护和粮食安全责任考核机制，签订耕地保护和粮食安全责任书，压实耕地保护主体责任，对耕地保护和粮食安全完成情况定期考核，实行耕地保护党政同责、终身追责。严守耕地保护红线，突出耕地数量、质量、生态“三位一体”保护。强化耕地种植用途管控，依法落实耕地利用优先序，合理引导农业种植结构调整，耕地主要用于粮食和油料、蔬菜及饲草饲料生产，永久基本农田主要用于粮食生产，高标准农田原则上全部用于粮食生产。严格控制非农建设占用耕地，确需占用耕地的，应尽量占用等级较低的耕地，实施表土剥离再利用。建立耕地污染风险评估和污染土壤修复制度，有效保护优质耕地，逐步提高现有耕地质量。因地制宜，分类规划，综合配套，全面提高农业抗御自然灾害的能力。</w:t>
      </w:r>
    </w:p>
    <w:p w14:paraId="6CDA9459">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11" w:name="_Toc132547293"/>
      <w:bookmarkStart w:id="112" w:name="_Toc323"/>
      <w:r>
        <w:rPr>
          <w:rFonts w:hint="eastAsia" w:ascii="楷体_GB2312" w:hAnsi="Times New Roman" w:eastAsia="楷体_GB2312" w:cs="Times New Roman"/>
          <w:bCs/>
          <w:sz w:val="32"/>
          <w:szCs w:val="32"/>
          <w:lang w:val="en-US" w:eastAsia="zh-CN"/>
        </w:rPr>
        <w:t>全面落实耕地“占补平衡</w:t>
      </w:r>
      <w:bookmarkEnd w:id="111"/>
      <w:r>
        <w:rPr>
          <w:rFonts w:hint="eastAsia" w:ascii="楷体_GB2312" w:hAnsi="Times New Roman" w:eastAsia="楷体_GB2312" w:cs="Times New Roman"/>
          <w:bCs/>
          <w:sz w:val="32"/>
          <w:szCs w:val="32"/>
          <w:lang w:val="en-US" w:eastAsia="zh-CN"/>
        </w:rPr>
        <w:t>”</w:t>
      </w:r>
      <w:bookmarkEnd w:id="112"/>
    </w:p>
    <w:p w14:paraId="4D14FD50">
      <w:pPr>
        <w:rPr>
          <w:rFonts w:hint="default" w:ascii="仿宋_GB2312" w:hAnsi="仿宋_GB2312" w:eastAsia="仿宋_GB2312"/>
          <w:sz w:val="32"/>
          <w:szCs w:val="32"/>
          <w:lang w:val="en-US" w:eastAsia="zh-CN"/>
        </w:rPr>
      </w:pPr>
      <w:r>
        <w:rPr>
          <w:rFonts w:hint="default" w:ascii="仿宋_GB2312" w:hAnsi="仿宋_GB2312" w:eastAsia="仿宋_GB2312"/>
          <w:sz w:val="32"/>
          <w:szCs w:val="32"/>
          <w:lang w:val="en-US" w:eastAsia="zh-CN"/>
        </w:rPr>
        <w:t>各类非农建设选址布局尽量不占或少占耕地，特别是永久基本农田。确需依法占用的，必须严格落实“占一补一、占优补优”的占补平衡要求，做到补充的耕地数量不减少、质量不降低、产能不下降。严格落实耕地占补平衡责任，大力实施土地整治，落实补充耕地任务，规范耕地占补平衡指标交易，强化耕地“占补平衡”后期管理。</w:t>
      </w:r>
    </w:p>
    <w:p w14:paraId="1C1EE302">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default" w:ascii="楷体_GB2312" w:hAnsi="Times New Roman" w:eastAsia="楷体_GB2312" w:cs="Times New Roman"/>
          <w:bCs/>
          <w:sz w:val="32"/>
          <w:szCs w:val="32"/>
          <w:lang w:val="en-US" w:eastAsia="zh-CN"/>
        </w:rPr>
      </w:pPr>
      <w:r>
        <w:rPr>
          <w:rFonts w:hint="default" w:ascii="楷体_GB2312" w:hAnsi="Times New Roman" w:eastAsia="楷体_GB2312" w:cs="Times New Roman"/>
          <w:bCs/>
          <w:sz w:val="32"/>
          <w:szCs w:val="32"/>
          <w:lang w:val="en-US" w:eastAsia="zh-CN"/>
        </w:rPr>
        <w:t>提升耕地综合生产能力</w:t>
      </w:r>
    </w:p>
    <w:p w14:paraId="718E0A2E">
      <w:pPr>
        <w:rPr>
          <w:rFonts w:hint="default" w:ascii="仿宋_GB2312" w:hAnsi="仿宋_GB2312" w:eastAsia="仿宋_GB2312"/>
          <w:sz w:val="32"/>
          <w:szCs w:val="32"/>
          <w:lang w:val="en-US" w:eastAsia="zh-CN"/>
        </w:rPr>
      </w:pPr>
      <w:r>
        <w:rPr>
          <w:rFonts w:hint="default" w:ascii="仿宋_GB2312" w:hAnsi="仿宋_GB2312" w:eastAsia="仿宋_GB2312"/>
          <w:sz w:val="32"/>
          <w:szCs w:val="32"/>
          <w:lang w:val="en-US" w:eastAsia="zh-CN"/>
        </w:rPr>
        <w:t>加强农田基础设施建设，改善田间道路、灌排渠道、电力系统并种植农田防护林，开展耕地提质改造，综合运用工程、技术和生物措施，积极开展全域土地综合整治，促进耕地集中连片。开展旱改水、农田连片整治、土壤培肥改良等重大工程，加强高效节水灌溉设施建设和节水技术推广，提高耕地综合生产能力。以种植业生产适宜区为基础，结合永久基本农田集中分布情况，大力推进高标准农田建设，加强灌排设施和田间道路设施配套，培肥土壤，促进零散耕地集中连片和耕地数量、质量、生态“三位一体”保护。在永久基本农田集中分布地区，不得规划新建可能造成污染的建设项目。</w:t>
      </w:r>
    </w:p>
    <w:p w14:paraId="34FCEB35">
      <w:pPr>
        <w:pStyle w:val="3"/>
        <w:numPr>
          <w:ilvl w:val="0"/>
          <w:numId w:val="12"/>
        </w:numPr>
        <w:rPr>
          <w:rFonts w:hint="eastAsia"/>
          <w:lang w:val="en-US" w:eastAsia="zh-CN"/>
        </w:rPr>
      </w:pPr>
      <w:bookmarkStart w:id="113" w:name="_Toc23314"/>
      <w:bookmarkStart w:id="114" w:name="_Toc4372"/>
      <w:r>
        <w:rPr>
          <w:rFonts w:hint="eastAsia"/>
          <w:lang w:val="en-US" w:eastAsia="zh-CN"/>
        </w:rPr>
        <w:t>重点拓展农畜产品生产空间</w:t>
      </w:r>
      <w:bookmarkEnd w:id="113"/>
      <w:bookmarkEnd w:id="114"/>
    </w:p>
    <w:p w14:paraId="5E9D01C0">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15" w:name="_Toc30161"/>
      <w:r>
        <w:rPr>
          <w:rFonts w:hint="eastAsia" w:ascii="楷体_GB2312" w:hAnsi="Times New Roman" w:eastAsia="楷体_GB2312" w:cs="Times New Roman"/>
          <w:bCs/>
          <w:sz w:val="32"/>
          <w:szCs w:val="32"/>
          <w:lang w:val="en-US" w:eastAsia="zh-CN"/>
        </w:rPr>
        <w:t>提高镇区周边农牧业生产能力</w:t>
      </w:r>
      <w:bookmarkEnd w:id="115"/>
    </w:p>
    <w:p w14:paraId="4828CD88">
      <w:pPr>
        <w:rPr>
          <w:rFonts w:hint="default" w:ascii="仿宋_GB2312" w:hAnsi="仿宋_GB2312"/>
          <w:sz w:val="32"/>
          <w:szCs w:val="32"/>
          <w:lang w:val="en-US" w:eastAsia="zh-CN"/>
        </w:rPr>
      </w:pPr>
      <w:r>
        <w:rPr>
          <w:rFonts w:hint="default" w:ascii="仿宋_GB2312" w:hAnsi="仿宋_GB2312"/>
          <w:sz w:val="32"/>
          <w:szCs w:val="32"/>
          <w:lang w:val="en-US" w:eastAsia="zh-CN"/>
        </w:rPr>
        <w:t>严格保护</w:t>
      </w:r>
      <w:r>
        <w:rPr>
          <w:rFonts w:hint="eastAsia" w:ascii="仿宋_GB2312" w:hAnsi="仿宋_GB2312"/>
          <w:sz w:val="32"/>
          <w:szCs w:val="32"/>
          <w:lang w:val="en-US" w:eastAsia="zh-CN"/>
        </w:rPr>
        <w:t>镇区</w:t>
      </w:r>
      <w:r>
        <w:rPr>
          <w:rFonts w:hint="default" w:ascii="仿宋_GB2312" w:hAnsi="仿宋_GB2312"/>
          <w:sz w:val="32"/>
          <w:szCs w:val="32"/>
          <w:lang w:val="en-US" w:eastAsia="zh-CN"/>
        </w:rPr>
        <w:t>周边农</w:t>
      </w:r>
      <w:r>
        <w:rPr>
          <w:rFonts w:hint="eastAsia" w:ascii="仿宋_GB2312" w:hAnsi="仿宋_GB2312"/>
          <w:sz w:val="32"/>
          <w:szCs w:val="32"/>
          <w:lang w:val="en-US" w:eastAsia="zh-CN"/>
        </w:rPr>
        <w:t>牧</w:t>
      </w:r>
      <w:r>
        <w:rPr>
          <w:rFonts w:hint="default" w:ascii="仿宋_GB2312" w:hAnsi="仿宋_GB2312"/>
          <w:sz w:val="32"/>
          <w:szCs w:val="32"/>
          <w:lang w:val="en-US" w:eastAsia="zh-CN"/>
        </w:rPr>
        <w:t>业空间，以城镇开发边界为约束</w:t>
      </w:r>
      <w:r>
        <w:rPr>
          <w:rFonts w:hint="eastAsia" w:ascii="仿宋_GB2312" w:hAnsi="仿宋_GB2312"/>
          <w:sz w:val="32"/>
          <w:szCs w:val="32"/>
          <w:lang w:val="en-US" w:eastAsia="zh-CN"/>
        </w:rPr>
        <w:t>，</w:t>
      </w:r>
      <w:r>
        <w:rPr>
          <w:rFonts w:hint="default" w:ascii="仿宋_GB2312" w:hAnsi="仿宋_GB2312"/>
          <w:sz w:val="32"/>
          <w:szCs w:val="32"/>
          <w:lang w:val="en-US" w:eastAsia="zh-CN"/>
        </w:rPr>
        <w:t>有序引导城镇建设。加强</w:t>
      </w:r>
      <w:r>
        <w:rPr>
          <w:rFonts w:hint="eastAsia" w:ascii="仿宋_GB2312" w:hAnsi="仿宋_GB2312"/>
          <w:sz w:val="32"/>
          <w:szCs w:val="32"/>
          <w:lang w:val="en-US" w:eastAsia="zh-CN"/>
        </w:rPr>
        <w:t>镇区</w:t>
      </w:r>
      <w:r>
        <w:rPr>
          <w:rFonts w:hint="default" w:ascii="仿宋_GB2312" w:hAnsi="仿宋_GB2312"/>
          <w:sz w:val="32"/>
          <w:szCs w:val="32"/>
          <w:lang w:val="en-US" w:eastAsia="zh-CN"/>
        </w:rPr>
        <w:t>周边的农</w:t>
      </w:r>
      <w:r>
        <w:rPr>
          <w:rFonts w:hint="eastAsia" w:ascii="仿宋_GB2312" w:hAnsi="仿宋_GB2312"/>
          <w:sz w:val="32"/>
          <w:szCs w:val="32"/>
          <w:lang w:val="en-US" w:eastAsia="zh-CN"/>
        </w:rPr>
        <w:t>牧</w:t>
      </w:r>
      <w:r>
        <w:rPr>
          <w:rFonts w:hint="default" w:ascii="仿宋_GB2312" w:hAnsi="仿宋_GB2312"/>
          <w:sz w:val="32"/>
          <w:szCs w:val="32"/>
          <w:lang w:val="en-US" w:eastAsia="zh-CN"/>
        </w:rPr>
        <w:t>业生产区的水利建设，包括建设灌溉设施，保护水源等。通过流转方式集中形成规模化的农</w:t>
      </w:r>
      <w:r>
        <w:rPr>
          <w:rFonts w:hint="eastAsia" w:ascii="仿宋_GB2312" w:hAnsi="仿宋_GB2312"/>
          <w:sz w:val="32"/>
          <w:szCs w:val="32"/>
          <w:lang w:val="en-US" w:eastAsia="zh-CN"/>
        </w:rPr>
        <w:t>牧</w:t>
      </w:r>
      <w:r>
        <w:rPr>
          <w:rFonts w:hint="default" w:ascii="仿宋_GB2312" w:hAnsi="仿宋_GB2312"/>
          <w:sz w:val="32"/>
          <w:szCs w:val="32"/>
          <w:lang w:val="en-US" w:eastAsia="zh-CN"/>
        </w:rPr>
        <w:t>业生产基地，提高土地利用效益；应用高新技术，推广先进农</w:t>
      </w:r>
      <w:r>
        <w:rPr>
          <w:rFonts w:hint="eastAsia" w:ascii="仿宋_GB2312" w:hAnsi="仿宋_GB2312"/>
          <w:sz w:val="32"/>
          <w:szCs w:val="32"/>
          <w:lang w:val="en-US" w:eastAsia="zh-CN"/>
        </w:rPr>
        <w:t>牧</w:t>
      </w:r>
      <w:r>
        <w:rPr>
          <w:rFonts w:hint="default" w:ascii="仿宋_GB2312" w:hAnsi="仿宋_GB2312"/>
          <w:sz w:val="32"/>
          <w:szCs w:val="32"/>
          <w:lang w:val="en-US" w:eastAsia="zh-CN"/>
        </w:rPr>
        <w:t>业生产方式，提高农民生产效益，提高农</w:t>
      </w:r>
      <w:r>
        <w:rPr>
          <w:rFonts w:hint="eastAsia" w:ascii="仿宋_GB2312" w:hAnsi="仿宋_GB2312"/>
          <w:sz w:val="32"/>
          <w:szCs w:val="32"/>
          <w:lang w:val="en-US" w:eastAsia="zh-CN"/>
        </w:rPr>
        <w:t>牧</w:t>
      </w:r>
      <w:r>
        <w:rPr>
          <w:rFonts w:hint="default" w:ascii="仿宋_GB2312" w:hAnsi="仿宋_GB2312"/>
          <w:sz w:val="32"/>
          <w:szCs w:val="32"/>
          <w:lang w:val="en-US" w:eastAsia="zh-CN"/>
        </w:rPr>
        <w:t>业生产精细化和智能化水平。积极促进城市周边农</w:t>
      </w:r>
      <w:r>
        <w:rPr>
          <w:rFonts w:hint="eastAsia" w:ascii="仿宋_GB2312" w:hAnsi="仿宋_GB2312"/>
          <w:sz w:val="32"/>
          <w:szCs w:val="32"/>
          <w:lang w:val="en-US" w:eastAsia="zh-CN"/>
        </w:rPr>
        <w:t>畜</w:t>
      </w:r>
      <w:r>
        <w:rPr>
          <w:rFonts w:hint="default" w:ascii="仿宋_GB2312" w:hAnsi="仿宋_GB2312"/>
          <w:sz w:val="32"/>
          <w:szCs w:val="32"/>
          <w:lang w:val="en-US" w:eastAsia="zh-CN"/>
        </w:rPr>
        <w:t>产品的销售和质量，以现代农</w:t>
      </w:r>
      <w:r>
        <w:rPr>
          <w:rFonts w:hint="eastAsia" w:ascii="仿宋_GB2312" w:hAnsi="仿宋_GB2312"/>
          <w:sz w:val="32"/>
          <w:szCs w:val="32"/>
          <w:lang w:val="en-US" w:eastAsia="zh-CN"/>
        </w:rPr>
        <w:t>牧</w:t>
      </w:r>
      <w:r>
        <w:rPr>
          <w:rFonts w:hint="default" w:ascii="仿宋_GB2312" w:hAnsi="仿宋_GB2312"/>
          <w:sz w:val="32"/>
          <w:szCs w:val="32"/>
          <w:lang w:val="en-US" w:eastAsia="zh-CN"/>
        </w:rPr>
        <w:t>业为重点发展方向，提高就近服务城市的能力。</w:t>
      </w:r>
    </w:p>
    <w:p w14:paraId="24C186E0">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16" w:name="_Toc2392"/>
      <w:r>
        <w:rPr>
          <w:rFonts w:hint="eastAsia" w:ascii="楷体_GB2312" w:hAnsi="Times New Roman" w:eastAsia="楷体_GB2312" w:cs="Times New Roman"/>
          <w:bCs/>
          <w:sz w:val="32"/>
          <w:szCs w:val="32"/>
          <w:lang w:val="en-US" w:eastAsia="zh-CN"/>
        </w:rPr>
        <w:t>发展优质高效特色农业</w:t>
      </w:r>
      <w:bookmarkEnd w:id="116"/>
    </w:p>
    <w:p w14:paraId="36FD6057">
      <w:pPr>
        <w:rPr>
          <w:rFonts w:hint="default" w:ascii="仿宋_GB2312" w:hAnsi="仿宋_GB2312"/>
          <w:sz w:val="32"/>
          <w:szCs w:val="32"/>
          <w:lang w:val="en-US" w:eastAsia="zh-CN"/>
        </w:rPr>
      </w:pPr>
      <w:r>
        <w:rPr>
          <w:rFonts w:hint="default" w:ascii="仿宋_GB2312" w:hAnsi="仿宋_GB2312"/>
          <w:sz w:val="32"/>
          <w:szCs w:val="32"/>
          <w:lang w:val="en-US" w:eastAsia="zh-CN"/>
        </w:rPr>
        <w:t>大力发展青稞、油菜、饲草</w:t>
      </w:r>
      <w:r>
        <w:rPr>
          <w:rFonts w:hint="eastAsia" w:ascii="仿宋_GB2312" w:hAnsi="仿宋_GB2312"/>
          <w:sz w:val="32"/>
          <w:szCs w:val="32"/>
          <w:lang w:val="en-US" w:eastAsia="zh-CN"/>
        </w:rPr>
        <w:t>等农业</w:t>
      </w:r>
      <w:r>
        <w:rPr>
          <w:rFonts w:hint="default" w:ascii="仿宋_GB2312" w:hAnsi="仿宋_GB2312"/>
          <w:sz w:val="32"/>
          <w:szCs w:val="32"/>
          <w:lang w:val="en-US" w:eastAsia="zh-CN"/>
        </w:rPr>
        <w:t>产业，稳固粮食生产和重要农产品生产，实现绿色有机农畜产品输出和重要农畜产品保障等功能，增加优质农畜产品供给。优化农业产业布局，加大扶持力度，保障农牧区基础设施建设和设施农业发展用地需要。</w:t>
      </w:r>
    </w:p>
    <w:p w14:paraId="32AC954A">
      <w:pPr>
        <w:pStyle w:val="3"/>
        <w:numPr>
          <w:ilvl w:val="0"/>
          <w:numId w:val="12"/>
        </w:numPr>
        <w:rPr>
          <w:rFonts w:hint="eastAsia"/>
          <w:lang w:val="en-US" w:eastAsia="zh-CN"/>
        </w:rPr>
      </w:pPr>
      <w:bookmarkStart w:id="117" w:name="_Toc7927"/>
      <w:bookmarkStart w:id="118" w:name="_Toc25984"/>
      <w:r>
        <w:rPr>
          <w:rFonts w:hint="eastAsia"/>
          <w:lang w:val="en-US" w:eastAsia="zh-CN"/>
        </w:rPr>
        <w:t>加强草地资源保护利用</w:t>
      </w:r>
      <w:bookmarkEnd w:id="117"/>
      <w:bookmarkEnd w:id="118"/>
    </w:p>
    <w:p w14:paraId="63EFCF81">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19" w:name="_Toc28879"/>
      <w:r>
        <w:rPr>
          <w:rFonts w:hint="eastAsia" w:ascii="楷体_GB2312" w:eastAsia="楷体_GB2312" w:cs="Times New Roman"/>
          <w:bCs/>
          <w:sz w:val="32"/>
          <w:szCs w:val="32"/>
          <w:lang w:val="en-US" w:eastAsia="zh-CN"/>
        </w:rPr>
        <w:t>从严</w:t>
      </w:r>
      <w:r>
        <w:rPr>
          <w:rFonts w:hint="eastAsia" w:ascii="楷体_GB2312" w:hAnsi="Times New Roman" w:eastAsia="楷体_GB2312" w:cs="Times New Roman"/>
          <w:bCs/>
          <w:sz w:val="32"/>
          <w:szCs w:val="32"/>
          <w:lang w:val="en-US" w:eastAsia="zh-CN"/>
        </w:rPr>
        <w:t>落实基本草原保护制度</w:t>
      </w:r>
      <w:bookmarkEnd w:id="119"/>
    </w:p>
    <w:p w14:paraId="336AB111">
      <w:pPr>
        <w:rPr>
          <w:rFonts w:hint="default" w:ascii="仿宋_GB2312" w:hAnsi="仿宋_GB2312"/>
          <w:sz w:val="32"/>
          <w:szCs w:val="32"/>
          <w:lang w:val="en-US" w:eastAsia="zh-CN"/>
        </w:rPr>
      </w:pPr>
      <w:r>
        <w:rPr>
          <w:rFonts w:hint="default" w:ascii="仿宋_GB2312" w:hAnsi="仿宋_GB2312"/>
          <w:sz w:val="32"/>
          <w:szCs w:val="32"/>
          <w:lang w:val="en-US" w:eastAsia="zh-CN"/>
        </w:rPr>
        <w:t>落实基本草原保护制度，实施更加严格的基本草原保护和管理，确保基本草原面积不减少、质量不下降、用途不改变。加强基本草原保护力度，对基本草原实施严格的禁牧休牧和草畜平衡制度。科学合理利用草原，禁止乱采乱挖草原野生植物和破坏草原植被的其他活动。加强草原监管体系建设，提升执法监督工作水平。到2035年，</w:t>
      </w:r>
      <w:r>
        <w:rPr>
          <w:rFonts w:hint="eastAsia" w:ascii="仿宋_GB2312" w:hAnsi="仿宋_GB2312"/>
          <w:sz w:val="32"/>
          <w:szCs w:val="32"/>
          <w:lang w:val="en-US" w:eastAsia="zh-CN"/>
        </w:rPr>
        <w:t>全镇</w:t>
      </w:r>
      <w:r>
        <w:rPr>
          <w:rFonts w:hint="default" w:ascii="仿宋_GB2312" w:hAnsi="仿宋_GB2312"/>
          <w:sz w:val="32"/>
          <w:szCs w:val="32"/>
          <w:lang w:val="en-US" w:eastAsia="zh-CN"/>
        </w:rPr>
        <w:t>基本草原面积保持在草原面积的80%以上。</w:t>
      </w:r>
    </w:p>
    <w:p w14:paraId="480D1716">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default" w:ascii="楷体_GB2312" w:eastAsia="楷体_GB2312" w:cs="Times New Roman"/>
          <w:bCs/>
          <w:sz w:val="32"/>
          <w:szCs w:val="32"/>
          <w:lang w:val="en-US" w:eastAsia="zh-CN"/>
        </w:rPr>
      </w:pPr>
      <w:bookmarkStart w:id="120" w:name="_Toc3629"/>
      <w:r>
        <w:rPr>
          <w:rFonts w:hint="default" w:ascii="楷体_GB2312" w:eastAsia="楷体_GB2312" w:cs="Times New Roman"/>
          <w:bCs/>
          <w:sz w:val="32"/>
          <w:szCs w:val="32"/>
          <w:lang w:val="en-US" w:eastAsia="zh-CN"/>
        </w:rPr>
        <w:t>合理利用草地资源，保障畜牧业生产空间</w:t>
      </w:r>
      <w:bookmarkEnd w:id="120"/>
    </w:p>
    <w:p w14:paraId="609856E9">
      <w:pPr>
        <w:rPr>
          <w:rFonts w:hint="default" w:ascii="仿宋_GB2312" w:hAnsi="仿宋_GB2312"/>
          <w:sz w:val="32"/>
          <w:szCs w:val="32"/>
          <w:lang w:val="en-US" w:eastAsia="zh-CN"/>
        </w:rPr>
      </w:pPr>
      <w:r>
        <w:rPr>
          <w:rFonts w:hint="default" w:ascii="仿宋_GB2312" w:hAnsi="仿宋_GB2312"/>
          <w:sz w:val="32"/>
          <w:szCs w:val="32"/>
          <w:lang w:val="en-US" w:eastAsia="zh-CN"/>
        </w:rPr>
        <w:t>对牧区生态环境恶劣，退化、沙化、盐渍化严重，不宜放牧，以及位于河源保育区、生态涵养区的草原，继续实施天然草原禁牧补助政策，实行禁牧封育。对禁牧区以外的天然草原根据承载能力核定合理载畜量，继续实施草畜平衡管理，落实奖励政策。采取严格保护、区域准入、用途转用、审批管理和修复提升等手段，加强草原保护、减轻对草原的占用和扰动，恢复草原生态。建立完善草原绩效考核机制，将草原补奖增量资金与草原生态保护责任、效果挂钩，加强对草地资源和生态环境的保护，努力构建生态管护长效机制。</w:t>
      </w:r>
    </w:p>
    <w:p w14:paraId="2A1BEBCC">
      <w:pPr>
        <w:rPr>
          <w:rFonts w:hint="default" w:ascii="仿宋_GB2312" w:hAnsi="仿宋_GB2312"/>
          <w:sz w:val="32"/>
          <w:szCs w:val="32"/>
          <w:lang w:val="en-US" w:eastAsia="zh-CN"/>
        </w:rPr>
      </w:pPr>
      <w:r>
        <w:rPr>
          <w:rFonts w:hint="default" w:ascii="仿宋_GB2312" w:hAnsi="仿宋_GB2312"/>
          <w:sz w:val="32"/>
          <w:szCs w:val="32"/>
          <w:lang w:val="en-US" w:eastAsia="zh-CN"/>
        </w:rPr>
        <w:t>以草定畜、优化控制放牧生态系统，建立稳产、高产的饲草料生产及加工基地，发挥不同生产系统的优势，实现区域水平上不同生产系统的耦合，大力推广草地畜牧业新模式，实现草地资源的可持续利用。通过粮草轮作、农作物秸秆循环利用等方式，挖掘饲草料生产潜力空间。</w:t>
      </w:r>
    </w:p>
    <w:p w14:paraId="1E4F97F8">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default" w:ascii="楷体_GB2312" w:eastAsia="楷体_GB2312" w:cs="Times New Roman"/>
          <w:bCs/>
          <w:sz w:val="32"/>
          <w:szCs w:val="32"/>
          <w:lang w:val="en-US" w:eastAsia="zh-CN"/>
        </w:rPr>
      </w:pPr>
      <w:bookmarkStart w:id="121" w:name="_Toc23632"/>
      <w:r>
        <w:rPr>
          <w:rFonts w:hint="default" w:ascii="楷体_GB2312" w:eastAsia="楷体_GB2312" w:cs="Times New Roman"/>
          <w:bCs/>
          <w:sz w:val="32"/>
          <w:szCs w:val="32"/>
          <w:lang w:val="en-US" w:eastAsia="zh-CN"/>
        </w:rPr>
        <w:t>加强退化草地综合治理</w:t>
      </w:r>
      <w:bookmarkEnd w:id="121"/>
    </w:p>
    <w:p w14:paraId="19FA8BF3">
      <w:pPr>
        <w:rPr>
          <w:rFonts w:hint="default" w:ascii="仿宋_GB2312" w:hAnsi="仿宋_GB2312"/>
          <w:sz w:val="32"/>
          <w:szCs w:val="32"/>
          <w:lang w:val="en-US" w:eastAsia="zh-CN"/>
        </w:rPr>
      </w:pPr>
      <w:r>
        <w:rPr>
          <w:rFonts w:hint="default" w:ascii="仿宋_GB2312" w:hAnsi="仿宋_GB2312"/>
          <w:sz w:val="32"/>
          <w:szCs w:val="32"/>
          <w:lang w:val="en-US" w:eastAsia="zh-CN"/>
        </w:rPr>
        <w:t>根据高寒天然草地退化演替阶段和生态环境的不同，采用封育、松耙补播、施肥、防除毒杂草和鼠害防治等技术措施，以快速恢复退化的草地植被和提高初级生产力。通过实施沙化草地综合治理，废弃定居点治理和修复，退化草场补播改良等项目，促进退化草原植被恢复，全面提升草原生态系统功能。到2035年，</w:t>
      </w:r>
      <w:r>
        <w:rPr>
          <w:rFonts w:hint="eastAsia" w:ascii="仿宋_GB2312" w:hAnsi="仿宋_GB2312"/>
          <w:sz w:val="32"/>
          <w:szCs w:val="32"/>
          <w:lang w:val="en-US" w:eastAsia="zh-CN"/>
        </w:rPr>
        <w:t>全镇</w:t>
      </w:r>
      <w:r>
        <w:rPr>
          <w:rFonts w:hint="default" w:ascii="仿宋_GB2312" w:hAnsi="仿宋_GB2312"/>
          <w:sz w:val="32"/>
          <w:szCs w:val="32"/>
          <w:lang w:val="en-US" w:eastAsia="zh-CN"/>
        </w:rPr>
        <w:t>退化草原得到有效治理和修复，草原生态环境持续向好，综合服务功能显著提升，草原综合植被盖度不低于56.03%。</w:t>
      </w:r>
    </w:p>
    <w:p w14:paraId="0E15DFA4">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default" w:ascii="楷体_GB2312" w:eastAsia="楷体_GB2312" w:cs="Times New Roman"/>
          <w:bCs/>
          <w:sz w:val="32"/>
          <w:szCs w:val="32"/>
          <w:lang w:val="en-US" w:eastAsia="zh-CN"/>
        </w:rPr>
      </w:pPr>
      <w:bookmarkStart w:id="122" w:name="_Toc17121"/>
      <w:r>
        <w:rPr>
          <w:rFonts w:hint="default" w:ascii="楷体_GB2312" w:eastAsia="楷体_GB2312" w:cs="Times New Roman"/>
          <w:bCs/>
          <w:sz w:val="32"/>
          <w:szCs w:val="32"/>
          <w:lang w:val="en-US" w:eastAsia="zh-CN"/>
        </w:rPr>
        <w:t>严格落实草畜平衡制度</w:t>
      </w:r>
      <w:bookmarkEnd w:id="122"/>
    </w:p>
    <w:p w14:paraId="17BB12CC">
      <w:pPr>
        <w:rPr>
          <w:rFonts w:hint="default" w:ascii="仿宋_GB2312" w:hAnsi="仿宋_GB2312"/>
          <w:sz w:val="32"/>
          <w:szCs w:val="32"/>
          <w:lang w:val="en-US" w:eastAsia="zh-CN"/>
        </w:rPr>
      </w:pPr>
      <w:r>
        <w:rPr>
          <w:rFonts w:hint="default" w:ascii="仿宋_GB2312" w:hAnsi="仿宋_GB2312"/>
          <w:sz w:val="32"/>
          <w:szCs w:val="32"/>
          <w:lang w:val="en-US" w:eastAsia="zh-CN"/>
        </w:rPr>
        <w:t>进一步建立健全草原生态保护</w:t>
      </w:r>
      <w:r>
        <w:rPr>
          <w:rFonts w:hint="eastAsia" w:ascii="仿宋_GB2312" w:hAnsi="仿宋_GB2312"/>
          <w:sz w:val="32"/>
          <w:szCs w:val="32"/>
          <w:lang w:val="en-US" w:eastAsia="zh-CN"/>
        </w:rPr>
        <w:t>奖补</w:t>
      </w:r>
      <w:r>
        <w:rPr>
          <w:rFonts w:hint="default" w:ascii="仿宋_GB2312" w:hAnsi="仿宋_GB2312"/>
          <w:sz w:val="32"/>
          <w:szCs w:val="32"/>
          <w:lang w:val="en-US" w:eastAsia="zh-CN"/>
        </w:rPr>
        <w:t>资金与禁牧减畜、草畜平衡管理挂钩的有效机制。加大草种基地建设，转变传统草原畜牧业生产方式，全力实行以草定畜、草畜平衡和休牧、轮牧、禁牧制度，减轻天然草原放牧压力，促进草原生态稳定。实施禁牧补助、休牧奖励面积和标准动态调整机制，减轻天然草原放牧压力，实现草畜平衡。优化牧区、农牧结合区和农区资源配置，推行“舍饲圈养、种养结合、农牧互补、牧繁农育”等循环生产模式。高效利用土地种植人工饲草，提升饲草料供给能力。支持暖棚、饲草基地、贮草棚等基础设施建设，引导草场合理放牧和鼓励</w:t>
      </w:r>
      <w:r>
        <w:rPr>
          <w:rFonts w:hint="eastAsia" w:ascii="仿宋_GB2312" w:hAnsi="仿宋_GB2312"/>
          <w:sz w:val="32"/>
          <w:szCs w:val="32"/>
          <w:lang w:val="en-US" w:eastAsia="zh-CN"/>
        </w:rPr>
        <w:t>饲</w:t>
      </w:r>
      <w:r>
        <w:rPr>
          <w:rFonts w:hint="default" w:ascii="仿宋_GB2312" w:hAnsi="仿宋_GB2312"/>
          <w:sz w:val="32"/>
          <w:szCs w:val="32"/>
          <w:lang w:val="en-US" w:eastAsia="zh-CN"/>
        </w:rPr>
        <w:t>畜结合。</w:t>
      </w:r>
    </w:p>
    <w:p w14:paraId="4DF3543B">
      <w:pPr>
        <w:pStyle w:val="3"/>
        <w:numPr>
          <w:ilvl w:val="0"/>
          <w:numId w:val="12"/>
        </w:numPr>
        <w:rPr>
          <w:rFonts w:hint="eastAsia"/>
          <w:lang w:val="zh-CN" w:eastAsia="zh-CN"/>
        </w:rPr>
      </w:pPr>
      <w:bookmarkStart w:id="123" w:name="_Toc26302"/>
      <w:bookmarkStart w:id="124" w:name="_Toc23106"/>
      <w:r>
        <w:rPr>
          <w:rFonts w:hint="eastAsia"/>
          <w:lang w:val="zh-CN" w:eastAsia="zh-CN"/>
        </w:rPr>
        <w:t>有序实施</w:t>
      </w:r>
      <w:r>
        <w:rPr>
          <w:rFonts w:hint="eastAsia"/>
          <w:lang w:val="en-US" w:eastAsia="zh-CN"/>
        </w:rPr>
        <w:t>农用地</w:t>
      </w:r>
      <w:r>
        <w:rPr>
          <w:rFonts w:hint="eastAsia"/>
          <w:lang w:val="zh-CN" w:eastAsia="zh-CN"/>
        </w:rPr>
        <w:t>综合整治</w:t>
      </w:r>
      <w:bookmarkEnd w:id="123"/>
      <w:bookmarkEnd w:id="124"/>
    </w:p>
    <w:p w14:paraId="697FAFBF">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统筹推进农用地综合整治</w:t>
      </w:r>
    </w:p>
    <w:p w14:paraId="1AE1B31E">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t>突出耕地“三位一体”保护，适应发展现代农业和适度规模经营的需要，统筹推进低效林草地整理、农田基础设施建设、现有耕地提质改造等，增加耕地数量，提高耕地质量，改善农田生态。推进高标准农田建设，实施耕地质量提升行动，加强土地整理、灌</w:t>
      </w:r>
      <w:r>
        <w:rPr>
          <w:rFonts w:hint="eastAsia" w:ascii="仿宋_GB2312" w:hAnsi="仿宋_GB2312" w:cs="仿宋_GB2312"/>
          <w:kern w:val="2"/>
          <w:sz w:val="32"/>
          <w:szCs w:val="22"/>
          <w:lang w:val="en-US" w:eastAsia="zh-CN" w:bidi="ar-SA"/>
        </w:rPr>
        <w:t>排</w:t>
      </w:r>
      <w:r>
        <w:rPr>
          <w:rFonts w:hint="eastAsia" w:ascii="仿宋_GB2312" w:hAnsi="仿宋_GB2312" w:eastAsia="仿宋_GB2312" w:cs="仿宋_GB2312"/>
          <w:kern w:val="2"/>
          <w:sz w:val="32"/>
          <w:szCs w:val="22"/>
          <w:lang w:val="en-US" w:eastAsia="zh-CN" w:bidi="ar-SA"/>
        </w:rPr>
        <w:t>水、田间道路、农田防护林建设，提高高标准农田比重。加大中低产田改造力度，实施耕地修复工程和土壤治理项目，积极开展土壤有机质提升。开展全域综合整治，推进黑马河、大喇叭河等河道治理工程、农田水利配套及整治工程等重点工程建设，提高农田水利配套。适度开发耕地后备资源，建设高原生态良田。</w:t>
      </w:r>
    </w:p>
    <w:p w14:paraId="3F08BD4D">
      <w:pPr>
        <w:rPr>
          <w:rFonts w:hint="eastAsia"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br w:type="page"/>
      </w:r>
    </w:p>
    <w:p w14:paraId="2CB66C6A">
      <w:pPr>
        <w:pStyle w:val="2"/>
        <w:ind w:left="-140"/>
        <w:rPr>
          <w:rFonts w:hint="eastAsia" w:ascii="方正小标宋简体" w:hAnsi="方正小标宋简体" w:eastAsia="方正小标宋简体" w:cs="方正小标宋简体"/>
          <w:b w:val="0"/>
          <w:bCs w:val="0"/>
          <w:lang w:val="en-US" w:eastAsia="zh-CN"/>
        </w:rPr>
      </w:pPr>
      <w:bookmarkStart w:id="125" w:name="_Toc30854"/>
      <w:bookmarkStart w:id="126" w:name="_Toc27276"/>
      <w:r>
        <w:rPr>
          <w:rFonts w:hint="eastAsia" w:ascii="方正小标宋简体" w:hAnsi="方正小标宋简体" w:eastAsia="方正小标宋简体" w:cs="方正小标宋简体"/>
          <w:b w:val="0"/>
          <w:bCs w:val="0"/>
          <w:lang w:val="en-US" w:eastAsia="zh-CN"/>
        </w:rPr>
        <w:t>优化建设空间，推进以人为本的新型城镇化</w:t>
      </w:r>
      <w:bookmarkEnd w:id="125"/>
      <w:bookmarkEnd w:id="126"/>
    </w:p>
    <w:p w14:paraId="1193DD67">
      <w:pPr>
        <w:pStyle w:val="3"/>
        <w:numPr>
          <w:ilvl w:val="0"/>
          <w:numId w:val="13"/>
        </w:numPr>
        <w:rPr>
          <w:rFonts w:hint="eastAsia"/>
        </w:rPr>
      </w:pPr>
      <w:bookmarkStart w:id="127" w:name="_Toc11759"/>
      <w:bookmarkStart w:id="128" w:name="_Toc3972"/>
      <w:r>
        <w:rPr>
          <w:rFonts w:hint="eastAsia"/>
        </w:rPr>
        <w:t>促进建设空间“紧凑集聚”</w:t>
      </w:r>
      <w:bookmarkEnd w:id="127"/>
      <w:bookmarkEnd w:id="128"/>
    </w:p>
    <w:p w14:paraId="6D25E8F6">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29" w:name="_Toc15375"/>
      <w:r>
        <w:rPr>
          <w:rFonts w:hint="eastAsia" w:ascii="楷体_GB2312" w:hAnsi="Times New Roman" w:eastAsia="楷体_GB2312" w:cs="Times New Roman"/>
          <w:bCs/>
          <w:sz w:val="32"/>
          <w:szCs w:val="32"/>
          <w:lang w:val="en-US" w:eastAsia="zh-CN"/>
        </w:rPr>
        <w:t>统筹划定建设空间</w:t>
      </w:r>
      <w:bookmarkEnd w:id="129"/>
    </w:p>
    <w:p w14:paraId="3F8237D1">
      <w:pPr>
        <w:rPr>
          <w:rFonts w:hint="eastAsia" w:ascii="仿宋_GB2312" w:hAnsi="仿宋_GB2312" w:eastAsia="仿宋_GB2312" w:cs="仿宋_GB2312"/>
          <w:bCs/>
        </w:rPr>
      </w:pPr>
      <w:r>
        <w:rPr>
          <w:rFonts w:hint="eastAsia" w:ascii="仿宋_GB2312" w:hAnsi="仿宋_GB2312" w:eastAsia="仿宋_GB2312" w:cs="仿宋_GB2312"/>
          <w:bCs/>
        </w:rPr>
        <w:t>集中布局承载城乡生产、生活、生态功能的镇村空间，面积约5.</w:t>
      </w:r>
      <w:r>
        <w:rPr>
          <w:rFonts w:hint="eastAsia" w:ascii="仿宋_GB2312" w:hAnsi="仿宋_GB2312" w:eastAsia="仿宋_GB2312" w:cs="仿宋_GB2312"/>
          <w:bCs/>
          <w:lang w:val="en-US" w:eastAsia="zh-CN"/>
        </w:rPr>
        <w:t>2</w:t>
      </w:r>
      <w:r>
        <w:rPr>
          <w:rFonts w:hint="eastAsia" w:ascii="仿宋_GB2312" w:hAnsi="仿宋_GB2312" w:cs="仿宋_GB2312"/>
          <w:bCs/>
          <w:lang w:val="en-US" w:eastAsia="zh-CN"/>
        </w:rPr>
        <w:t>9</w:t>
      </w:r>
      <w:r>
        <w:rPr>
          <w:rFonts w:hint="eastAsia" w:ascii="仿宋_GB2312" w:hAnsi="仿宋_GB2312" w:eastAsia="仿宋_GB2312" w:cs="仿宋_GB2312"/>
          <w:bCs/>
        </w:rPr>
        <w:t>平方千米。统筹城乡发展，优化城乡功能布局，严格管控建设用地供给与空间配置，提高土地利用效率，增强城镇基础设施、公共服务设施和资源环境承载能力，引导人口和产业集聚发展。</w:t>
      </w:r>
    </w:p>
    <w:p w14:paraId="4A3146EE">
      <w:pPr>
        <w:pStyle w:val="3"/>
        <w:numPr>
          <w:ilvl w:val="0"/>
          <w:numId w:val="2"/>
        </w:numPr>
      </w:pPr>
      <w:bookmarkStart w:id="130" w:name="_Toc1841"/>
      <w:bookmarkStart w:id="131" w:name="_Toc3705"/>
      <w:r>
        <w:rPr>
          <w:rFonts w:hint="eastAsia"/>
          <w:lang w:val="en-US" w:eastAsia="zh-CN"/>
        </w:rPr>
        <w:t>优化</w:t>
      </w:r>
      <w:r>
        <w:rPr>
          <w:rFonts w:hint="eastAsia"/>
        </w:rPr>
        <w:t>镇村</w:t>
      </w:r>
      <w:r>
        <w:rPr>
          <w:rFonts w:hint="eastAsia"/>
          <w:lang w:val="en-US" w:eastAsia="zh-CN"/>
        </w:rPr>
        <w:t>空间</w:t>
      </w:r>
      <w:r>
        <w:rPr>
          <w:rFonts w:hint="eastAsia"/>
        </w:rPr>
        <w:t>体系</w:t>
      </w:r>
      <w:bookmarkEnd w:id="130"/>
      <w:bookmarkEnd w:id="131"/>
    </w:p>
    <w:p w14:paraId="03BD4C5E">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32" w:name="_Toc31101"/>
      <w:bookmarkStart w:id="133" w:name="_Toc13668"/>
      <w:r>
        <w:rPr>
          <w:rFonts w:hint="eastAsia" w:ascii="楷体_GB2312" w:hAnsi="Times New Roman" w:eastAsia="楷体_GB2312" w:cs="Times New Roman"/>
          <w:bCs/>
          <w:sz w:val="32"/>
          <w:szCs w:val="32"/>
          <w:lang w:val="en-US" w:eastAsia="zh-CN"/>
        </w:rPr>
        <w:t>明确镇村等级规模</w:t>
      </w:r>
      <w:bookmarkEnd w:id="132"/>
      <w:bookmarkEnd w:id="133"/>
    </w:p>
    <w:p w14:paraId="63AD919F">
      <w:pPr>
        <w:ind w:firstLine="560"/>
        <w:rPr>
          <w:rFonts w:hint="eastAsia" w:ascii="仿宋_GB2312" w:hAnsi="仿宋_GB2312" w:eastAsia="仿宋_GB2312" w:cs="仿宋_GB2312"/>
        </w:rPr>
      </w:pPr>
      <w:r>
        <w:rPr>
          <w:rFonts w:hint="eastAsia" w:ascii="楷体_GB2312" w:hAnsi="楷体_GB2312" w:eastAsia="楷体_GB2312" w:cs="楷体_GB2312"/>
        </w:rPr>
        <w:t>引导三级规模</w:t>
      </w:r>
      <w:r>
        <w:rPr>
          <w:rFonts w:hint="eastAsia" w:ascii="楷体_GB2312" w:hAnsi="楷体_GB2312" w:eastAsia="楷体_GB2312" w:cs="楷体_GB2312"/>
          <w:lang w:val="en-US" w:eastAsia="zh-CN"/>
        </w:rPr>
        <w:t>镇村</w:t>
      </w:r>
      <w:r>
        <w:rPr>
          <w:rFonts w:hint="eastAsia" w:ascii="楷体_GB2312" w:hAnsi="楷体_GB2312" w:eastAsia="楷体_GB2312" w:cs="楷体_GB2312"/>
        </w:rPr>
        <w:t>协调发展。</w:t>
      </w:r>
      <w:r>
        <w:rPr>
          <w:rFonts w:hint="eastAsia" w:ascii="仿宋_GB2312" w:hAnsi="仿宋_GB2312" w:eastAsia="仿宋_GB2312" w:cs="仿宋_GB2312"/>
        </w:rPr>
        <w:t>规划形成镇区、中心村、基层村3个规模等级</w:t>
      </w:r>
      <w:r>
        <w:rPr>
          <w:rFonts w:hint="eastAsia" w:ascii="仿宋_GB2312" w:hAnsi="仿宋_GB2312" w:cs="仿宋_GB2312"/>
          <w:lang w:eastAsia="zh-CN"/>
        </w:rPr>
        <w:t>，</w:t>
      </w:r>
      <w:r>
        <w:rPr>
          <w:rFonts w:hint="eastAsia" w:ascii="仿宋_GB2312" w:hAnsi="仿宋_GB2312" w:eastAsia="仿宋_GB2312" w:cs="仿宋_GB2312"/>
        </w:rPr>
        <w:t>推动</w:t>
      </w:r>
      <w:r>
        <w:rPr>
          <w:rFonts w:hint="eastAsia" w:ascii="仿宋_GB2312" w:hAnsi="仿宋_GB2312" w:cs="仿宋_GB2312"/>
          <w:lang w:eastAsia="zh-CN"/>
        </w:rPr>
        <w:t>镇</w:t>
      </w:r>
      <w:r>
        <w:rPr>
          <w:rFonts w:hint="eastAsia" w:ascii="仿宋_GB2312" w:hAnsi="仿宋_GB2312" w:eastAsia="仿宋_GB2312" w:cs="仿宋_GB2312"/>
        </w:rPr>
        <w:t>域人口向</w:t>
      </w:r>
      <w:r>
        <w:rPr>
          <w:rFonts w:hint="eastAsia" w:ascii="仿宋_GB2312" w:hAnsi="仿宋_GB2312" w:cs="仿宋_GB2312"/>
          <w:lang w:val="en-US" w:eastAsia="zh-CN"/>
        </w:rPr>
        <w:t>镇区</w:t>
      </w:r>
      <w:r>
        <w:rPr>
          <w:rFonts w:hint="eastAsia" w:ascii="仿宋_GB2312" w:hAnsi="仿宋_GB2312" w:eastAsia="仿宋_GB2312" w:cs="仿宋_GB2312"/>
        </w:rPr>
        <w:t>集中。镇区，指黑马河镇区，包括加隆村</w:t>
      </w:r>
      <w:r>
        <w:rPr>
          <w:rFonts w:hint="eastAsia" w:ascii="仿宋_GB2312" w:hAnsi="仿宋_GB2312" w:cs="仿宋_GB2312"/>
          <w:lang w:eastAsia="zh-CN"/>
        </w:rPr>
        <w:t>，</w:t>
      </w:r>
      <w:r>
        <w:rPr>
          <w:rFonts w:hint="eastAsia" w:ascii="仿宋_GB2312" w:hAnsi="仿宋_GB2312" w:cs="仿宋_GB2312"/>
          <w:lang w:val="en-US" w:eastAsia="zh-CN"/>
        </w:rPr>
        <w:t>户籍</w:t>
      </w:r>
      <w:r>
        <w:rPr>
          <w:rFonts w:hint="eastAsia" w:ascii="仿宋_GB2312" w:hAnsi="仿宋_GB2312" w:eastAsia="仿宋_GB2312" w:cs="仿宋_GB2312"/>
        </w:rPr>
        <w:t>人口规模约</w:t>
      </w:r>
      <w:r>
        <w:rPr>
          <w:rFonts w:hint="eastAsia" w:ascii="仿宋_GB2312" w:hAnsi="仿宋_GB2312" w:cs="仿宋_GB2312"/>
          <w:lang w:val="en-US" w:eastAsia="zh-CN"/>
        </w:rPr>
        <w:t>0.19万</w:t>
      </w:r>
      <w:r>
        <w:rPr>
          <w:rFonts w:hint="eastAsia" w:ascii="仿宋_GB2312" w:hAnsi="仿宋_GB2312" w:eastAsia="仿宋_GB2312" w:cs="仿宋_GB2312"/>
        </w:rPr>
        <w:t>人，</w:t>
      </w:r>
      <w:r>
        <w:rPr>
          <w:rFonts w:hint="eastAsia" w:ascii="仿宋_GB2312" w:hAnsi="仿宋_GB2312" w:cs="仿宋_GB2312"/>
          <w:lang w:val="en-US" w:eastAsia="zh-CN"/>
        </w:rPr>
        <w:t>常住人口规模约0.42万人</w:t>
      </w:r>
      <w:r>
        <w:rPr>
          <w:rFonts w:hint="eastAsia" w:ascii="仿宋_GB2312" w:hAnsi="仿宋_GB2312" w:cs="仿宋_GB2312"/>
          <w:lang w:eastAsia="zh-CN"/>
        </w:rPr>
        <w:t>；</w:t>
      </w:r>
      <w:r>
        <w:rPr>
          <w:rFonts w:hint="eastAsia" w:ascii="仿宋_GB2312" w:hAnsi="仿宋_GB2312" w:eastAsia="仿宋_GB2312" w:cs="仿宋_GB2312"/>
        </w:rPr>
        <w:t>中心村1个，即文巴村，规划</w:t>
      </w:r>
      <w:r>
        <w:rPr>
          <w:rFonts w:hint="eastAsia" w:ascii="仿宋_GB2312" w:hAnsi="仿宋_GB2312" w:cs="仿宋_GB2312"/>
          <w:lang w:val="en-US" w:eastAsia="zh-CN"/>
        </w:rPr>
        <w:t>常住</w:t>
      </w:r>
      <w:r>
        <w:rPr>
          <w:rFonts w:hint="eastAsia" w:ascii="仿宋_GB2312" w:hAnsi="仿宋_GB2312" w:eastAsia="仿宋_GB2312" w:cs="仿宋_GB2312"/>
        </w:rPr>
        <w:t>人口规模0.2万人。</w:t>
      </w:r>
      <w:r>
        <w:rPr>
          <w:rFonts w:hint="eastAsia" w:ascii="仿宋_GB2312" w:hAnsi="仿宋_GB2312" w:cs="仿宋_GB2312"/>
          <w:lang w:val="en-US" w:eastAsia="zh-CN"/>
        </w:rPr>
        <w:t>基层</w:t>
      </w:r>
      <w:r>
        <w:rPr>
          <w:rFonts w:hint="eastAsia" w:ascii="仿宋_GB2312" w:hAnsi="仿宋_GB2312" w:eastAsia="仿宋_GB2312" w:cs="仿宋_GB2312"/>
        </w:rPr>
        <w:t>村</w:t>
      </w:r>
      <w:r>
        <w:rPr>
          <w:rFonts w:hint="eastAsia" w:ascii="仿宋_GB2312" w:hAnsi="仿宋_GB2312" w:cs="仿宋_GB2312"/>
          <w:lang w:val="en-US" w:eastAsia="zh-CN"/>
        </w:rPr>
        <w:t>2</w:t>
      </w:r>
      <w:r>
        <w:rPr>
          <w:rFonts w:hint="eastAsia" w:ascii="仿宋_GB2312" w:hAnsi="仿宋_GB2312" w:eastAsia="仿宋_GB2312" w:cs="仿宋_GB2312"/>
        </w:rPr>
        <w:t>个，即正却乎村</w:t>
      </w:r>
      <w:r>
        <w:rPr>
          <w:rFonts w:hint="eastAsia" w:ascii="仿宋_GB2312" w:hAnsi="仿宋_GB2312" w:cs="仿宋_GB2312"/>
          <w:lang w:eastAsia="zh-CN"/>
        </w:rPr>
        <w:t>、</w:t>
      </w:r>
      <w:r>
        <w:rPr>
          <w:rFonts w:hint="eastAsia" w:ascii="仿宋_GB2312" w:hAnsi="仿宋_GB2312" w:cs="仿宋_GB2312"/>
          <w:lang w:val="en-US" w:eastAsia="zh-CN"/>
        </w:rPr>
        <w:t>然却乎村</w:t>
      </w:r>
      <w:r>
        <w:rPr>
          <w:rFonts w:hint="eastAsia" w:ascii="仿宋_GB2312" w:hAnsi="仿宋_GB2312" w:eastAsia="仿宋_GB2312" w:cs="仿宋_GB2312"/>
        </w:rPr>
        <w:t>，规划</w:t>
      </w:r>
      <w:r>
        <w:rPr>
          <w:rFonts w:hint="eastAsia" w:ascii="仿宋_GB2312" w:hAnsi="仿宋_GB2312" w:cs="仿宋_GB2312"/>
          <w:lang w:val="en-US" w:eastAsia="zh-CN"/>
        </w:rPr>
        <w:t>常住</w:t>
      </w:r>
      <w:r>
        <w:rPr>
          <w:rFonts w:hint="eastAsia" w:ascii="仿宋_GB2312" w:hAnsi="仿宋_GB2312" w:eastAsia="仿宋_GB2312" w:cs="仿宋_GB2312"/>
        </w:rPr>
        <w:t>人口规模0.19万人。</w:t>
      </w:r>
    </w:p>
    <w:p w14:paraId="7083702D">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34" w:name="_Toc32094"/>
      <w:bookmarkStart w:id="135" w:name="_Toc5831"/>
      <w:r>
        <w:rPr>
          <w:rFonts w:hint="eastAsia" w:ascii="楷体_GB2312" w:hAnsi="Times New Roman" w:eastAsia="楷体_GB2312" w:cs="Times New Roman"/>
          <w:bCs/>
          <w:sz w:val="32"/>
          <w:szCs w:val="32"/>
          <w:lang w:val="en-US" w:eastAsia="zh-CN"/>
        </w:rPr>
        <w:t>提升镇村职能</w:t>
      </w:r>
      <w:bookmarkEnd w:id="134"/>
      <w:r>
        <w:rPr>
          <w:rFonts w:hint="eastAsia" w:ascii="楷体_GB2312" w:hAnsi="Times New Roman" w:eastAsia="楷体_GB2312" w:cs="Times New Roman"/>
          <w:bCs/>
          <w:sz w:val="32"/>
          <w:szCs w:val="32"/>
          <w:lang w:val="en-US" w:eastAsia="zh-CN"/>
        </w:rPr>
        <w:t>定位</w:t>
      </w:r>
      <w:bookmarkEnd w:id="135"/>
    </w:p>
    <w:p w14:paraId="17391A4B">
      <w:pPr>
        <w:ind w:firstLine="560"/>
        <w:rPr>
          <w:rFonts w:hint="eastAsia" w:ascii="仿宋_GB2312" w:hAnsi="仿宋_GB2312" w:eastAsia="仿宋_GB2312" w:cs="仿宋_GB2312"/>
        </w:rPr>
      </w:pPr>
      <w:r>
        <w:rPr>
          <w:rFonts w:hint="eastAsia" w:ascii="仿宋_GB2312" w:hAnsi="仿宋_GB2312" w:eastAsia="仿宋_GB2312" w:cs="仿宋_GB2312"/>
        </w:rPr>
        <w:t>黑马河镇为</w:t>
      </w:r>
      <w:r>
        <w:rPr>
          <w:rFonts w:hint="eastAsia" w:ascii="仿宋_GB2312" w:hAnsi="仿宋_GB2312" w:cs="仿宋_GB2312"/>
          <w:lang w:val="en-US" w:eastAsia="zh-CN"/>
        </w:rPr>
        <w:t>县域一般镇，职能定位为</w:t>
      </w:r>
      <w:r>
        <w:rPr>
          <w:rFonts w:hint="eastAsia" w:ascii="仿宋_GB2312" w:hAnsi="仿宋_GB2312" w:eastAsia="仿宋_GB2312" w:cs="仿宋_GB2312"/>
        </w:rPr>
        <w:t>旅游型城镇，在保障环湖生态保护相关要求前提下，以生态价值转换为引领，重点发展“文化+</w:t>
      </w:r>
      <w:r>
        <w:rPr>
          <w:rFonts w:hint="eastAsia" w:ascii="仿宋_GB2312" w:hAnsi="仿宋_GB2312" w:cs="仿宋_GB2312"/>
          <w:lang w:eastAsia="zh-CN"/>
        </w:rPr>
        <w:t>”“</w:t>
      </w:r>
      <w:r>
        <w:rPr>
          <w:rFonts w:hint="eastAsia" w:ascii="仿宋_GB2312" w:hAnsi="仿宋_GB2312" w:eastAsia="仿宋_GB2312" w:cs="仿宋_GB2312"/>
        </w:rPr>
        <w:t>旅游+”产业，促进文旅融合，城景联动。</w:t>
      </w:r>
    </w:p>
    <w:p w14:paraId="10D5DCE6">
      <w:pPr>
        <w:ind w:firstLine="560"/>
        <w:rPr>
          <w:rFonts w:hint="eastAsia" w:ascii="仿宋_GB2312" w:hAnsi="仿宋_GB2312" w:eastAsia="仿宋_GB2312" w:cs="仿宋_GB2312"/>
        </w:rPr>
      </w:pPr>
      <w:r>
        <w:rPr>
          <w:rFonts w:hint="eastAsia" w:ascii="仿宋_GB2312" w:hAnsi="仿宋_GB2312" w:eastAsia="仿宋_GB2312" w:cs="仿宋_GB2312"/>
        </w:rPr>
        <w:t>镇区是全镇的政治、经济、文化中心，服务全镇，主要承载综合旅游服务职能；中心村有较好的基础设施和公共服务设施建设，主要承载发展种植、畜牧和农副产品加工业与旅游服务职能；</w:t>
      </w:r>
      <w:r>
        <w:rPr>
          <w:rFonts w:hint="eastAsia" w:ascii="仿宋_GB2312" w:hAnsi="仿宋_GB2312" w:cs="仿宋_GB2312"/>
          <w:lang w:val="en-US" w:eastAsia="zh-CN"/>
        </w:rPr>
        <w:t>基层村</w:t>
      </w:r>
      <w:r>
        <w:rPr>
          <w:rFonts w:hint="eastAsia" w:ascii="仿宋_GB2312" w:hAnsi="仿宋_GB2312" w:eastAsia="仿宋_GB2312" w:cs="仿宋_GB2312"/>
        </w:rPr>
        <w:t>主要承载畜牧业与旅游服务职能。</w:t>
      </w:r>
    </w:p>
    <w:p w14:paraId="4F117A6C">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强化村庄分类引导</w:t>
      </w:r>
    </w:p>
    <w:p w14:paraId="2330B65C">
      <w:pPr>
        <w:ind w:firstLine="560"/>
        <w:rPr>
          <w:rFonts w:hint="eastAsia" w:ascii="仿宋_GB2312" w:hAnsi="仿宋_GB2312" w:eastAsia="仿宋_GB2312" w:cs="仿宋_GB2312"/>
          <w:lang w:val="en-US" w:eastAsia="zh-CN"/>
        </w:rPr>
      </w:pPr>
      <w:r>
        <w:rPr>
          <w:rFonts w:hint="eastAsia" w:ascii="楷体_GB2312" w:hAnsi="楷体_GB2312" w:eastAsia="楷体_GB2312" w:cs="楷体_GB2312"/>
          <w:lang w:val="en-US" w:eastAsia="zh-CN"/>
        </w:rPr>
        <w:t>分类引导、有序推进乡村振兴发展。</w:t>
      </w:r>
      <w:r>
        <w:rPr>
          <w:rFonts w:hint="eastAsia" w:ascii="仿宋_GB2312" w:hAnsi="仿宋_GB2312" w:eastAsia="仿宋_GB2312" w:cs="仿宋_GB2312"/>
          <w:lang w:val="en-US" w:eastAsia="zh-CN"/>
        </w:rPr>
        <w:t>充分尊重、顺应乡村发展规律和演变趋势，根据村庄经济社会发展条件、建设现状、区位条件、资源禀赋等因素，将全镇的</w:t>
      </w:r>
      <w:r>
        <w:rPr>
          <w:rFonts w:hint="eastAsia" w:ascii="仿宋_GB2312" w:hAnsi="仿宋_GB2312" w:cs="仿宋_GB2312"/>
          <w:lang w:val="en-US" w:eastAsia="zh-CN"/>
        </w:rPr>
        <w:t>4</w:t>
      </w:r>
      <w:r>
        <w:rPr>
          <w:rFonts w:hint="eastAsia" w:ascii="仿宋_GB2312" w:hAnsi="仿宋_GB2312" w:eastAsia="仿宋_GB2312" w:cs="仿宋_GB2312"/>
          <w:lang w:val="en-US" w:eastAsia="zh-CN"/>
        </w:rPr>
        <w:t>个行政村按照集聚提升类、城郊融合类、稳定发展类3种类型，突出重点、分类施策、梯次推进，有序实现乡村振兴。</w:t>
      </w:r>
    </w:p>
    <w:p w14:paraId="1846BA43">
      <w:pPr>
        <w:ind w:firstLine="560"/>
        <w:rPr>
          <w:rFonts w:hint="eastAsia" w:ascii="仿宋_GB2312" w:hAnsi="仿宋_GB2312" w:eastAsia="仿宋_GB2312" w:cs="仿宋_GB2312"/>
        </w:rPr>
      </w:pPr>
      <w:r>
        <w:rPr>
          <w:rFonts w:hint="eastAsia" w:ascii="仿宋_GB2312" w:hAnsi="仿宋_GB2312" w:eastAsia="仿宋_GB2312" w:cs="仿宋_GB2312"/>
        </w:rPr>
        <w:t>城郊融合类村庄</w:t>
      </w:r>
      <w:r>
        <w:rPr>
          <w:rFonts w:hint="eastAsia" w:ascii="仿宋_GB2312" w:hAnsi="仿宋_GB2312" w:cs="仿宋_GB2312"/>
          <w:lang w:eastAsia="zh-CN"/>
        </w:rPr>
        <w:t>：</w:t>
      </w:r>
      <w:r>
        <w:rPr>
          <w:rFonts w:hint="eastAsia" w:ascii="仿宋_GB2312" w:hAnsi="仿宋_GB2312" w:cs="仿宋_GB2312"/>
          <w:lang w:val="en-US" w:eastAsia="zh-CN"/>
        </w:rPr>
        <w:t>加隆村；</w:t>
      </w:r>
      <w:r>
        <w:rPr>
          <w:rFonts w:hint="eastAsia" w:ascii="仿宋_GB2312" w:hAnsi="仿宋_GB2312" w:eastAsia="仿宋_GB2312" w:cs="仿宋_GB2312"/>
        </w:rPr>
        <w:t>集聚提升类村庄</w:t>
      </w:r>
      <w:r>
        <w:rPr>
          <w:rFonts w:hint="eastAsia" w:ascii="仿宋_GB2312" w:hAnsi="仿宋_GB2312" w:cs="仿宋_GB2312"/>
          <w:lang w:eastAsia="zh-CN"/>
        </w:rPr>
        <w:t>：</w:t>
      </w:r>
      <w:r>
        <w:rPr>
          <w:rFonts w:hint="eastAsia" w:ascii="仿宋_GB2312" w:hAnsi="仿宋_GB2312" w:cs="仿宋_GB2312"/>
          <w:lang w:val="en-US" w:eastAsia="zh-CN"/>
        </w:rPr>
        <w:t>文巴村；稳定发展类村庄：然却乎村、正去乎村</w:t>
      </w:r>
      <w:r>
        <w:rPr>
          <w:rFonts w:hint="eastAsia" w:ascii="仿宋_GB2312" w:hAnsi="仿宋_GB2312" w:eastAsia="仿宋_GB2312" w:cs="仿宋_GB2312"/>
        </w:rPr>
        <w:t>。</w:t>
      </w:r>
    </w:p>
    <w:p w14:paraId="4B95B78E">
      <w:pPr>
        <w:pStyle w:val="3"/>
        <w:numPr>
          <w:ilvl w:val="0"/>
          <w:numId w:val="2"/>
        </w:numPr>
        <w:rPr>
          <w:rFonts w:hint="eastAsia"/>
          <w:lang w:val="en-US" w:eastAsia="zh-CN"/>
        </w:rPr>
      </w:pPr>
      <w:bookmarkStart w:id="136" w:name="_Toc20638"/>
      <w:bookmarkStart w:id="137" w:name="_Toc2812"/>
      <w:r>
        <w:rPr>
          <w:rFonts w:hint="eastAsia" w:ascii="Arial" w:hAnsi="Arial" w:eastAsia="黑体" w:cs="Times New Roman"/>
          <w:b w:val="0"/>
          <w:lang w:val="zh-CN"/>
        </w:rPr>
        <w:t>统筹优化乡村空间布局</w:t>
      </w:r>
      <w:bookmarkEnd w:id="136"/>
      <w:bookmarkEnd w:id="137"/>
    </w:p>
    <w:p w14:paraId="4B94CB64">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明确乡村振兴策略</w:t>
      </w:r>
    </w:p>
    <w:p w14:paraId="50ED51D0">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t>以新型城镇化为动力，乡村产业现代化为支撑，乡村数字化为手段。坚持城乡融合发展，按照“点—轴”开发模式，以小城镇建设为节点，重要交通廊道为轴线，辐射和带动乡村振兴发展。坚持农业农村优先发展，加快建设农业强国，全方位夯实粮食安全根基，逐步把永久基本农田全部建成高标准农田，强化农业科技和装备支撑，树立大食物观，发展设施农业，构建多元化食物供给体系；充分发挥高原旅游资源和高原特色农牧产品优势，调整农业产业布局和结构，发展新型农业经营主体和社会化服务，发展农业适度规模经营，推动现代服务业同现代农业深度融合，推进旅游业、农牧产业现代化发展。积极推进共和数字乡村国家示范县建设，统筹乡村基础设施和公共服务布局，以大数据产业平台为依托，加快乡村基础设施数字化转型，助力乡村振兴。科学合理布局，分类施策，突出重点，开展高原美丽宜居乡村建设，有序推进乡村振兴战略稳步实施营造宜居适度的乡村生活空间，建设宜居宜业和美乡村。</w:t>
      </w:r>
    </w:p>
    <w:p w14:paraId="4AC123E2">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构建城乡融合的乡村振兴发展模式</w:t>
      </w:r>
    </w:p>
    <w:p w14:paraId="7ED31F6E">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t>因地制宜，统筹乡镇发展定位和主导产业功能，以青海湖旅游专用公路等主要交通道路沿线区域为引导，着力推进城乡融合和区域协调发展，促进城乡要素流动，以旅串文带农带牧，积极推进特色镇村联动发展，全域乡村空间发展逐渐演化形成以城乡融合发展单元为基础的乡村振兴发展模式。</w:t>
      </w:r>
    </w:p>
    <w:p w14:paraId="3CB446B2">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保障乡村建设用地</w:t>
      </w:r>
    </w:p>
    <w:p w14:paraId="205E9027">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楷体_GB2312" w:hAnsi="楷体_GB2312" w:eastAsia="楷体_GB2312" w:cs="楷体_GB2312"/>
          <w:kern w:val="2"/>
          <w:sz w:val="32"/>
          <w:szCs w:val="22"/>
          <w:lang w:val="en-US" w:eastAsia="zh-CN" w:bidi="ar-SA"/>
        </w:rPr>
        <w:t>优先使用闲置用地，提高乡村居民点用地集约水平。</w:t>
      </w:r>
      <w:r>
        <w:rPr>
          <w:rFonts w:hint="eastAsia" w:ascii="仿宋_GB2312" w:hAnsi="仿宋_GB2312" w:eastAsia="仿宋_GB2312" w:cs="仿宋_GB2312"/>
          <w:kern w:val="2"/>
          <w:sz w:val="32"/>
          <w:szCs w:val="22"/>
          <w:lang w:val="en-US" w:eastAsia="zh-CN" w:bidi="ar-SA"/>
        </w:rPr>
        <w:t>黑马河镇位于城市化地区，应集中布置农村居民点，参照城市社区管理，统筹城乡基础设施和公共服务设施等一体化建设。合理管控农村居民点用地，保障宅基地合理空间需求；在充分尊重群众意愿的基础上，以现状农村居民点为基础，采用新建与扩建的形式规划布局农村集中居民点。</w:t>
      </w:r>
    </w:p>
    <w:p w14:paraId="37228837">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科学划定村庄建设</w:t>
      </w:r>
      <w:r>
        <w:rPr>
          <w:rFonts w:hint="eastAsia" w:ascii="楷体_GB2312" w:eastAsia="楷体_GB2312" w:cs="Times New Roman"/>
          <w:bCs/>
          <w:sz w:val="32"/>
          <w:szCs w:val="32"/>
          <w:lang w:val="en-US" w:eastAsia="zh-CN"/>
        </w:rPr>
        <w:t>边界</w:t>
      </w:r>
    </w:p>
    <w:p w14:paraId="4C207869">
      <w:pPr>
        <w:ind w:firstLine="640"/>
        <w:rPr>
          <w:rFonts w:hint="eastAsia" w:ascii="仿宋_GB2312"/>
          <w:bCs/>
        </w:rPr>
      </w:pPr>
      <w:r>
        <w:rPr>
          <w:rFonts w:hint="eastAsia" w:ascii="Times New Roman"/>
          <w:bCs/>
        </w:rPr>
        <w:t>结合村庄发展布局，</w:t>
      </w:r>
      <w:r>
        <w:rPr>
          <w:rFonts w:hint="eastAsia" w:ascii="仿宋_GB2312" w:hAnsi="仿宋_GB2312" w:cs="仿宋_GB2312"/>
          <w:lang w:bidi="ar"/>
        </w:rPr>
        <w:t>到2035年，</w:t>
      </w:r>
      <w:r>
        <w:rPr>
          <w:rFonts w:hint="eastAsia" w:ascii="仿宋_GB2312" w:hAnsi="仿宋_GB2312" w:cs="仿宋_GB2312"/>
          <w:lang w:val="en-US" w:eastAsia="zh-CN" w:bidi="ar"/>
        </w:rPr>
        <w:t>黑马河</w:t>
      </w:r>
      <w:r>
        <w:rPr>
          <w:rFonts w:hint="eastAsia" w:ascii="仿宋_GB2312" w:hAnsi="仿宋_GB2312" w:cs="仿宋_GB2312"/>
          <w:lang w:bidi="ar"/>
        </w:rPr>
        <w:t>镇村庄建设边界面积控制在</w:t>
      </w:r>
      <w:r>
        <w:rPr>
          <w:rFonts w:hint="eastAsia" w:ascii="仿宋_GB2312"/>
          <w:bCs/>
          <w:lang w:val="en-US" w:eastAsia="zh-CN"/>
        </w:rPr>
        <w:t>130.51</w:t>
      </w:r>
      <w:r>
        <w:rPr>
          <w:rFonts w:hint="eastAsia" w:ascii="仿宋_GB2312"/>
          <w:bCs/>
        </w:rPr>
        <w:t>公顷。</w:t>
      </w:r>
    </w:p>
    <w:p w14:paraId="338DD602">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统筹农村一二三产业融合发展空间</w:t>
      </w:r>
    </w:p>
    <w:p w14:paraId="0F1142DD">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t>强化全域用途管制引导，结合乡村振兴发展产业需求，合理安排乡村产业建设用地指标，保障乡村产业发展用地。支持农产品加工流通、电子商务、乡村旅游、休闲农业、民宿经济等新产业新业态用地需求，促进乡村振兴战略实施。引导农产品初加工、产地直销等产业在重点特色村庄合理布局、适度集中。探索集体经营性建设用地入市配套政策和点状供地实施政策，建立土地要素保障制度。积极开展全域土地综合整治专项行动为发展提供建设用地保障，挖潜低效存量集体建设用地，保障旅游用地、一二三产融合发展用地。</w:t>
      </w:r>
    </w:p>
    <w:p w14:paraId="4DBBA7BE">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明确村庄建设管控和风貌指引</w:t>
      </w:r>
    </w:p>
    <w:p w14:paraId="726B0F3D">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楷体_GB2312" w:hAnsi="楷体_GB2312" w:eastAsia="楷体_GB2312" w:cs="楷体_GB2312"/>
          <w:kern w:val="2"/>
          <w:sz w:val="32"/>
          <w:szCs w:val="22"/>
          <w:lang w:val="en-US" w:eastAsia="zh-CN" w:bidi="ar-SA"/>
        </w:rPr>
        <w:t>村庄建设管控和风貌指引。</w:t>
      </w:r>
      <w:r>
        <w:rPr>
          <w:rFonts w:hint="eastAsia" w:ascii="仿宋_GB2312" w:hAnsi="仿宋_GB2312" w:eastAsia="仿宋_GB2312" w:cs="仿宋_GB2312"/>
          <w:kern w:val="2"/>
          <w:sz w:val="32"/>
          <w:szCs w:val="22"/>
          <w:lang w:val="en-US" w:eastAsia="zh-CN" w:bidi="ar-SA"/>
        </w:rPr>
        <w:t>在体现地域和农村特色的前提下，利用村庄的地形地貌和历史文化资源，协调好村庄与周边自然景观资源关系、注重村庄文化传承和保护，因地制宜分类提出村庄建设管控和风貌指引要求，落实村庄建筑面积、高度、建房风貌空间形态等内容，形成有机交融的空间关系，塑造富有地域特色的村庄建筑文化与风貌特色。严禁在山地高、陡无防护措施切坡建房。同时明确农业设施用地的面积、用途管制规定。</w:t>
      </w:r>
    </w:p>
    <w:p w14:paraId="7BFF9A68">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楷体_GB2312" w:hAnsi="楷体_GB2312" w:eastAsia="楷体_GB2312" w:cs="楷体_GB2312"/>
          <w:kern w:val="2"/>
          <w:sz w:val="32"/>
          <w:szCs w:val="32"/>
          <w:lang w:val="en-US" w:eastAsia="zh-CN" w:bidi="ar"/>
        </w:rPr>
        <w:t>公共和基础设施配套指引。</w:t>
      </w:r>
      <w:r>
        <w:rPr>
          <w:rFonts w:hint="eastAsia" w:ascii="仿宋_GB2312" w:hAnsi="仿宋_GB2312" w:eastAsia="仿宋_GB2312" w:cs="仿宋_GB2312"/>
          <w:kern w:val="2"/>
          <w:sz w:val="32"/>
          <w:szCs w:val="22"/>
          <w:lang w:val="en-US" w:eastAsia="zh-CN" w:bidi="ar-SA"/>
        </w:rPr>
        <w:t>落实乡村振兴战略，促进城乡公共服务资源均衡配置和农民农村共同富裕的要求，结合村庄类型，分类提出不同村庄公共和基础设施配置要求和标准。</w:t>
      </w:r>
    </w:p>
    <w:p w14:paraId="5A1A839C">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楷体_GB2312" w:hAnsi="楷体_GB2312" w:eastAsia="楷体_GB2312" w:cs="楷体_GB2312"/>
          <w:kern w:val="2"/>
          <w:sz w:val="32"/>
          <w:szCs w:val="32"/>
          <w:lang w:val="en-US" w:eastAsia="zh-CN" w:bidi="ar"/>
        </w:rPr>
        <w:t>国土综合整治与生态修复指引。</w:t>
      </w:r>
      <w:r>
        <w:rPr>
          <w:rFonts w:hint="eastAsia" w:ascii="仿宋_GB2312" w:hAnsi="仿宋_GB2312" w:eastAsia="仿宋_GB2312" w:cs="仿宋_GB2312"/>
          <w:kern w:val="2"/>
          <w:sz w:val="32"/>
          <w:szCs w:val="22"/>
          <w:lang w:val="en-US" w:eastAsia="zh-CN" w:bidi="ar-SA"/>
        </w:rPr>
        <w:t>严格落实上位国土空间总体规划明确的各村域范围内国土综合整治与生态修复区域，分类提出不同村庄国土综合整治与生态修复要求和措施。</w:t>
      </w:r>
    </w:p>
    <w:p w14:paraId="5BC873F6">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有效推进乡村振兴发展</w:t>
      </w:r>
    </w:p>
    <w:p w14:paraId="6A53797C">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t>到2035年，80%以上的村庄基本实现农牧业农牧区现代化；乡村现代化水平显著提升，农牧业结构更加优化，产业体系更加完善，生态环境更加优良；城乡基本公共服务实现均等化，城乡融合发展体制机制全面建立，社会文明程度达到新高度，乡村治理体系更加完善，人的全面发展、共同富裕取得实质性进展。到2050年，生产美产业强、生态美环境优、生活美家园好的乡村蓝图全面呈现，乡村产业、人才、文化、生态和组织全面振兴，全部村庄基本实现乡村现代化发展。</w:t>
      </w:r>
    </w:p>
    <w:p w14:paraId="67D18A23">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稳步推进农村建设用地综合整治</w:t>
      </w:r>
    </w:p>
    <w:p w14:paraId="7BE632DB">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t>规范有序开展农村建设用地整治，通过中心村建设、闲散居民点复垦、生态移民搬迁整治，优化农村居民点布局，同时稳妥推进农村危房改造、集体建设用地流转、废弃建设用地复垦等多种措施，改善农村人居环境和农业生产条件，促进美丽宜居乡村建设和城乡发展一体化。农业发展区乡村重点加快新农村建设，原址就地改造农业区分散的小规模农村危房，改善生产生活条件，合理引导居民点集中布局。牧业发展区乡村总体遵循“大分散、小集中”的空间布局模式，形成季节性定居点，鼓励独立定居点牧民向周边城镇和中心村集中。生态保护区内乡村应尊重农牧民意愿，实施游牧民定居点建设，逐步搬出生态保护区，也可保留部分独立定居点，注重与区域生态环境相协调。稳妥推进城乡建设用地增减挂钩，按照先批准后实施的要求，稳妥慎重推进村庄建设用地的复垦，着力优化国土空间格局，严格控制城乡建设用地规模。</w:t>
      </w:r>
    </w:p>
    <w:p w14:paraId="3A25F36C">
      <w:pPr>
        <w:widowControl w:val="0"/>
        <w:spacing w:after="120" w:line="600" w:lineRule="exact"/>
        <w:ind w:firstLine="640"/>
        <w:jc w:val="both"/>
        <w:rPr>
          <w:rFonts w:hint="default"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t>黑马河镇生态移民搬迁涉及村民124户，规划按照户均宅基地面积不高于267平方米进行安置，安置地点拟选址在镇区西南侧</w:t>
      </w:r>
      <w:r>
        <w:rPr>
          <w:rFonts w:hint="eastAsia" w:ascii="仿宋_GB2312" w:hAnsi="仿宋_GB2312" w:cs="仿宋_GB2312"/>
          <w:kern w:val="2"/>
          <w:sz w:val="32"/>
          <w:szCs w:val="22"/>
          <w:lang w:val="en-US" w:eastAsia="zh-CN" w:bidi="ar-SA"/>
        </w:rPr>
        <w:t>，宅基地审批程序按照相关法律法规进行。</w:t>
      </w:r>
    </w:p>
    <w:p w14:paraId="2EEE7794">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推进农村人居环境改善</w:t>
      </w:r>
    </w:p>
    <w:p w14:paraId="59CB630B">
      <w:pPr>
        <w:rPr>
          <w:rFonts w:hint="eastAsia"/>
          <w:lang w:val="en-US" w:eastAsia="zh-CN"/>
        </w:rPr>
      </w:pPr>
      <w:r>
        <w:rPr>
          <w:rFonts w:hint="eastAsia" w:ascii="仿宋_GB2312" w:hAnsi="仿宋_GB2312" w:eastAsia="仿宋_GB2312" w:cs="仿宋_GB2312"/>
          <w:kern w:val="2"/>
          <w:sz w:val="32"/>
          <w:szCs w:val="22"/>
          <w:lang w:val="en-US" w:eastAsia="zh-CN" w:bidi="ar-SA"/>
        </w:rPr>
        <w:t>依据乡村生态格局、自然肌理、乡土风情、建筑风格等，实施乡村生态保护修复。按照山水林田湖草整体保护、系统修复、综合治理的要求，结合农村人居环境整治，优化调整生态用地布局，保护和恢复乡村生态功能，维护生物多样性，提高防御自然灾害能力，保持乡村自然景观。推动农牧区生活污水分散处理和生活垃圾分类减量及资源化利用，保障农牧区中小型规模垃圾填埋场、中转站和收集站建设。合理确定乡村建设用地规模，严格落实“一户一宅”，严控生态空间转为农牧空间，实现乡村“留得住乡愁，守得住青山”的美丽乡村，助推全县乡村振兴。</w:t>
      </w:r>
    </w:p>
    <w:p w14:paraId="01275875">
      <w:pPr>
        <w:pStyle w:val="3"/>
        <w:numPr>
          <w:ilvl w:val="0"/>
          <w:numId w:val="2"/>
        </w:numPr>
        <w:rPr>
          <w:rFonts w:hint="eastAsia"/>
          <w:lang w:val="en-US" w:eastAsia="zh-CN"/>
        </w:rPr>
      </w:pPr>
      <w:bookmarkStart w:id="138" w:name="_Toc6591"/>
      <w:bookmarkStart w:id="139" w:name="_Toc30313"/>
      <w:r>
        <w:rPr>
          <w:rFonts w:hint="eastAsia"/>
          <w:lang w:val="en-US" w:eastAsia="zh-CN"/>
        </w:rPr>
        <w:t>引导产业空间布局</w:t>
      </w:r>
      <w:bookmarkEnd w:id="138"/>
      <w:bookmarkEnd w:id="139"/>
    </w:p>
    <w:p w14:paraId="0C827FC9">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40" w:name="_Toc27046"/>
      <w:r>
        <w:rPr>
          <w:rFonts w:hint="eastAsia" w:ascii="楷体_GB2312" w:hAnsi="Times New Roman" w:eastAsia="楷体_GB2312" w:cs="Times New Roman"/>
          <w:bCs/>
          <w:sz w:val="32"/>
          <w:szCs w:val="32"/>
          <w:lang w:val="en-US" w:eastAsia="zh-CN"/>
        </w:rPr>
        <w:t>优化产业结构体系</w:t>
      </w:r>
      <w:bookmarkEnd w:id="140"/>
    </w:p>
    <w:p w14:paraId="71AE699A">
      <w:pPr>
        <w:ind w:firstLine="560"/>
        <w:rPr>
          <w:rFonts w:hint="eastAsia" w:ascii="仿宋_GB2312" w:hAnsi="仿宋_GB2312" w:eastAsia="仿宋_GB2312" w:cs="仿宋_GB2312"/>
        </w:rPr>
      </w:pPr>
      <w:r>
        <w:rPr>
          <w:rFonts w:hint="eastAsia" w:ascii="楷体" w:hAnsi="楷体" w:eastAsia="楷体"/>
          <w:sz w:val="32"/>
          <w:szCs w:val="32"/>
          <w:lang w:val="en-US" w:eastAsia="zh-CN"/>
        </w:rPr>
        <w:t>夯实</w:t>
      </w:r>
      <w:r>
        <w:rPr>
          <w:rFonts w:hint="eastAsia" w:ascii="楷体" w:hAnsi="楷体" w:eastAsia="楷体"/>
          <w:sz w:val="32"/>
          <w:szCs w:val="32"/>
        </w:rPr>
        <w:t>现代农牧产业体系</w:t>
      </w:r>
      <w:r>
        <w:rPr>
          <w:rFonts w:hint="eastAsia" w:ascii="楷体" w:hAnsi="楷体" w:eastAsia="楷体"/>
          <w:sz w:val="32"/>
          <w:szCs w:val="32"/>
          <w:lang w:eastAsia="zh-CN"/>
        </w:rPr>
        <w:t>。</w:t>
      </w:r>
      <w:r>
        <w:rPr>
          <w:rFonts w:hint="eastAsia" w:ascii="仿宋_GB2312" w:hAnsi="仿宋_GB2312" w:eastAsia="仿宋_GB2312" w:cs="仿宋_GB2312"/>
        </w:rPr>
        <w:t>扶持和壮大养殖大户和规模养殖户，加快传统畜牧业向现代畜牧业转变，实现畜牧业的规模化，产业化发展。针对良种培育繁殖基地的建设应予以支持。</w:t>
      </w:r>
    </w:p>
    <w:p w14:paraId="44945CB9">
      <w:pPr>
        <w:ind w:firstLine="560"/>
        <w:jc w:val="left"/>
      </w:pPr>
      <w:r>
        <w:rPr>
          <w:rFonts w:hint="eastAsia" w:ascii="楷体" w:hAnsi="楷体" w:eastAsia="楷体"/>
          <w:sz w:val="32"/>
          <w:szCs w:val="32"/>
          <w:lang w:val="en-US" w:eastAsia="zh-CN"/>
        </w:rPr>
        <w:t>提质发展现代工业体系。</w:t>
      </w:r>
      <w:r>
        <w:rPr>
          <w:rFonts w:hint="eastAsia" w:ascii="仿宋_GB2312" w:hAnsi="仿宋_GB2312" w:eastAsia="仿宋_GB2312" w:cs="仿宋_GB2312"/>
        </w:rPr>
        <w:t>以畜牧产品加工建设为辅助产业，发展现代特色有机农业</w:t>
      </w:r>
      <w:r>
        <w:rPr>
          <w:rFonts w:hint="eastAsia" w:ascii="仿宋_GB2312" w:hAnsi="仿宋_GB2312" w:cs="仿宋_GB2312"/>
          <w:lang w:eastAsia="zh-CN"/>
        </w:rPr>
        <w:t>。</w:t>
      </w:r>
      <w:r>
        <w:rPr>
          <w:rFonts w:hint="eastAsia" w:ascii="仿宋_GB2312" w:hAnsi="仿宋_GB2312" w:eastAsia="仿宋_GB2312" w:cs="仿宋_GB2312"/>
        </w:rPr>
        <w:t>着力建设现代优质畜牧产品加工基地。以肉牛、肉羊、肉鸡（土鸡）等食品加工为发展重点，为青海湖旅游提供多样的体验与特色。</w:t>
      </w:r>
    </w:p>
    <w:p w14:paraId="78DCC86E">
      <w:pPr>
        <w:ind w:firstLine="560"/>
        <w:jc w:val="left"/>
        <w:rPr>
          <w:rFonts w:hint="eastAsia" w:ascii="仿宋_GB2312" w:hAnsi="仿宋_GB2312" w:eastAsia="仿宋_GB2312" w:cs="仿宋_GB2312"/>
        </w:rPr>
      </w:pPr>
      <w:r>
        <w:rPr>
          <w:rFonts w:hint="eastAsia" w:ascii="楷体" w:hAnsi="楷体" w:eastAsia="楷体"/>
          <w:sz w:val="32"/>
          <w:szCs w:val="32"/>
          <w:lang w:val="en-US" w:eastAsia="zh-CN"/>
        </w:rPr>
        <w:t>提升完善现代服务业体系。</w:t>
      </w:r>
      <w:r>
        <w:rPr>
          <w:rFonts w:hint="eastAsia" w:ascii="仿宋_GB2312" w:hAnsi="仿宋_GB2312" w:cs="仿宋_GB2312"/>
          <w:lang w:val="en-US" w:eastAsia="zh-CN"/>
        </w:rPr>
        <w:t>突出高原文化旅游，</w:t>
      </w:r>
      <w:r>
        <w:rPr>
          <w:rFonts w:hint="eastAsia" w:ascii="仿宋_GB2312" w:hAnsi="仿宋_GB2312" w:eastAsia="仿宋_GB2312" w:cs="仿宋_GB2312"/>
        </w:rPr>
        <w:t>以旅游服务业为主导产业，发挥旅游资源优势，拓展农业旅游功能，大力发展生态旅游业</w:t>
      </w:r>
      <w:r>
        <w:rPr>
          <w:rFonts w:hint="eastAsia" w:ascii="仿宋_GB2312" w:hAnsi="仿宋_GB2312" w:cs="仿宋_GB2312"/>
          <w:lang w:eastAsia="zh-CN"/>
        </w:rPr>
        <w:t>。</w:t>
      </w:r>
      <w:r>
        <w:rPr>
          <w:rFonts w:hint="eastAsia" w:ascii="仿宋_GB2312" w:hAnsi="仿宋_GB2312" w:eastAsia="仿宋_GB2312" w:cs="仿宋_GB2312"/>
        </w:rPr>
        <w:t>提升完善环湖风景旅游区建设。在生态保护基础上，形成自然观光、宗教朝觐等特色旅游产品，体现“5A”风景旅游景区的特色。打造环青海湖旅游</w:t>
      </w:r>
      <w:r>
        <w:rPr>
          <w:rFonts w:hint="eastAsia" w:ascii="仿宋_GB2312" w:hAnsi="仿宋_GB2312" w:eastAsia="仿宋_GB2312" w:cs="仿宋_GB2312"/>
          <w:lang w:eastAsia="zh-CN"/>
        </w:rPr>
        <w:t>服务</w:t>
      </w:r>
      <w:r>
        <w:rPr>
          <w:rFonts w:hint="eastAsia" w:ascii="仿宋_GB2312" w:hAnsi="仿宋_GB2312" w:eastAsia="仿宋_GB2312" w:cs="仿宋_GB2312"/>
        </w:rPr>
        <w:t>中心，完善旅游集散功能。</w:t>
      </w:r>
    </w:p>
    <w:p w14:paraId="6B4BC568">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41" w:name="_Toc29101"/>
      <w:r>
        <w:rPr>
          <w:rFonts w:hint="eastAsia" w:ascii="楷体_GB2312" w:hAnsi="Times New Roman" w:eastAsia="楷体_GB2312" w:cs="Times New Roman"/>
          <w:bCs/>
          <w:sz w:val="32"/>
          <w:szCs w:val="32"/>
          <w:lang w:val="en-US" w:eastAsia="zh-CN"/>
        </w:rPr>
        <w:t>统筹产业空间布局</w:t>
      </w:r>
      <w:bookmarkEnd w:id="141"/>
    </w:p>
    <w:p w14:paraId="7AFCEA96">
      <w:pPr>
        <w:ind w:firstLine="560"/>
        <w:rPr>
          <w:rFonts w:hint="eastAsia" w:ascii="仿宋_GB2312" w:hAnsi="仿宋_GB2312" w:eastAsia="仿宋_GB2312" w:cs="仿宋_GB2312"/>
        </w:rPr>
      </w:pPr>
      <w:bookmarkStart w:id="142" w:name="_Toc24734"/>
      <w:r>
        <w:rPr>
          <w:rFonts w:hint="eastAsia" w:ascii="仿宋_GB2312" w:hAnsi="仿宋_GB2312" w:eastAsia="仿宋_GB2312" w:cs="仿宋_GB2312"/>
        </w:rPr>
        <w:t>规划形成“一心引领，两点支撑，两轴驱动，四区协同”的镇域产业</w:t>
      </w:r>
      <w:r>
        <w:rPr>
          <w:rFonts w:hint="eastAsia" w:ascii="仿宋_GB2312" w:hAnsi="仿宋_GB2312" w:cs="仿宋_GB2312"/>
          <w:lang w:val="en-US" w:eastAsia="zh-CN"/>
        </w:rPr>
        <w:t>空间布局</w:t>
      </w:r>
      <w:r>
        <w:rPr>
          <w:rFonts w:hint="eastAsia" w:ascii="仿宋_GB2312" w:hAnsi="仿宋_GB2312" w:eastAsia="仿宋_GB2312" w:cs="仿宋_GB2312"/>
        </w:rPr>
        <w:t>。</w:t>
      </w:r>
    </w:p>
    <w:p w14:paraId="25988864">
      <w:pPr>
        <w:ind w:firstLine="560"/>
        <w:rPr>
          <w:rFonts w:hint="eastAsia" w:ascii="仿宋_GB2312" w:hAnsi="仿宋_GB2312" w:eastAsia="仿宋_GB2312" w:cs="仿宋_GB2312"/>
        </w:rPr>
      </w:pPr>
      <w:r>
        <w:rPr>
          <w:rFonts w:hint="eastAsia" w:ascii="楷体_GB2312" w:hAnsi="楷体_GB2312" w:eastAsia="楷体_GB2312" w:cs="楷体_GB2312"/>
        </w:rPr>
        <w:t>一心：</w:t>
      </w:r>
      <w:r>
        <w:rPr>
          <w:rFonts w:hint="eastAsia" w:ascii="仿宋_GB2312" w:hAnsi="仿宋_GB2312" w:eastAsia="仿宋_GB2312" w:cs="仿宋_GB2312"/>
        </w:rPr>
        <w:t>以镇区作为镇域的综合服务核心，引领镇域产业发展。</w:t>
      </w:r>
    </w:p>
    <w:p w14:paraId="7D84DD85">
      <w:pPr>
        <w:ind w:firstLine="560"/>
        <w:rPr>
          <w:rFonts w:hint="eastAsia" w:ascii="仿宋_GB2312" w:hAnsi="仿宋_GB2312" w:eastAsia="仿宋_GB2312" w:cs="仿宋_GB2312"/>
        </w:rPr>
      </w:pPr>
      <w:r>
        <w:rPr>
          <w:rFonts w:hint="eastAsia" w:ascii="楷体_GB2312" w:hAnsi="楷体_GB2312" w:eastAsia="楷体_GB2312" w:cs="楷体_GB2312"/>
        </w:rPr>
        <w:t>两点：</w:t>
      </w:r>
      <w:r>
        <w:rPr>
          <w:rFonts w:hint="eastAsia" w:ascii="仿宋_GB2312" w:hAnsi="仿宋_GB2312" w:eastAsia="仿宋_GB2312" w:cs="仿宋_GB2312"/>
        </w:rPr>
        <w:t>中心村正却乎村、一般村文巴村，是镇域发展节点。</w:t>
      </w:r>
    </w:p>
    <w:p w14:paraId="6C2543A4">
      <w:pPr>
        <w:ind w:firstLine="560"/>
        <w:rPr>
          <w:rFonts w:hint="eastAsia" w:ascii="仿宋_GB2312" w:hAnsi="仿宋_GB2312" w:eastAsia="仿宋_GB2312" w:cs="仿宋_GB2312"/>
        </w:rPr>
      </w:pPr>
      <w:r>
        <w:rPr>
          <w:rFonts w:hint="eastAsia" w:ascii="楷体_GB2312" w:hAnsi="楷体_GB2312" w:eastAsia="楷体_GB2312" w:cs="楷体_GB2312"/>
        </w:rPr>
        <w:t>两轴：</w:t>
      </w:r>
      <w:r>
        <w:rPr>
          <w:rFonts w:hint="eastAsia" w:ascii="仿宋_GB2312" w:hAnsi="仿宋_GB2312" w:eastAsia="仿宋_GB2312" w:cs="仿宋_GB2312"/>
        </w:rPr>
        <w:t>串联镇政府与各村形成镇村综合发展轴；沿</w:t>
      </w:r>
      <w:r>
        <w:rPr>
          <w:rFonts w:hint="eastAsia" w:ascii="仿宋_GB2312" w:hAnsi="仿宋_GB2312" w:eastAsia="仿宋_GB2312" w:cs="仿宋_GB2312"/>
          <w:lang w:eastAsia="zh-CN"/>
        </w:rPr>
        <w:t>G109青海湖旅游专线</w:t>
      </w:r>
      <w:r>
        <w:rPr>
          <w:rFonts w:hint="eastAsia" w:ascii="仿宋_GB2312" w:hAnsi="仿宋_GB2312" w:eastAsia="仿宋_GB2312" w:cs="仿宋_GB2312"/>
        </w:rPr>
        <w:t>形成环湖旅游发展轴。</w:t>
      </w:r>
    </w:p>
    <w:p w14:paraId="59936F9F">
      <w:pPr>
        <w:ind w:firstLine="560"/>
        <w:rPr>
          <w:rFonts w:hint="eastAsia" w:ascii="仿宋_GB2312" w:hAnsi="仿宋_GB2312" w:eastAsia="仿宋_GB2312" w:cs="仿宋_GB2312"/>
        </w:rPr>
      </w:pPr>
      <w:r>
        <w:rPr>
          <w:rFonts w:hint="eastAsia" w:ascii="楷体_GB2312" w:hAnsi="楷体_GB2312" w:eastAsia="楷体_GB2312" w:cs="楷体_GB2312"/>
        </w:rPr>
        <w:t>四区：</w:t>
      </w:r>
      <w:r>
        <w:rPr>
          <w:rFonts w:hint="eastAsia" w:ascii="仿宋_GB2312" w:hAnsi="仿宋_GB2312" w:eastAsia="仿宋_GB2312" w:cs="仿宋_GB2312"/>
        </w:rPr>
        <w:t>环湖观光旅游区、环湖生态旅游区、山地畜牧业发展区、现代农牧业发展区</w:t>
      </w:r>
    </w:p>
    <w:p w14:paraId="08421D0A">
      <w:pPr>
        <w:ind w:firstLine="560"/>
        <w:rPr>
          <w:rFonts w:hint="eastAsia" w:ascii="仿宋_GB2312" w:hAnsi="仿宋_GB2312" w:eastAsia="仿宋_GB2312" w:cs="仿宋_GB2312"/>
        </w:rPr>
      </w:pPr>
      <w:r>
        <w:rPr>
          <w:rFonts w:hint="eastAsia" w:ascii="仿宋_GB2312" w:hAnsi="仿宋_GB2312" w:eastAsia="仿宋_GB2312" w:cs="仿宋_GB2312"/>
        </w:rPr>
        <w:t>环湖观光旅游区：发展自然观光、文化体验、观日旅游、环湖骑行、旅游综合服务等旅游业；环湖生态旅游区：依托山地草原及环青海湖优势发展徒步旅游、生态观光、草原营地旅游业态；山地畜牧业发展区：发展生态畜牧业；现代农牧业发展区：发展现代农牧、畜产品加工等特色产业。</w:t>
      </w:r>
    </w:p>
    <w:bookmarkEnd w:id="142"/>
    <w:p w14:paraId="3F692BCB">
      <w:pPr>
        <w:pStyle w:val="3"/>
        <w:numPr>
          <w:ilvl w:val="0"/>
          <w:numId w:val="10"/>
        </w:numPr>
      </w:pPr>
      <w:bookmarkStart w:id="143" w:name="_Toc20290"/>
      <w:bookmarkStart w:id="144" w:name="_Toc14786"/>
      <w:r>
        <w:rPr>
          <w:rFonts w:hint="eastAsia"/>
          <w:lang w:val="en-US" w:eastAsia="zh-CN"/>
        </w:rPr>
        <w:t>完善公共服务设施布局</w:t>
      </w:r>
      <w:bookmarkEnd w:id="143"/>
      <w:bookmarkEnd w:id="144"/>
    </w:p>
    <w:p w14:paraId="6EB94BFC">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45" w:name="_Toc132547361"/>
      <w:bookmarkStart w:id="146" w:name="_Toc2928"/>
      <w:r>
        <w:rPr>
          <w:rFonts w:hint="eastAsia" w:ascii="楷体_GB2312" w:hAnsi="Times New Roman" w:eastAsia="楷体_GB2312" w:cs="Times New Roman"/>
          <w:bCs/>
          <w:sz w:val="32"/>
          <w:szCs w:val="32"/>
          <w:lang w:val="en-US" w:eastAsia="zh-CN"/>
        </w:rPr>
        <w:t>推进公共服务均等化，充分保障用地供给</w:t>
      </w:r>
      <w:bookmarkEnd w:id="145"/>
      <w:bookmarkEnd w:id="146"/>
    </w:p>
    <w:p w14:paraId="3BCCB0B0">
      <w:pPr>
        <w:ind w:firstLine="560"/>
        <w:rPr>
          <w:rFonts w:hint="eastAsia" w:ascii="仿宋_GB2312" w:hAnsi="仿宋_GB2312" w:eastAsia="仿宋_GB2312" w:cs="仿宋_GB2312"/>
        </w:rPr>
      </w:pPr>
      <w:r>
        <w:rPr>
          <w:rFonts w:hint="eastAsia" w:ascii="楷体" w:hAnsi="楷体" w:eastAsia="楷体"/>
          <w:sz w:val="32"/>
          <w:szCs w:val="32"/>
        </w:rPr>
        <w:t>推进公共服务均等化。</w:t>
      </w:r>
      <w:r>
        <w:rPr>
          <w:rFonts w:hint="eastAsia" w:ascii="仿宋_GB2312" w:eastAsia="仿宋_GB2312"/>
          <w:sz w:val="32"/>
          <w:szCs w:val="32"/>
          <w14:ligatures w14:val="standardContextual"/>
        </w:rPr>
        <w:t>围绕“幼有所育、学有所教、劳有所得、病有所医、老有所养、住有所居、弱有所扶”总体思路，持续推动基本公共服务均等化，丰富多层次多样化生活服务供给，构建优质均衡的公共服务体系，结合实际制定覆盖城乡的基本公共服务实施标准。</w:t>
      </w:r>
      <w:r>
        <w:rPr>
          <w:rFonts w:hint="eastAsia" w:ascii="仿宋_GB2312" w:hAnsi="仿宋_GB2312" w:eastAsia="仿宋_GB2312" w:cs="仿宋_GB2312"/>
        </w:rPr>
        <w:t>公共服务设施按镇区—村庄两级进行配置，</w:t>
      </w:r>
      <w:r>
        <w:rPr>
          <w:rFonts w:hint="eastAsia" w:ascii="仿宋_GB2312" w:eastAsia="仿宋_GB2312"/>
          <w:sz w:val="32"/>
          <w:szCs w:val="32"/>
          <w14:ligatures w14:val="standardContextual"/>
        </w:rPr>
        <w:t>统筹落实</w:t>
      </w:r>
      <w:r>
        <w:rPr>
          <w:rFonts w:hint="eastAsia" w:ascii="仿宋_GB2312"/>
          <w:sz w:val="32"/>
          <w:szCs w:val="32"/>
          <w:lang w:val="en-US" w:eastAsia="zh-CN"/>
          <w14:ligatures w14:val="standardContextual"/>
        </w:rPr>
        <w:t>县</w:t>
      </w:r>
      <w:r>
        <w:rPr>
          <w:rFonts w:hint="eastAsia" w:ascii="仿宋_GB2312" w:eastAsia="仿宋_GB2312"/>
          <w:sz w:val="32"/>
          <w:szCs w:val="32"/>
          <w14:ligatures w14:val="standardContextual"/>
        </w:rPr>
        <w:t>级公共服务设施，规划形成“乡镇级—村级”</w:t>
      </w:r>
      <w:r>
        <w:rPr>
          <w:rFonts w:hint="eastAsia" w:ascii="仿宋_GB2312"/>
          <w:sz w:val="32"/>
          <w:szCs w:val="32"/>
          <w:lang w:val="en-US" w:eastAsia="zh-CN"/>
          <w14:ligatures w14:val="standardContextual"/>
        </w:rPr>
        <w:t>两</w:t>
      </w:r>
      <w:r>
        <w:rPr>
          <w:rFonts w:hint="eastAsia" w:ascii="仿宋_GB2312" w:eastAsia="仿宋_GB2312"/>
          <w:sz w:val="32"/>
          <w:szCs w:val="32"/>
          <w14:ligatures w14:val="standardContextual"/>
        </w:rPr>
        <w:t>级公共服务设施布局体系</w:t>
      </w:r>
      <w:r>
        <w:rPr>
          <w:rFonts w:hint="eastAsia" w:ascii="仿宋_GB2312"/>
          <w:sz w:val="32"/>
          <w:szCs w:val="32"/>
          <w:lang w:eastAsia="zh-CN"/>
          <w14:ligatures w14:val="standardContextual"/>
        </w:rPr>
        <w:t>。</w:t>
      </w:r>
      <w:r>
        <w:rPr>
          <w:rFonts w:hint="eastAsia" w:ascii="仿宋_GB2312" w:hAnsi="仿宋_GB2312" w:eastAsia="仿宋_GB2312" w:cs="仿宋_GB2312"/>
        </w:rPr>
        <w:t>镇区配置为全镇服务的公共服务设施；中心村主要建设基本的公共服务设施。</w:t>
      </w:r>
    </w:p>
    <w:p w14:paraId="700B0B0D">
      <w:pPr>
        <w:ind w:firstLine="560"/>
        <w:rPr>
          <w:rFonts w:hint="eastAsia" w:ascii="仿宋_GB2312" w:eastAsia="仿宋_GB2312"/>
          <w:sz w:val="32"/>
          <w:szCs w:val="32"/>
          <w14:ligatures w14:val="standardContextual"/>
        </w:rPr>
      </w:pPr>
      <w:r>
        <w:rPr>
          <w:rFonts w:hint="eastAsia" w:ascii="楷体" w:hAnsi="楷体" w:eastAsia="楷体"/>
          <w:sz w:val="32"/>
          <w:szCs w:val="32"/>
        </w:rPr>
        <w:t>充分保障用地供给。</w:t>
      </w:r>
      <w:r>
        <w:rPr>
          <w:rFonts w:hint="eastAsia" w:ascii="仿宋_GB2312" w:eastAsia="仿宋_GB2312"/>
          <w:sz w:val="32"/>
          <w:szCs w:val="32"/>
          <w14:ligatures w14:val="standardContextual"/>
        </w:rPr>
        <w:t>统筹布局重要公共服务设施和功能性设施，根据多层次多样化公共服务需求，优化土地供应调控机制，充分保障重要公共服务用地供给。将公共服务机构和设施用地纳入相关规划和年度用地计划并充分予以保障，农用地转用指标、新增建设用地指标分配要保障公共服务机构和设施建设用地。</w:t>
      </w:r>
    </w:p>
    <w:p w14:paraId="616A57B6">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default" w:ascii="楷体_GB2312" w:hAnsi="Times New Roman" w:eastAsia="楷体_GB2312" w:cs="Times New Roman"/>
          <w:bCs/>
          <w:sz w:val="32"/>
          <w:szCs w:val="32"/>
          <w:lang w:val="en-US" w:eastAsia="zh-CN"/>
        </w:rPr>
      </w:pPr>
      <w:bookmarkStart w:id="147" w:name="_Toc1970"/>
      <w:r>
        <w:rPr>
          <w:rFonts w:hint="eastAsia" w:ascii="楷体_GB2312" w:hAnsi="Times New Roman" w:eastAsia="楷体_GB2312" w:cs="Times New Roman"/>
          <w:bCs/>
          <w:sz w:val="32"/>
          <w:szCs w:val="32"/>
          <w:lang w:val="en-US" w:eastAsia="zh-CN"/>
        </w:rPr>
        <w:t>建设城乡社区生活圈</w:t>
      </w:r>
      <w:bookmarkEnd w:id="147"/>
    </w:p>
    <w:p w14:paraId="465522EB">
      <w:pPr>
        <w:rPr>
          <w:rFonts w:hint="eastAsia" w:ascii="仿宋_GB2312" w:eastAsia="仿宋_GB2312"/>
          <w:sz w:val="32"/>
          <w:szCs w:val="32"/>
          <w14:ligatures w14:val="standardContextual"/>
        </w:rPr>
      </w:pPr>
      <w:r>
        <w:rPr>
          <w:rFonts w:hint="eastAsia" w:ascii="楷体" w:hAnsi="楷体" w:eastAsia="楷体"/>
          <w:sz w:val="32"/>
          <w:szCs w:val="32"/>
          <w:lang w:val="en-US" w:eastAsia="zh-CN"/>
        </w:rPr>
        <w:t>镇区</w:t>
      </w:r>
      <w:r>
        <w:rPr>
          <w:rFonts w:hint="eastAsia" w:ascii="楷体" w:hAnsi="楷体" w:eastAsia="楷体"/>
          <w:sz w:val="32"/>
          <w:szCs w:val="32"/>
        </w:rPr>
        <w:t>打造1</w:t>
      </w:r>
      <w:r>
        <w:rPr>
          <w:rFonts w:ascii="楷体" w:hAnsi="楷体" w:eastAsia="楷体"/>
          <w:sz w:val="32"/>
          <w:szCs w:val="32"/>
        </w:rPr>
        <w:t>5</w:t>
      </w:r>
      <w:r>
        <w:rPr>
          <w:rFonts w:hint="eastAsia" w:ascii="楷体" w:hAnsi="楷体" w:eastAsia="楷体"/>
          <w:sz w:val="32"/>
          <w:szCs w:val="32"/>
        </w:rPr>
        <w:t>分钟社区生活圈</w:t>
      </w:r>
      <w:r>
        <w:rPr>
          <w:rFonts w:hint="eastAsia" w:ascii="仿宋_GB2312" w:eastAsia="仿宋_GB2312"/>
          <w:sz w:val="32"/>
          <w:szCs w:val="32"/>
          <w14:ligatures w14:val="standardContextual"/>
        </w:rPr>
        <w:t>。</w:t>
      </w:r>
      <w:r>
        <w:rPr>
          <w:rFonts w:hint="eastAsia" w:ascii="仿宋_GB2312"/>
          <w:sz w:val="32"/>
          <w:szCs w:val="32"/>
          <w:lang w:val="en-US" w:eastAsia="zh-CN"/>
          <w14:ligatures w14:val="standardContextual"/>
        </w:rPr>
        <w:t>规划镇区</w:t>
      </w:r>
      <w:r>
        <w:rPr>
          <w:rFonts w:hint="eastAsia" w:ascii="仿宋_GB2312" w:eastAsia="仿宋_GB2312"/>
          <w:sz w:val="32"/>
          <w:szCs w:val="32"/>
          <w14:ligatures w14:val="standardContextual"/>
        </w:rPr>
        <w:t>划定</w:t>
      </w:r>
      <w:r>
        <w:rPr>
          <w:rFonts w:ascii="仿宋_GB2312" w:eastAsia="仿宋_GB2312"/>
          <w:sz w:val="32"/>
          <w:szCs w:val="32"/>
          <w14:ligatures w14:val="standardContextual"/>
        </w:rPr>
        <w:t>15</w:t>
      </w:r>
      <w:r>
        <w:rPr>
          <w:rFonts w:hint="eastAsia" w:ascii="仿宋_GB2312" w:eastAsia="仿宋_GB2312"/>
          <w:sz w:val="32"/>
          <w:szCs w:val="32"/>
          <w14:ligatures w14:val="standardContextual"/>
        </w:rPr>
        <w:t>分钟社区生活圈和</w:t>
      </w:r>
      <w:r>
        <w:rPr>
          <w:rFonts w:ascii="仿宋_GB2312" w:eastAsia="仿宋_GB2312"/>
          <w:sz w:val="32"/>
          <w:szCs w:val="32"/>
          <w14:ligatures w14:val="standardContextual"/>
        </w:rPr>
        <w:t>5-10</w:t>
      </w:r>
      <w:r>
        <w:rPr>
          <w:rFonts w:hint="eastAsia" w:ascii="仿宋_GB2312" w:eastAsia="仿宋_GB2312"/>
          <w:sz w:val="32"/>
          <w:szCs w:val="32"/>
          <w14:ligatures w14:val="standardContextual"/>
        </w:rPr>
        <w:t>分钟社区生活圈两级服务圈层。</w:t>
      </w:r>
      <w:r>
        <w:rPr>
          <w:rFonts w:hint="eastAsia" w:ascii="仿宋_GB2312"/>
          <w:sz w:val="32"/>
          <w:szCs w:val="32"/>
          <w:lang w:val="en-US" w:eastAsia="zh-CN"/>
          <w14:ligatures w14:val="standardContextual"/>
        </w:rPr>
        <w:t>镇区</w:t>
      </w:r>
      <w:r>
        <w:rPr>
          <w:rFonts w:hint="eastAsia" w:ascii="仿宋_GB2312" w:eastAsia="仿宋_GB2312"/>
          <w:sz w:val="32"/>
          <w:szCs w:val="32"/>
          <w14:ligatures w14:val="standardContextual"/>
        </w:rPr>
        <w:t>按1</w:t>
      </w:r>
      <w:r>
        <w:rPr>
          <w:rFonts w:ascii="仿宋_GB2312" w:eastAsia="仿宋_GB2312"/>
          <w:sz w:val="32"/>
          <w:szCs w:val="32"/>
          <w14:ligatures w14:val="standardContextual"/>
        </w:rPr>
        <w:t>5</w:t>
      </w:r>
      <w:r>
        <w:rPr>
          <w:rFonts w:hint="eastAsia" w:ascii="仿宋_GB2312" w:eastAsia="仿宋_GB2312"/>
          <w:sz w:val="32"/>
          <w:szCs w:val="32"/>
          <w14:ligatures w14:val="standardContextual"/>
        </w:rPr>
        <w:t>分钟社区生活圈进行设施补充和完善。</w:t>
      </w:r>
      <w:r>
        <w:rPr>
          <w:rFonts w:hint="eastAsia" w:ascii="仿宋_GB2312" w:hAnsi="仿宋_GB2312" w:eastAsia="仿宋_GB2312" w:cs="仿宋_GB2312"/>
        </w:rPr>
        <w:t>结合黑马河镇实际服务管理人口的规模、构成及生产生活需求，合理确定镇区各类公共服务设施的规模及布局，合理布局教育、医疗、卫生、防疫和社会福利等相关设施，完善公共服务设施配套。黑马河旅游发展潜力突出，</w:t>
      </w:r>
      <w:r>
        <w:rPr>
          <w:rFonts w:hint="eastAsia" w:ascii="仿宋_GB2312" w:hAnsi="仿宋_GB2312" w:eastAsia="仿宋_GB2312" w:cs="仿宋_GB2312"/>
          <w:lang w:eastAsia="zh-CN"/>
        </w:rPr>
        <w:t>旅游</w:t>
      </w:r>
      <w:r>
        <w:rPr>
          <w:rFonts w:hint="eastAsia" w:ascii="仿宋_GB2312" w:hAnsi="仿宋_GB2312" w:eastAsia="仿宋_GB2312" w:cs="仿宋_GB2312"/>
        </w:rPr>
        <w:t>服务设施可根据实际发展需求适度超前配置。</w:t>
      </w:r>
      <w:r>
        <w:rPr>
          <w:rFonts w:hint="eastAsia" w:ascii="仿宋_GB2312" w:eastAsia="仿宋_GB2312"/>
          <w:sz w:val="32"/>
          <w:szCs w:val="32"/>
          <w14:ligatures w14:val="standardContextual"/>
        </w:rPr>
        <w:t>规划至</w:t>
      </w:r>
      <w:r>
        <w:rPr>
          <w:rFonts w:ascii="仿宋_GB2312" w:eastAsia="仿宋_GB2312"/>
          <w:sz w:val="32"/>
          <w:szCs w:val="32"/>
          <w14:ligatures w14:val="standardContextual"/>
        </w:rPr>
        <w:t>2035</w:t>
      </w:r>
      <w:r>
        <w:rPr>
          <w:rFonts w:hint="eastAsia" w:ascii="仿宋_GB2312" w:eastAsia="仿宋_GB2312"/>
          <w:sz w:val="32"/>
          <w:szCs w:val="32"/>
          <w14:ligatures w14:val="standardContextual"/>
        </w:rPr>
        <w:t>年，</w:t>
      </w:r>
      <w:r>
        <w:rPr>
          <w:rFonts w:ascii="仿宋_GB2312" w:eastAsia="仿宋_GB2312"/>
          <w:sz w:val="32"/>
          <w:szCs w:val="32"/>
          <w14:ligatures w14:val="standardContextual"/>
        </w:rPr>
        <w:t>15</w:t>
      </w:r>
      <w:r>
        <w:rPr>
          <w:rFonts w:hint="eastAsia" w:ascii="仿宋_GB2312" w:eastAsia="仿宋_GB2312"/>
          <w:sz w:val="32"/>
          <w:szCs w:val="32"/>
          <w14:ligatures w14:val="standardContextual"/>
        </w:rPr>
        <w:t>分钟社区生活圈覆盖率基本达到</w:t>
      </w:r>
      <w:r>
        <w:rPr>
          <w:rFonts w:ascii="仿宋_GB2312" w:eastAsia="仿宋_GB2312"/>
          <w:sz w:val="32"/>
          <w:szCs w:val="32"/>
          <w14:ligatures w14:val="standardContextual"/>
        </w:rPr>
        <w:t>100%</w:t>
      </w:r>
      <w:r>
        <w:rPr>
          <w:rFonts w:hint="eastAsia" w:ascii="仿宋_GB2312" w:eastAsia="仿宋_GB2312"/>
          <w:sz w:val="32"/>
          <w:szCs w:val="32"/>
          <w14:ligatures w14:val="standardContextual"/>
        </w:rPr>
        <w:t>。</w:t>
      </w:r>
    </w:p>
    <w:p w14:paraId="3343F126">
      <w:pPr>
        <w:ind w:firstLine="560"/>
        <w:rPr>
          <w:rFonts w:hint="eastAsia" w:ascii="仿宋_GB2312" w:hAnsi="仿宋_GB2312" w:eastAsia="仿宋_GB2312" w:cs="仿宋_GB2312"/>
        </w:rPr>
      </w:pPr>
      <w:r>
        <w:rPr>
          <w:rFonts w:hint="eastAsia" w:ascii="楷体" w:hAnsi="楷体" w:eastAsia="楷体"/>
          <w:sz w:val="32"/>
          <w:szCs w:val="32"/>
        </w:rPr>
        <w:t>乡村打造</w:t>
      </w:r>
      <w:r>
        <w:rPr>
          <w:rFonts w:ascii="楷体" w:hAnsi="楷体" w:eastAsia="楷体"/>
          <w:sz w:val="32"/>
          <w:szCs w:val="32"/>
        </w:rPr>
        <w:t>30</w:t>
      </w:r>
      <w:r>
        <w:rPr>
          <w:rFonts w:hint="eastAsia" w:ascii="楷体" w:hAnsi="楷体" w:eastAsia="楷体"/>
          <w:sz w:val="32"/>
          <w:szCs w:val="32"/>
        </w:rPr>
        <w:t>分钟社区生活圈</w:t>
      </w:r>
      <w:r>
        <w:rPr>
          <w:rFonts w:hint="eastAsia" w:ascii="仿宋_GB2312" w:eastAsia="仿宋_GB2312"/>
          <w:sz w:val="32"/>
          <w:szCs w:val="32"/>
          <w14:ligatures w14:val="standardContextual"/>
        </w:rPr>
        <w:t>。规划形成</w:t>
      </w:r>
      <w:r>
        <w:rPr>
          <w:rFonts w:ascii="仿宋_GB2312" w:eastAsia="仿宋_GB2312"/>
          <w:sz w:val="32"/>
          <w:szCs w:val="32"/>
          <w14:ligatures w14:val="standardContextual"/>
        </w:rPr>
        <w:t xml:space="preserve"> “基本生活圈—一次生活圈—二次生活圈”三级空间分布体系。基本生活圈以</w:t>
      </w:r>
      <w:r>
        <w:rPr>
          <w:rFonts w:hint="eastAsia" w:ascii="仿宋_GB2312" w:eastAsia="仿宋_GB2312"/>
          <w:sz w:val="32"/>
          <w:szCs w:val="32"/>
          <w14:ligatures w14:val="standardContextual"/>
        </w:rPr>
        <w:t>基层村</w:t>
      </w:r>
      <w:r>
        <w:rPr>
          <w:rFonts w:ascii="仿宋_GB2312" w:eastAsia="仿宋_GB2312"/>
          <w:sz w:val="32"/>
          <w:szCs w:val="32"/>
          <w14:ligatures w14:val="standardContextual"/>
        </w:rPr>
        <w:t>为服务对象，提供最基本日常生产生活服务项目，服务半径以0.5-1.0</w:t>
      </w:r>
      <w:r>
        <w:rPr>
          <w:rFonts w:hint="eastAsia" w:ascii="仿宋_GB2312" w:eastAsia="仿宋_GB2312"/>
          <w:sz w:val="32"/>
          <w:szCs w:val="32"/>
          <w14:ligatures w14:val="standardContextual"/>
        </w:rPr>
        <w:t>千米</w:t>
      </w:r>
      <w:r>
        <w:rPr>
          <w:rFonts w:ascii="仿宋_GB2312" w:eastAsia="仿宋_GB2312"/>
          <w:sz w:val="32"/>
          <w:szCs w:val="32"/>
          <w14:ligatures w14:val="standardContextual"/>
        </w:rPr>
        <w:t>为宜；一次生活圈以</w:t>
      </w:r>
      <w:r>
        <w:rPr>
          <w:rFonts w:hint="eastAsia" w:ascii="仿宋_GB2312" w:eastAsia="仿宋_GB2312"/>
          <w:sz w:val="32"/>
          <w:szCs w:val="32"/>
          <w14:ligatures w14:val="standardContextual"/>
        </w:rPr>
        <w:t>中心村</w:t>
      </w:r>
      <w:r>
        <w:rPr>
          <w:rFonts w:ascii="仿宋_GB2312" w:eastAsia="仿宋_GB2312"/>
          <w:sz w:val="32"/>
          <w:szCs w:val="32"/>
          <w14:ligatures w14:val="standardContextual"/>
        </w:rPr>
        <w:t>为</w:t>
      </w:r>
      <w:r>
        <w:rPr>
          <w:rFonts w:hint="eastAsia" w:ascii="仿宋_GB2312" w:eastAsia="仿宋_GB2312"/>
          <w:sz w:val="32"/>
          <w:szCs w:val="32"/>
          <w14:ligatures w14:val="standardContextual"/>
        </w:rPr>
        <w:t>依托</w:t>
      </w:r>
      <w:r>
        <w:rPr>
          <w:rFonts w:ascii="仿宋_GB2312" w:eastAsia="仿宋_GB2312"/>
          <w:sz w:val="32"/>
          <w:szCs w:val="32"/>
          <w14:ligatures w14:val="standardContextual"/>
        </w:rPr>
        <w:t>，服务半径以5-10</w:t>
      </w:r>
      <w:r>
        <w:rPr>
          <w:rFonts w:hint="eastAsia" w:ascii="仿宋_GB2312" w:eastAsia="仿宋_GB2312"/>
          <w:sz w:val="32"/>
          <w:szCs w:val="32"/>
          <w14:ligatures w14:val="standardContextual"/>
        </w:rPr>
        <w:t>千米</w:t>
      </w:r>
      <w:r>
        <w:rPr>
          <w:rFonts w:ascii="仿宋_GB2312" w:eastAsia="仿宋_GB2312"/>
          <w:sz w:val="32"/>
          <w:szCs w:val="32"/>
          <w14:ligatures w14:val="standardContextual"/>
        </w:rPr>
        <w:t>为宜；二次生活圈以集镇或镇区为依托，服务半径以20-40</w:t>
      </w:r>
      <w:r>
        <w:rPr>
          <w:rFonts w:hint="eastAsia" w:ascii="仿宋_GB2312" w:eastAsia="仿宋_GB2312"/>
          <w:sz w:val="32"/>
          <w:szCs w:val="32"/>
          <w14:ligatures w14:val="standardContextual"/>
        </w:rPr>
        <w:t>千米</w:t>
      </w:r>
      <w:r>
        <w:rPr>
          <w:rFonts w:ascii="仿宋_GB2312" w:eastAsia="仿宋_GB2312"/>
          <w:sz w:val="32"/>
          <w:szCs w:val="32"/>
          <w14:ligatures w14:val="standardContextual"/>
        </w:rPr>
        <w:t>为宜。根据村庄生活生产方式，兼顾考虑配置特色化服务设施，如活畜交易市场、兽医站、供氧站、粮食储藏站等。对于撤并搬迁类村庄不再配置公共服务设施，对于融入城镇类村庄以补齐基本生活圈为主。</w:t>
      </w:r>
      <w:r>
        <w:rPr>
          <w:rFonts w:hint="eastAsia" w:ascii="仿宋_GB2312" w:hAnsi="仿宋_GB2312" w:eastAsia="仿宋_GB2312" w:cs="仿宋_GB2312"/>
        </w:rPr>
        <w:t>本次规划在加隆村、正却乎村和文巴村配置村委会、旅馆、招待所、小学、卫生室、餐饮店、小卖部、小型超市、文化大院、健身广场和村级养老院。</w:t>
      </w:r>
    </w:p>
    <w:p w14:paraId="0814E6CD">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加强公共服务用地管控和功能共享</w:t>
      </w:r>
    </w:p>
    <w:p w14:paraId="0F7C9AB3">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t>在详细规划编制中应充分保障各类公共服务用地，现状闲置的各类公共服务用地优先转为</w:t>
      </w:r>
      <w:r>
        <w:rPr>
          <w:rFonts w:hint="eastAsia" w:ascii="仿宋_GB2312" w:hAnsi="仿宋_GB2312" w:cs="仿宋_GB2312"/>
          <w:kern w:val="2"/>
          <w:sz w:val="32"/>
          <w:szCs w:val="22"/>
          <w:lang w:val="en-US" w:eastAsia="zh-CN" w:bidi="ar-SA"/>
        </w:rPr>
        <w:t>其他</w:t>
      </w:r>
      <w:r>
        <w:rPr>
          <w:rFonts w:hint="eastAsia" w:ascii="仿宋_GB2312" w:hAnsi="仿宋_GB2312" w:eastAsia="仿宋_GB2312" w:cs="仿宋_GB2312"/>
          <w:kern w:val="2"/>
          <w:sz w:val="32"/>
          <w:szCs w:val="22"/>
          <w:lang w:val="en-US" w:eastAsia="zh-CN" w:bidi="ar-SA"/>
        </w:rPr>
        <w:t>公共服务功能。鼓励利用存量空间完善公共服务设施供给，鼓励多功能公共服务设施复合建设，鼓励有条件的学校运动和文化设施对外开放共享，鼓励公园绿地建设或改造中合理安排适宜的文体设施。</w:t>
      </w:r>
    </w:p>
    <w:p w14:paraId="24D8BDB4">
      <w:pPr>
        <w:pStyle w:val="3"/>
        <w:numPr>
          <w:ilvl w:val="0"/>
          <w:numId w:val="10"/>
        </w:numPr>
        <w:rPr>
          <w:rFonts w:hint="default"/>
          <w:lang w:val="en-US" w:eastAsia="zh-CN"/>
        </w:rPr>
      </w:pPr>
      <w:bookmarkStart w:id="148" w:name="_Toc32069"/>
      <w:bookmarkStart w:id="149" w:name="_Toc24760"/>
      <w:r>
        <w:rPr>
          <w:rFonts w:hint="eastAsia"/>
          <w:lang w:val="en-US" w:eastAsia="zh-CN"/>
        </w:rPr>
        <w:t>促进城乡建设用地节约集约</w:t>
      </w:r>
      <w:bookmarkEnd w:id="148"/>
      <w:bookmarkEnd w:id="149"/>
    </w:p>
    <w:p w14:paraId="0DFFB5D6">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50" w:name="_Toc15901"/>
      <w:r>
        <w:rPr>
          <w:rFonts w:hint="eastAsia" w:ascii="楷体_GB2312" w:hAnsi="Times New Roman" w:eastAsia="楷体_GB2312" w:cs="Times New Roman"/>
          <w:bCs/>
          <w:sz w:val="32"/>
          <w:szCs w:val="32"/>
        </w:rPr>
        <w:t>提高建设用地节约集约用地水</w:t>
      </w:r>
      <w:r>
        <w:rPr>
          <w:rFonts w:hint="eastAsia" w:ascii="楷体_GB2312" w:hAnsi="Times New Roman" w:eastAsia="楷体_GB2312" w:cs="Times New Roman"/>
          <w:bCs/>
          <w:sz w:val="32"/>
          <w:szCs w:val="32"/>
          <w:lang w:val="en-US" w:eastAsia="zh-CN"/>
        </w:rPr>
        <w:t>平</w:t>
      </w:r>
      <w:bookmarkEnd w:id="150"/>
    </w:p>
    <w:p w14:paraId="08ECD094">
      <w:pPr>
        <w:tabs>
          <w:tab w:val="left" w:pos="353"/>
        </w:tabs>
        <w:spacing w:line="600" w:lineRule="exact"/>
        <w:ind w:firstLine="640"/>
        <w:rPr>
          <w:rFonts w:hint="eastAsia" w:ascii="仿宋_GB2312" w:hAnsi="仿宋_GB2312" w:eastAsia="仿宋_GB2312"/>
          <w:sz w:val="32"/>
          <w:szCs w:val="32"/>
          <w:lang w:eastAsia="zh-CN"/>
        </w:rPr>
      </w:pPr>
      <w:r>
        <w:rPr>
          <w:rFonts w:hint="eastAsia" w:ascii="楷体" w:hAnsi="楷体" w:eastAsia="楷体"/>
          <w:sz w:val="32"/>
          <w:szCs w:val="32"/>
        </w:rPr>
        <w:t>强化国土空间规划的引领作用，加强新增建设用地管控</w:t>
      </w:r>
      <w:r>
        <w:rPr>
          <w:rFonts w:hint="eastAsia" w:ascii="仿宋_GB2312" w:hAnsi="仿宋_GB2312" w:eastAsia="仿宋_GB2312"/>
          <w:sz w:val="32"/>
          <w:szCs w:val="32"/>
        </w:rPr>
        <w:t>。城镇空间以城镇开发边界约束，严格控制和引导城镇开发边界外城镇建设用地增长。建设项目优先利用存量土地，严格落实“增存挂钩”工作机制，引导产业、人口向</w:t>
      </w:r>
      <w:r>
        <w:rPr>
          <w:rFonts w:hint="eastAsia" w:ascii="仿宋_GB2312" w:hAnsi="仿宋_GB2312"/>
          <w:sz w:val="32"/>
          <w:szCs w:val="32"/>
          <w:lang w:val="en-US" w:eastAsia="zh-CN"/>
        </w:rPr>
        <w:t>镇区</w:t>
      </w:r>
      <w:r>
        <w:rPr>
          <w:rFonts w:hint="eastAsia" w:ascii="仿宋_GB2312" w:hAnsi="仿宋_GB2312" w:eastAsia="仿宋_GB2312"/>
          <w:sz w:val="32"/>
          <w:szCs w:val="32"/>
        </w:rPr>
        <w:t>集中。优化土地资源配置，促进产业节约集约用地，提高产业用地门槛。挖掘潜力，加快处置批而未供土地，加快实施城镇低效用地清理整治</w:t>
      </w:r>
      <w:r>
        <w:rPr>
          <w:rFonts w:hint="eastAsia" w:ascii="仿宋_GB2312" w:hAnsi="仿宋_GB2312"/>
          <w:sz w:val="32"/>
          <w:szCs w:val="32"/>
          <w:lang w:eastAsia="zh-CN"/>
        </w:rPr>
        <w:t>。</w:t>
      </w:r>
    </w:p>
    <w:p w14:paraId="11A56F4B">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51" w:name="_Toc17661"/>
      <w:r>
        <w:rPr>
          <w:rFonts w:hint="eastAsia" w:ascii="楷体_GB2312" w:hAnsi="Times New Roman" w:eastAsia="楷体_GB2312" w:cs="Times New Roman"/>
          <w:bCs/>
          <w:sz w:val="32"/>
          <w:szCs w:val="32"/>
        </w:rPr>
        <w:t>盘活利用批而未用土地</w:t>
      </w:r>
      <w:bookmarkEnd w:id="151"/>
    </w:p>
    <w:p w14:paraId="67C7FFD3">
      <w:pPr>
        <w:rPr>
          <w:rFonts w:hint="eastAsia" w:ascii="仿宋_GB2312" w:hAnsi="仿宋_GB2312" w:eastAsia="仿宋_GB2312"/>
          <w:sz w:val="32"/>
          <w:szCs w:val="32"/>
        </w:rPr>
      </w:pPr>
      <w:r>
        <w:rPr>
          <w:rFonts w:hint="eastAsia" w:ascii="楷体" w:hAnsi="楷体" w:eastAsia="楷体"/>
          <w:sz w:val="32"/>
          <w:szCs w:val="32"/>
        </w:rPr>
        <w:t>分类处置批而未供土地</w:t>
      </w:r>
      <w:r>
        <w:rPr>
          <w:rFonts w:hint="eastAsia" w:ascii="仿宋_GB2312" w:hAnsi="仿宋_GB2312" w:eastAsia="仿宋_GB2312"/>
          <w:sz w:val="32"/>
          <w:szCs w:val="32"/>
        </w:rPr>
        <w:t>。</w:t>
      </w:r>
      <w:r>
        <w:rPr>
          <w:rFonts w:hint="eastAsia" w:ascii="仿宋_GB2312" w:hAnsi="仿宋_GB2312"/>
          <w:sz w:val="32"/>
          <w:szCs w:val="32"/>
          <w:lang w:val="en-US" w:eastAsia="zh-CN"/>
        </w:rPr>
        <w:t>黑马河镇区现状有大量批而未供土地，</w:t>
      </w:r>
      <w:r>
        <w:rPr>
          <w:rFonts w:hint="eastAsia" w:ascii="仿宋_GB2312" w:hAnsi="仿宋_GB2312" w:eastAsia="仿宋_GB2312"/>
          <w:sz w:val="32"/>
          <w:szCs w:val="32"/>
        </w:rPr>
        <w:t>重点推进</w:t>
      </w:r>
      <w:r>
        <w:rPr>
          <w:rFonts w:hint="eastAsia" w:ascii="仿宋_GB2312" w:hAnsi="仿宋_GB2312"/>
          <w:sz w:val="32"/>
          <w:szCs w:val="32"/>
          <w:lang w:val="en-US" w:eastAsia="zh-CN"/>
        </w:rPr>
        <w:t>此类土地</w:t>
      </w:r>
      <w:r>
        <w:rPr>
          <w:rFonts w:hint="eastAsia" w:ascii="仿宋_GB2312" w:hAnsi="仿宋_GB2312" w:eastAsia="仿宋_GB2312"/>
          <w:sz w:val="32"/>
          <w:szCs w:val="32"/>
        </w:rPr>
        <w:t>的开发利用，按照“一地一策”制定分类处置方案。完善配套基础设施、公共服务设施，统筹城镇功能再造、产业结构调整，确保城镇低效用地再开发健康有序推进。</w:t>
      </w:r>
    </w:p>
    <w:p w14:paraId="125CE6A7">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52" w:name="_Toc26005"/>
      <w:r>
        <w:rPr>
          <w:rFonts w:hint="eastAsia" w:ascii="楷体_GB2312" w:hAnsi="Times New Roman" w:eastAsia="楷体_GB2312" w:cs="Times New Roman"/>
          <w:bCs/>
          <w:sz w:val="32"/>
          <w:szCs w:val="32"/>
        </w:rPr>
        <w:t>稳妥推进城乡建设用地增减挂钩</w:t>
      </w:r>
      <w:bookmarkEnd w:id="152"/>
    </w:p>
    <w:p w14:paraId="684205C9">
      <w:pPr>
        <w:rPr>
          <w:rFonts w:hint="eastAsia" w:ascii="仿宋_GB2312" w:hAnsi="仿宋_GB2312" w:eastAsia="仿宋_GB2312"/>
          <w:sz w:val="32"/>
          <w:szCs w:val="32"/>
          <w:lang w:bidi="ar"/>
        </w:rPr>
      </w:pPr>
      <w:r>
        <w:rPr>
          <w:rFonts w:hint="eastAsia" w:ascii="仿宋_GB2312" w:hAnsi="仿宋_GB2312" w:eastAsia="仿宋_GB2312"/>
          <w:sz w:val="32"/>
          <w:szCs w:val="32"/>
        </w:rPr>
        <w:t>顺应城乡发展规律和演变趋势，因地制宜、量力而行，统筹规划、有序推进城乡建设用地增减挂钩。</w:t>
      </w:r>
      <w:r>
        <w:rPr>
          <w:rFonts w:hint="eastAsia" w:ascii="仿宋_GB2312" w:hAnsi="仿宋_GB2312" w:eastAsia="仿宋_GB2312"/>
          <w:sz w:val="32"/>
          <w:szCs w:val="32"/>
          <w:lang w:bidi="ar"/>
        </w:rPr>
        <w:t>完善城乡建设用地增减挂钩制度，充分尊重农民意愿，稳妥有序推进农村低效建设用地整治</w:t>
      </w:r>
      <w:r>
        <w:rPr>
          <w:rFonts w:hint="eastAsia" w:ascii="仿宋_GB2312" w:hAnsi="仿宋_GB2312"/>
          <w:sz w:val="32"/>
          <w:szCs w:val="32"/>
          <w:lang w:eastAsia="zh-CN" w:bidi="ar"/>
        </w:rPr>
        <w:t>。</w:t>
      </w:r>
      <w:r>
        <w:rPr>
          <w:rFonts w:hint="eastAsia" w:ascii="仿宋_GB2312" w:hAnsi="仿宋_GB2312" w:eastAsia="仿宋_GB2312"/>
          <w:sz w:val="32"/>
          <w:szCs w:val="32"/>
          <w:lang w:bidi="ar"/>
        </w:rPr>
        <w:t>整合利用人口流出后腾出的各类土地，增加农业生产空间特别是耕地面积。</w:t>
      </w:r>
    </w:p>
    <w:p w14:paraId="5DAC562F">
      <w:pPr>
        <w:rPr>
          <w:rFonts w:hint="eastAsia" w:ascii="仿宋_GB2312" w:hAnsi="仿宋_GB2312" w:eastAsia="仿宋_GB2312"/>
          <w:sz w:val="32"/>
          <w:szCs w:val="32"/>
          <w:lang w:bidi="ar"/>
        </w:rPr>
      </w:pPr>
      <w:r>
        <w:rPr>
          <w:rFonts w:hint="eastAsia" w:ascii="仿宋_GB2312" w:hAnsi="仿宋_GB2312" w:eastAsia="仿宋_GB2312"/>
          <w:sz w:val="32"/>
          <w:szCs w:val="32"/>
          <w:lang w:bidi="ar"/>
        </w:rPr>
        <w:br w:type="page"/>
      </w:r>
    </w:p>
    <w:p w14:paraId="7DC46E34">
      <w:pPr>
        <w:pStyle w:val="2"/>
        <w:ind w:left="-140"/>
        <w:rPr>
          <w:rFonts w:hint="eastAsia" w:ascii="方正小标宋简体" w:hAnsi="方正小标宋简体" w:eastAsia="方正小标宋简体" w:cs="方正小标宋简体"/>
          <w:b w:val="0"/>
          <w:bCs w:val="0"/>
          <w:lang w:val="en-US" w:eastAsia="zh-CN"/>
        </w:rPr>
      </w:pPr>
      <w:bookmarkStart w:id="153" w:name="_Toc83629651"/>
      <w:bookmarkStart w:id="154" w:name="_Toc83628791"/>
      <w:bookmarkStart w:id="155" w:name="_Toc83629372"/>
      <w:bookmarkStart w:id="156" w:name="_Toc83629172"/>
      <w:bookmarkStart w:id="157" w:name="_Toc27593"/>
      <w:bookmarkStart w:id="158" w:name="_Toc11072"/>
      <w:r>
        <w:rPr>
          <w:rFonts w:hint="eastAsia" w:ascii="方正小标宋简体" w:hAnsi="方正小标宋简体" w:eastAsia="方正小标宋简体" w:cs="方正小标宋简体"/>
          <w:b w:val="0"/>
          <w:bCs w:val="0"/>
          <w:lang w:val="en-US" w:eastAsia="zh-CN"/>
        </w:rPr>
        <w:t>强化镇区建设，</w:t>
      </w:r>
      <w:bookmarkEnd w:id="153"/>
      <w:bookmarkEnd w:id="154"/>
      <w:bookmarkEnd w:id="155"/>
      <w:bookmarkEnd w:id="156"/>
      <w:bookmarkEnd w:id="157"/>
      <w:r>
        <w:rPr>
          <w:rFonts w:hint="eastAsia" w:ascii="方正小标宋简体" w:hAnsi="方正小标宋简体" w:eastAsia="方正小标宋简体" w:cs="方正小标宋简体"/>
          <w:b w:val="0"/>
          <w:bCs w:val="0"/>
          <w:lang w:val="en-US" w:eastAsia="zh-CN"/>
        </w:rPr>
        <w:t>培育区域核心城镇</w:t>
      </w:r>
      <w:bookmarkEnd w:id="158"/>
    </w:p>
    <w:p w14:paraId="10A4F11C">
      <w:pPr>
        <w:pStyle w:val="3"/>
        <w:numPr>
          <w:ilvl w:val="0"/>
          <w:numId w:val="14"/>
        </w:numPr>
      </w:pPr>
      <w:bookmarkStart w:id="159" w:name="_Toc5657"/>
      <w:bookmarkStart w:id="160" w:name="_Toc18946"/>
      <w:r>
        <w:rPr>
          <w:rFonts w:hint="eastAsia"/>
          <w:lang w:val="en-US" w:eastAsia="zh-CN"/>
        </w:rPr>
        <w:t>功能与</w:t>
      </w:r>
      <w:r>
        <w:rPr>
          <w:rFonts w:hint="eastAsia"/>
        </w:rPr>
        <w:t>用地布局</w:t>
      </w:r>
      <w:bookmarkEnd w:id="159"/>
      <w:bookmarkEnd w:id="160"/>
    </w:p>
    <w:p w14:paraId="6B1C8992">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161" w:name="_Toc12480"/>
      <w:bookmarkStart w:id="162" w:name="_Toc26692"/>
      <w:r>
        <w:rPr>
          <w:rFonts w:hint="eastAsia" w:ascii="楷体_GB2312" w:hAnsi="Times New Roman" w:eastAsia="楷体_GB2312" w:cs="Times New Roman"/>
          <w:bCs/>
          <w:sz w:val="32"/>
          <w:szCs w:val="32"/>
          <w:lang w:val="en-US" w:eastAsia="zh-CN"/>
        </w:rPr>
        <w:t>细化规划分区</w:t>
      </w:r>
      <w:bookmarkEnd w:id="161"/>
      <w:r>
        <w:rPr>
          <w:rFonts w:hint="eastAsia" w:ascii="楷体_GB2312" w:hAnsi="Times New Roman" w:eastAsia="楷体_GB2312" w:cs="Times New Roman"/>
          <w:bCs/>
          <w:sz w:val="32"/>
          <w:szCs w:val="32"/>
          <w:lang w:val="en-US" w:eastAsia="zh-CN"/>
        </w:rPr>
        <w:t>，明确用途分类引导</w:t>
      </w:r>
      <w:bookmarkEnd w:id="162"/>
    </w:p>
    <w:p w14:paraId="3001A47F">
      <w:pPr>
        <w:ind w:firstLine="560"/>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规划对镇区规划分区进行细化，明确用途分类指导。</w:t>
      </w:r>
      <w:r>
        <w:rPr>
          <w:rFonts w:hint="eastAsia" w:ascii="仿宋_GB2312" w:hAnsi="仿宋_GB2312" w:cs="仿宋_GB2312"/>
          <w:lang w:val="en-US" w:eastAsia="zh-CN"/>
        </w:rPr>
        <w:t>规划</w:t>
      </w:r>
      <w:r>
        <w:rPr>
          <w:rFonts w:hint="eastAsia" w:ascii="仿宋_GB2312" w:hAnsi="仿宋_GB2312" w:eastAsia="仿宋_GB2312" w:cs="仿宋_GB2312"/>
          <w:lang w:val="en-US" w:eastAsia="zh-CN"/>
        </w:rPr>
        <w:t>划定</w:t>
      </w:r>
      <w:r>
        <w:rPr>
          <w:rFonts w:hint="eastAsia" w:ascii="仿宋_GB2312" w:hAnsi="仿宋_GB2312" w:eastAsia="仿宋_GB2312" w:cs="仿宋_GB2312"/>
        </w:rPr>
        <w:t>居住生活区</w:t>
      </w:r>
      <w:r>
        <w:rPr>
          <w:rFonts w:hint="eastAsia" w:ascii="仿宋_GB2312" w:hAnsi="仿宋_GB2312" w:cs="仿宋_GB2312"/>
          <w:lang w:val="en-US" w:eastAsia="zh-CN"/>
        </w:rPr>
        <w:t>8.47</w:t>
      </w:r>
      <w:r>
        <w:rPr>
          <w:rFonts w:hint="eastAsia" w:ascii="仿宋_GB2312" w:hAnsi="仿宋_GB2312" w:eastAsia="仿宋_GB2312" w:cs="仿宋_GB2312"/>
        </w:rPr>
        <w:t>公顷</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占比</w:t>
      </w:r>
      <w:r>
        <w:rPr>
          <w:rFonts w:hint="eastAsia" w:ascii="仿宋_GB2312" w:hAnsi="仿宋_GB2312" w:cs="仿宋_GB2312"/>
          <w:lang w:val="en-US" w:eastAsia="zh-CN"/>
        </w:rPr>
        <w:t>7.94</w:t>
      </w:r>
      <w:r>
        <w:rPr>
          <w:rFonts w:hint="eastAsia" w:ascii="仿宋_GB2312" w:hAnsi="仿宋_GB2312" w:eastAsia="仿宋_GB2312" w:cs="仿宋_GB2312"/>
          <w:lang w:val="en-US" w:eastAsia="zh-CN"/>
        </w:rPr>
        <w:t>%</w:t>
      </w:r>
      <w:r>
        <w:rPr>
          <w:rFonts w:hint="eastAsia" w:ascii="仿宋_GB2312" w:hAnsi="仿宋_GB2312" w:eastAsia="仿宋_GB2312" w:cs="仿宋_GB2312"/>
        </w:rPr>
        <w:t>，</w:t>
      </w:r>
      <w:r>
        <w:rPr>
          <w:rFonts w:hint="eastAsia" w:ascii="仿宋_GB2312" w:hAnsi="仿宋_GB2312" w:eastAsia="仿宋_GB2312" w:cs="仿宋_GB2312"/>
          <w:lang w:val="en-US" w:eastAsia="zh-CN"/>
        </w:rPr>
        <w:t>位于</w:t>
      </w:r>
      <w:r>
        <w:rPr>
          <w:rFonts w:hint="eastAsia" w:ascii="仿宋_GB2312" w:hAnsi="仿宋_GB2312" w:cs="仿宋_GB2312"/>
          <w:lang w:val="en-US" w:eastAsia="zh-CN"/>
        </w:rPr>
        <w:t>镇区西南侧及东南侧区域</w:t>
      </w:r>
      <w:r>
        <w:rPr>
          <w:rFonts w:hint="eastAsia" w:ascii="仿宋_GB2312" w:hAnsi="仿宋_GB2312" w:eastAsia="仿宋_GB2312" w:cs="仿宋_GB2312"/>
          <w:lang w:val="en-US" w:eastAsia="zh-CN"/>
        </w:rPr>
        <w:t>；</w:t>
      </w:r>
      <w:r>
        <w:rPr>
          <w:rFonts w:hint="eastAsia" w:ascii="仿宋_GB2312" w:hAnsi="仿宋_GB2312" w:eastAsia="仿宋_GB2312" w:cs="仿宋_GB2312"/>
        </w:rPr>
        <w:t>综合服务区</w:t>
      </w:r>
      <w:r>
        <w:rPr>
          <w:rFonts w:hint="eastAsia" w:ascii="仿宋_GB2312" w:hAnsi="仿宋_GB2312" w:cs="仿宋_GB2312"/>
          <w:lang w:val="en-US" w:eastAsia="zh-CN"/>
        </w:rPr>
        <w:t>13.31</w:t>
      </w:r>
      <w:r>
        <w:rPr>
          <w:rFonts w:hint="eastAsia" w:ascii="仿宋_GB2312" w:hAnsi="仿宋_GB2312" w:eastAsia="仿宋_GB2312" w:cs="仿宋_GB2312"/>
        </w:rPr>
        <w:t>公顷，</w:t>
      </w:r>
      <w:r>
        <w:rPr>
          <w:rFonts w:hint="eastAsia" w:ascii="仿宋_GB2312" w:hAnsi="仿宋_GB2312" w:eastAsia="仿宋_GB2312" w:cs="仿宋_GB2312"/>
          <w:lang w:val="en-US" w:eastAsia="zh-CN"/>
        </w:rPr>
        <w:t>占比</w:t>
      </w:r>
      <w:r>
        <w:rPr>
          <w:rFonts w:hint="eastAsia" w:ascii="仿宋_GB2312" w:hAnsi="仿宋_GB2312" w:cs="仿宋_GB2312"/>
          <w:lang w:val="en-US" w:eastAsia="zh-CN"/>
        </w:rPr>
        <w:t>12.48</w:t>
      </w:r>
      <w:r>
        <w:rPr>
          <w:rFonts w:hint="eastAsia" w:ascii="仿宋_GB2312" w:hAnsi="仿宋_GB2312" w:eastAsia="仿宋_GB2312" w:cs="仿宋_GB2312"/>
          <w:lang w:val="en-US" w:eastAsia="zh-CN"/>
        </w:rPr>
        <w:t>%，位于镇区</w:t>
      </w:r>
      <w:r>
        <w:rPr>
          <w:rFonts w:hint="eastAsia" w:ascii="仿宋_GB2312" w:hAnsi="仿宋_GB2312" w:cs="仿宋_GB2312"/>
          <w:lang w:val="en-US" w:eastAsia="zh-CN"/>
        </w:rPr>
        <w:t>中部小学及西北侧镇政府周边区域</w:t>
      </w:r>
      <w:r>
        <w:rPr>
          <w:rFonts w:hint="eastAsia" w:ascii="仿宋_GB2312" w:hAnsi="仿宋_GB2312" w:eastAsia="仿宋_GB2312" w:cs="仿宋_GB2312"/>
          <w:lang w:val="en-US" w:eastAsia="zh-CN"/>
        </w:rPr>
        <w:t>；</w:t>
      </w:r>
      <w:r>
        <w:rPr>
          <w:rFonts w:hint="eastAsia" w:ascii="仿宋_GB2312" w:hAnsi="仿宋_GB2312" w:eastAsia="仿宋_GB2312" w:cs="仿宋_GB2312"/>
        </w:rPr>
        <w:t>商业商务区</w:t>
      </w:r>
      <w:r>
        <w:rPr>
          <w:rFonts w:hint="eastAsia" w:ascii="仿宋_GB2312" w:hAnsi="仿宋_GB2312" w:cs="仿宋_GB2312"/>
          <w:lang w:val="en-US" w:eastAsia="zh-CN"/>
        </w:rPr>
        <w:t>57.70</w:t>
      </w:r>
      <w:r>
        <w:rPr>
          <w:rFonts w:hint="eastAsia" w:ascii="仿宋_GB2312" w:hAnsi="仿宋_GB2312" w:eastAsia="仿宋_GB2312" w:cs="仿宋_GB2312"/>
        </w:rPr>
        <w:t>公顷，</w:t>
      </w:r>
      <w:r>
        <w:rPr>
          <w:rFonts w:hint="eastAsia" w:ascii="仿宋_GB2312" w:hAnsi="仿宋_GB2312" w:eastAsia="仿宋_GB2312" w:cs="仿宋_GB2312"/>
          <w:lang w:val="en-US" w:eastAsia="zh-CN"/>
        </w:rPr>
        <w:t>占比</w:t>
      </w:r>
      <w:r>
        <w:rPr>
          <w:rFonts w:hint="eastAsia" w:ascii="仿宋_GB2312" w:hAnsi="仿宋_GB2312" w:cs="仿宋_GB2312"/>
          <w:lang w:val="en-US" w:eastAsia="zh-CN"/>
        </w:rPr>
        <w:t>54.11</w:t>
      </w:r>
      <w:r>
        <w:rPr>
          <w:rFonts w:hint="eastAsia" w:ascii="仿宋_GB2312" w:hAnsi="仿宋_GB2312" w:eastAsia="仿宋_GB2312" w:cs="仿宋_GB2312"/>
          <w:lang w:val="en-US" w:eastAsia="zh-CN"/>
        </w:rPr>
        <w:t>%，位于镇区</w:t>
      </w:r>
      <w:r>
        <w:rPr>
          <w:rFonts w:hint="eastAsia" w:ascii="仿宋_GB2312" w:hAnsi="仿宋_GB2312" w:cs="仿宋_GB2312"/>
          <w:lang w:val="en-US" w:eastAsia="zh-CN"/>
        </w:rPr>
        <w:t>东部观日路和黑马河大街沿街两侧及镇区西北侧区域</w:t>
      </w:r>
      <w:r>
        <w:rPr>
          <w:rFonts w:hint="eastAsia" w:ascii="仿宋_GB2312" w:hAnsi="仿宋_GB2312" w:eastAsia="仿宋_GB2312" w:cs="仿宋_GB2312"/>
          <w:lang w:val="en-US" w:eastAsia="zh-CN"/>
        </w:rPr>
        <w:t>；</w:t>
      </w:r>
      <w:r>
        <w:rPr>
          <w:rFonts w:hint="eastAsia" w:ascii="仿宋_GB2312" w:hAnsi="仿宋_GB2312" w:eastAsia="仿宋_GB2312" w:cs="仿宋_GB2312"/>
        </w:rPr>
        <w:t>绿地休闲区</w:t>
      </w:r>
      <w:r>
        <w:rPr>
          <w:rFonts w:hint="eastAsia" w:ascii="仿宋_GB2312" w:hAnsi="仿宋_GB2312" w:cs="仿宋_GB2312"/>
          <w:lang w:val="en-US" w:eastAsia="zh-CN"/>
        </w:rPr>
        <w:t>2.90</w:t>
      </w:r>
      <w:r>
        <w:rPr>
          <w:rFonts w:hint="eastAsia" w:ascii="仿宋_GB2312" w:hAnsi="仿宋_GB2312" w:eastAsia="仿宋_GB2312" w:cs="仿宋_GB2312"/>
        </w:rPr>
        <w:t>公顷</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占比</w:t>
      </w:r>
      <w:r>
        <w:rPr>
          <w:rFonts w:hint="eastAsia" w:ascii="仿宋_GB2312" w:hAnsi="仿宋_GB2312" w:cs="仿宋_GB2312"/>
          <w:lang w:val="en-US" w:eastAsia="zh-CN"/>
        </w:rPr>
        <w:t>2.72</w:t>
      </w:r>
      <w:r>
        <w:rPr>
          <w:rFonts w:hint="eastAsia" w:ascii="仿宋_GB2312" w:hAnsi="仿宋_GB2312" w:eastAsia="仿宋_GB2312" w:cs="仿宋_GB2312"/>
          <w:lang w:val="en-US" w:eastAsia="zh-CN"/>
        </w:rPr>
        <w:t>%</w:t>
      </w:r>
      <w:r>
        <w:rPr>
          <w:rFonts w:hint="eastAsia" w:ascii="仿宋_GB2312" w:hAnsi="仿宋_GB2312" w:eastAsia="仿宋_GB2312" w:cs="仿宋_GB2312"/>
        </w:rPr>
        <w:t>，</w:t>
      </w:r>
      <w:r>
        <w:rPr>
          <w:rFonts w:hint="eastAsia" w:ascii="仿宋_GB2312" w:hAnsi="仿宋_GB2312" w:eastAsia="仿宋_GB2312" w:cs="仿宋_GB2312"/>
          <w:lang w:val="en-US" w:eastAsia="zh-CN"/>
        </w:rPr>
        <w:t>位于</w:t>
      </w:r>
      <w:r>
        <w:rPr>
          <w:rFonts w:hint="eastAsia" w:ascii="仿宋_GB2312" w:hAnsi="仿宋_GB2312" w:cs="仿宋_GB2312"/>
          <w:lang w:val="en-US" w:eastAsia="zh-CN"/>
        </w:rPr>
        <w:t>镇政府东南侧和黑马河大街两侧区域；交通枢纽区24.26公顷，占比22.75%，主要为镇区内市政道路和停车场。</w:t>
      </w:r>
    </w:p>
    <w:p w14:paraId="17F48FA5">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63" w:name="_Toc132547421"/>
      <w:bookmarkStart w:id="164" w:name="_Toc22956"/>
      <w:r>
        <w:rPr>
          <w:rFonts w:hint="eastAsia" w:ascii="楷体_GB2312" w:hAnsi="Times New Roman" w:eastAsia="楷体_GB2312" w:cs="Times New Roman"/>
          <w:bCs/>
          <w:sz w:val="32"/>
          <w:szCs w:val="32"/>
          <w:lang w:val="en-US" w:eastAsia="zh-CN"/>
        </w:rPr>
        <w:t>落实空间结构，细化用地布局</w:t>
      </w:r>
      <w:bookmarkEnd w:id="163"/>
      <w:bookmarkEnd w:id="164"/>
    </w:p>
    <w:p w14:paraId="588E6FEC">
      <w:pPr>
        <w:ind w:firstLine="560"/>
        <w:rPr>
          <w:rFonts w:hint="eastAsia" w:ascii="仿宋_GB2312" w:hAnsi="仿宋_GB2312" w:eastAsia="仿宋_GB2312" w:cs="仿宋_GB2312"/>
        </w:rPr>
      </w:pPr>
      <w:r>
        <w:rPr>
          <w:rFonts w:hint="eastAsia" w:ascii="仿宋_GB2312" w:hAnsi="仿宋_GB2312" w:eastAsia="仿宋_GB2312" w:cs="仿宋_GB2312"/>
        </w:rPr>
        <w:t>依据上位规划中乡镇主要传导指标，对黑马河镇城镇开发边界进行落实，对黑马河镇镇区进行划定，</w:t>
      </w:r>
      <w:r>
        <w:rPr>
          <w:rFonts w:hint="eastAsia" w:ascii="仿宋_GB2312" w:hAnsi="仿宋_GB2312" w:eastAsia="仿宋_GB2312" w:cs="仿宋_GB2312"/>
          <w:lang w:val="en-US" w:eastAsia="zh-CN"/>
        </w:rPr>
        <w:t>规划</w:t>
      </w:r>
      <w:r>
        <w:rPr>
          <w:rFonts w:hint="eastAsia" w:ascii="仿宋_GB2312" w:hAnsi="仿宋_GB2312" w:eastAsia="仿宋_GB2312" w:cs="仿宋_GB2312"/>
        </w:rPr>
        <w:t>到2035年，规划镇区面积约106.64公顷。其中：</w:t>
      </w:r>
    </w:p>
    <w:p w14:paraId="2DC2F63C">
      <w:pPr>
        <w:ind w:firstLine="560"/>
        <w:rPr>
          <w:rFonts w:hint="default" w:ascii="仿宋_GB2312" w:hAnsi="仿宋_GB2312" w:eastAsia="仿宋_GB2312" w:cs="仿宋_GB2312"/>
          <w:lang w:val="en-US" w:eastAsia="zh-CN"/>
        </w:rPr>
      </w:pPr>
      <w:r>
        <w:rPr>
          <w:rFonts w:hint="eastAsia" w:ascii="仿宋_GB2312" w:hAnsi="仿宋_GB2312" w:eastAsia="仿宋_GB2312" w:cs="仿宋_GB2312"/>
        </w:rPr>
        <w:t>包含居住用地面积</w:t>
      </w:r>
      <w:r>
        <w:rPr>
          <w:rFonts w:hint="eastAsia" w:ascii="仿宋_GB2312" w:hAnsi="仿宋_GB2312" w:cs="仿宋_GB2312"/>
          <w:lang w:val="en-US" w:eastAsia="zh-CN"/>
        </w:rPr>
        <w:t>8.04</w:t>
      </w:r>
      <w:r>
        <w:rPr>
          <w:rFonts w:hint="eastAsia" w:ascii="仿宋_GB2312" w:hAnsi="仿宋_GB2312" w:eastAsia="仿宋_GB2312" w:cs="仿宋_GB2312"/>
        </w:rPr>
        <w:t>公顷，占镇区用地总量的</w:t>
      </w:r>
      <w:r>
        <w:rPr>
          <w:rFonts w:hint="eastAsia" w:ascii="仿宋_GB2312" w:hAnsi="仿宋_GB2312" w:cs="仿宋_GB2312"/>
          <w:lang w:val="en-US" w:eastAsia="zh-CN"/>
        </w:rPr>
        <w:t>7.55</w:t>
      </w:r>
      <w:r>
        <w:rPr>
          <w:rFonts w:hint="eastAsia" w:ascii="仿宋_GB2312" w:hAnsi="仿宋_GB2312" w:eastAsia="仿宋_GB2312" w:cs="仿宋_GB2312"/>
        </w:rPr>
        <w:t>%；公共管理与公共服务用地面积</w:t>
      </w:r>
      <w:r>
        <w:rPr>
          <w:rFonts w:hint="eastAsia" w:ascii="仿宋_GB2312" w:hAnsi="仿宋_GB2312" w:cs="仿宋_GB2312"/>
          <w:lang w:val="en-US" w:eastAsia="zh-CN"/>
        </w:rPr>
        <w:t>15.00</w:t>
      </w:r>
      <w:r>
        <w:rPr>
          <w:rFonts w:hint="eastAsia" w:ascii="仿宋_GB2312" w:hAnsi="仿宋_GB2312" w:eastAsia="仿宋_GB2312" w:cs="仿宋_GB2312"/>
        </w:rPr>
        <w:t>公顷，占镇区用地总量的</w:t>
      </w:r>
      <w:r>
        <w:rPr>
          <w:rFonts w:hint="eastAsia" w:ascii="仿宋_GB2312" w:hAnsi="仿宋_GB2312" w:cs="仿宋_GB2312"/>
          <w:lang w:val="en-US" w:eastAsia="zh-CN"/>
        </w:rPr>
        <w:t>14.07</w:t>
      </w:r>
      <w:r>
        <w:rPr>
          <w:rFonts w:hint="eastAsia" w:ascii="仿宋_GB2312" w:hAnsi="仿宋_GB2312" w:eastAsia="仿宋_GB2312" w:cs="仿宋_GB2312"/>
        </w:rPr>
        <w:t>%；商业服务业用地面积</w:t>
      </w:r>
      <w:r>
        <w:rPr>
          <w:rFonts w:hint="eastAsia" w:ascii="仿宋_GB2312" w:hAnsi="仿宋_GB2312" w:cs="仿宋_GB2312"/>
          <w:lang w:val="en-US" w:eastAsia="zh-CN"/>
        </w:rPr>
        <w:t>52.91</w:t>
      </w:r>
      <w:r>
        <w:rPr>
          <w:rFonts w:hint="eastAsia" w:ascii="仿宋_GB2312" w:hAnsi="仿宋_GB2312" w:eastAsia="仿宋_GB2312" w:cs="仿宋_GB2312"/>
        </w:rPr>
        <w:t>公顷，占镇区用地总量的</w:t>
      </w:r>
      <w:r>
        <w:rPr>
          <w:rFonts w:hint="eastAsia" w:ascii="仿宋_GB2312" w:hAnsi="仿宋_GB2312" w:cs="仿宋_GB2312"/>
          <w:lang w:val="en-US" w:eastAsia="zh-CN"/>
        </w:rPr>
        <w:t>49.62</w:t>
      </w:r>
      <w:r>
        <w:rPr>
          <w:rFonts w:hint="eastAsia" w:ascii="仿宋_GB2312" w:hAnsi="仿宋_GB2312" w:eastAsia="仿宋_GB2312" w:cs="仿宋_GB2312"/>
        </w:rPr>
        <w:t>%；交通</w:t>
      </w:r>
      <w:r>
        <w:rPr>
          <w:rFonts w:hint="eastAsia" w:ascii="仿宋_GB2312" w:hAnsi="仿宋_GB2312" w:cs="仿宋_GB2312"/>
          <w:lang w:val="en-US" w:eastAsia="zh-CN"/>
        </w:rPr>
        <w:t>运输</w:t>
      </w:r>
      <w:r>
        <w:rPr>
          <w:rFonts w:hint="eastAsia" w:ascii="仿宋_GB2312" w:hAnsi="仿宋_GB2312" w:eastAsia="仿宋_GB2312" w:cs="仿宋_GB2312"/>
        </w:rPr>
        <w:t>用地面积</w:t>
      </w:r>
      <w:r>
        <w:rPr>
          <w:rFonts w:hint="eastAsia" w:ascii="仿宋_GB2312" w:hAnsi="仿宋_GB2312" w:cs="仿宋_GB2312"/>
          <w:lang w:val="en-US" w:eastAsia="zh-CN"/>
        </w:rPr>
        <w:t>24.73</w:t>
      </w:r>
      <w:r>
        <w:rPr>
          <w:rFonts w:hint="eastAsia" w:ascii="仿宋_GB2312" w:hAnsi="仿宋_GB2312" w:eastAsia="仿宋_GB2312" w:cs="仿宋_GB2312"/>
        </w:rPr>
        <w:t>公顷，占镇区用地总量的</w:t>
      </w:r>
      <w:r>
        <w:rPr>
          <w:rFonts w:hint="eastAsia" w:ascii="仿宋_GB2312" w:hAnsi="仿宋_GB2312" w:cs="仿宋_GB2312"/>
          <w:lang w:val="en-US" w:eastAsia="zh-CN"/>
        </w:rPr>
        <w:t>23.19</w:t>
      </w:r>
      <w:r>
        <w:rPr>
          <w:rFonts w:hint="eastAsia" w:ascii="仿宋_GB2312" w:hAnsi="仿宋_GB2312" w:eastAsia="仿宋_GB2312" w:cs="仿宋_GB2312"/>
        </w:rPr>
        <w:t>%；公用设施用地面积1.32公顷，占镇区用地总量的1.2</w:t>
      </w:r>
      <w:r>
        <w:rPr>
          <w:rFonts w:hint="eastAsia" w:ascii="仿宋_GB2312" w:hAnsi="仿宋_GB2312" w:eastAsia="仿宋_GB2312" w:cs="仿宋_GB2312"/>
          <w:lang w:val="en-US" w:eastAsia="zh-CN"/>
        </w:rPr>
        <w:t>4</w:t>
      </w:r>
      <w:r>
        <w:rPr>
          <w:rFonts w:hint="eastAsia" w:ascii="仿宋_GB2312" w:hAnsi="仿宋_GB2312" w:eastAsia="仿宋_GB2312" w:cs="仿宋_GB2312"/>
        </w:rPr>
        <w:t>%；绿地与开敞空间用地面积</w:t>
      </w:r>
      <w:r>
        <w:rPr>
          <w:rFonts w:hint="eastAsia" w:ascii="仿宋_GB2312" w:hAnsi="仿宋_GB2312" w:cs="仿宋_GB2312"/>
          <w:lang w:val="en-US" w:eastAsia="zh-CN"/>
        </w:rPr>
        <w:t>4.39</w:t>
      </w:r>
      <w:r>
        <w:rPr>
          <w:rFonts w:hint="eastAsia" w:ascii="仿宋_GB2312" w:hAnsi="仿宋_GB2312" w:eastAsia="仿宋_GB2312" w:cs="仿宋_GB2312"/>
        </w:rPr>
        <w:t>公顷，占镇区用地总量的</w:t>
      </w:r>
      <w:r>
        <w:rPr>
          <w:rFonts w:hint="eastAsia" w:ascii="仿宋_GB2312" w:hAnsi="仿宋_GB2312" w:cs="仿宋_GB2312"/>
          <w:lang w:val="en-US" w:eastAsia="zh-CN"/>
        </w:rPr>
        <w:t>4.12</w:t>
      </w:r>
      <w:r>
        <w:rPr>
          <w:rFonts w:hint="eastAsia" w:ascii="仿宋_GB2312" w:hAnsi="仿宋_GB2312" w:eastAsia="仿宋_GB2312" w:cs="仿宋_GB2312"/>
        </w:rPr>
        <w:t>%</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特殊用地面积0.2</w:t>
      </w:r>
      <w:r>
        <w:rPr>
          <w:rFonts w:hint="eastAsia" w:ascii="仿宋_GB2312" w:hAnsi="仿宋_GB2312" w:cs="仿宋_GB2312"/>
          <w:lang w:val="en-US" w:eastAsia="zh-CN"/>
        </w:rPr>
        <w:t>4</w:t>
      </w:r>
      <w:r>
        <w:rPr>
          <w:rFonts w:hint="eastAsia" w:ascii="仿宋_GB2312" w:hAnsi="仿宋_GB2312" w:eastAsia="仿宋_GB2312" w:cs="仿宋_GB2312"/>
          <w:lang w:val="en-US" w:eastAsia="zh-CN"/>
        </w:rPr>
        <w:t>公顷，占镇区用地面积的0.2</w:t>
      </w:r>
      <w:r>
        <w:rPr>
          <w:rFonts w:hint="eastAsia" w:ascii="仿宋_GB2312" w:hAnsi="仿宋_GB2312" w:cs="仿宋_GB2312"/>
          <w:lang w:val="en-US" w:eastAsia="zh-CN"/>
        </w:rPr>
        <w:t>3</w:t>
      </w:r>
      <w:r>
        <w:rPr>
          <w:rFonts w:hint="eastAsia" w:ascii="仿宋_GB2312" w:hAnsi="仿宋_GB2312" w:eastAsia="仿宋_GB2312" w:cs="仿宋_GB2312"/>
          <w:lang w:val="en-US" w:eastAsia="zh-CN"/>
        </w:rPr>
        <w:t>%。</w:t>
      </w:r>
    </w:p>
    <w:p w14:paraId="370B7EE6">
      <w:pPr>
        <w:pStyle w:val="3"/>
        <w:numPr>
          <w:ilvl w:val="0"/>
          <w:numId w:val="9"/>
        </w:numPr>
      </w:pPr>
      <w:bookmarkStart w:id="165" w:name="_Toc7213"/>
      <w:bookmarkStart w:id="166" w:name="_Toc14264"/>
      <w:r>
        <w:rPr>
          <w:rFonts w:hint="eastAsia"/>
          <w:lang w:val="en-US" w:eastAsia="zh-CN"/>
        </w:rPr>
        <w:t>居住与</w:t>
      </w:r>
      <w:r>
        <w:rPr>
          <w:rFonts w:hint="eastAsia"/>
        </w:rPr>
        <w:t>住房</w:t>
      </w:r>
      <w:r>
        <w:rPr>
          <w:rFonts w:hint="eastAsia"/>
          <w:lang w:val="en-US" w:eastAsia="zh-CN"/>
        </w:rPr>
        <w:t>保障</w:t>
      </w:r>
      <w:bookmarkEnd w:id="165"/>
      <w:bookmarkEnd w:id="166"/>
    </w:p>
    <w:p w14:paraId="4C91405D">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67" w:name="_Toc19049"/>
      <w:bookmarkStart w:id="168" w:name="_Toc27228"/>
      <w:r>
        <w:rPr>
          <w:rFonts w:hint="eastAsia" w:ascii="楷体_GB2312" w:hAnsi="Times New Roman" w:eastAsia="楷体_GB2312" w:cs="Times New Roman"/>
          <w:bCs/>
          <w:sz w:val="32"/>
          <w:szCs w:val="32"/>
          <w:lang w:val="en-US" w:eastAsia="zh-CN"/>
        </w:rPr>
        <w:t>居住空间布局</w:t>
      </w:r>
      <w:bookmarkEnd w:id="167"/>
      <w:bookmarkEnd w:id="168"/>
    </w:p>
    <w:p w14:paraId="5335DEBA">
      <w:pPr>
        <w:ind w:firstLine="560"/>
        <w:rPr>
          <w:rFonts w:hint="eastAsia" w:ascii="仿宋_GB2312" w:hAnsi="仿宋_GB2312" w:eastAsia="仿宋_GB2312" w:cs="仿宋_GB2312"/>
          <w:lang w:val="en-US" w:eastAsia="zh-CN"/>
        </w:rPr>
      </w:pPr>
      <w:r>
        <w:rPr>
          <w:rFonts w:hint="eastAsia" w:ascii="仿宋_GB2312" w:hAnsi="仿宋_GB2312" w:cs="仿宋_GB2312"/>
          <w:lang w:val="en-US" w:eastAsia="zh-CN"/>
        </w:rPr>
        <w:t>规划至2035年，黑马河镇区常住人口约为4200人。镇区新增居住用地主要分布于镇区西侧和东南侧，其中镇区西侧居住用地有涩复线管线穿过。规划形成3个居住组团，总面积7.50公顷</w:t>
      </w:r>
      <w:r>
        <w:rPr>
          <w:rFonts w:hint="eastAsia" w:ascii="仿宋_GB2312" w:hAnsi="仿宋_GB2312" w:eastAsia="仿宋_GB2312" w:cs="仿宋_GB2312"/>
          <w:lang w:val="en-US" w:eastAsia="zh-CN"/>
        </w:rPr>
        <w:t>。</w:t>
      </w:r>
    </w:p>
    <w:p w14:paraId="3DE33F22">
      <w:pPr>
        <w:pStyle w:val="3"/>
        <w:numPr>
          <w:ilvl w:val="0"/>
          <w:numId w:val="9"/>
        </w:numPr>
      </w:pPr>
      <w:bookmarkStart w:id="169" w:name="_Toc1096"/>
      <w:bookmarkStart w:id="170" w:name="_Toc1128"/>
      <w:r>
        <w:rPr>
          <w:rFonts w:hint="eastAsia"/>
          <w:lang w:val="en-US" w:eastAsia="zh-CN"/>
        </w:rPr>
        <w:t>公共服务</w:t>
      </w:r>
      <w:r>
        <w:rPr>
          <w:rFonts w:hint="eastAsia"/>
        </w:rPr>
        <w:t>设施</w:t>
      </w:r>
      <w:r>
        <w:rPr>
          <w:rFonts w:hint="eastAsia"/>
          <w:lang w:val="en-US" w:eastAsia="zh-CN"/>
        </w:rPr>
        <w:t>布局</w:t>
      </w:r>
      <w:bookmarkEnd w:id="169"/>
      <w:bookmarkEnd w:id="170"/>
    </w:p>
    <w:p w14:paraId="7AD4918D">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71" w:name="_Toc25838"/>
      <w:bookmarkStart w:id="172" w:name="_Toc16388"/>
      <w:r>
        <w:rPr>
          <w:rFonts w:hint="eastAsia" w:ascii="楷体_GB2312" w:hAnsi="Times New Roman" w:eastAsia="楷体_GB2312" w:cs="Times New Roman"/>
          <w:bCs/>
          <w:sz w:val="32"/>
          <w:szCs w:val="32"/>
          <w:lang w:val="en-US" w:eastAsia="zh-CN"/>
        </w:rPr>
        <w:t>城镇生活圈规划</w:t>
      </w:r>
      <w:bookmarkEnd w:id="171"/>
    </w:p>
    <w:p w14:paraId="11B82A96">
      <w:pPr>
        <w:spacing w:after="120" w:line="600" w:lineRule="exact"/>
        <w:ind w:firstLine="640"/>
      </w:pPr>
      <w:r>
        <w:rPr>
          <w:rFonts w:hint="eastAsia" w:ascii="楷体_GB2312" w:hAnsi="楷体_GB2312" w:eastAsia="楷体_GB2312" w:cs="楷体_GB2312"/>
          <w:sz w:val="32"/>
          <w:szCs w:val="32"/>
          <w:lang w:val="en-US" w:eastAsia="zh-CN"/>
        </w:rPr>
        <w:t>构建15分钟城镇生活圈。</w:t>
      </w:r>
      <w:r>
        <w:rPr>
          <w:rFonts w:hint="eastAsia" w:ascii="仿宋_GB2312" w:eastAsia="仿宋_GB2312"/>
          <w:sz w:val="32"/>
          <w:szCs w:val="32"/>
          <w14:ligatures w14:val="standardContextual"/>
        </w:rPr>
        <w:t>规划镇区形成1个15分钟生活圈，公共服务设施围绕镇政府相对集中设置形成片区中心。镇区西部主要发展餐饮、住宿等旅游服务业，设施配套上兼顾旅游服务人群需求</w:t>
      </w:r>
      <w:r>
        <w:rPr>
          <w:rFonts w:hint="eastAsia" w:ascii="仿宋_GB2312"/>
          <w:szCs w:val="32"/>
        </w:rPr>
        <w:t>。</w:t>
      </w:r>
    </w:p>
    <w:p w14:paraId="4EF79E40">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73" w:name="_Toc13955"/>
      <w:r>
        <w:rPr>
          <w:rFonts w:hint="eastAsia" w:ascii="楷体_GB2312" w:hAnsi="Times New Roman" w:eastAsia="楷体_GB2312" w:cs="Times New Roman"/>
          <w:bCs/>
          <w:sz w:val="32"/>
          <w:szCs w:val="32"/>
          <w:lang w:val="en-US" w:eastAsia="zh-CN"/>
        </w:rPr>
        <w:t>公共服务</w:t>
      </w:r>
      <w:bookmarkEnd w:id="172"/>
      <w:r>
        <w:rPr>
          <w:rFonts w:hint="eastAsia" w:ascii="楷体_GB2312" w:hAnsi="Times New Roman" w:eastAsia="楷体_GB2312" w:cs="Times New Roman"/>
          <w:bCs/>
          <w:sz w:val="32"/>
          <w:szCs w:val="32"/>
          <w:lang w:val="en-US" w:eastAsia="zh-CN"/>
        </w:rPr>
        <w:t>设施规划</w:t>
      </w:r>
      <w:bookmarkEnd w:id="173"/>
    </w:p>
    <w:p w14:paraId="0B328422">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机关团体用地。</w:t>
      </w:r>
      <w:r>
        <w:rPr>
          <w:rFonts w:hint="eastAsia" w:ascii="仿宋_GB2312" w:hAnsi="仿宋_GB2312" w:eastAsia="仿宋_GB2312" w:cs="仿宋_GB2312"/>
        </w:rPr>
        <w:t>规划镇区机关团体用地面积约</w:t>
      </w:r>
      <w:r>
        <w:rPr>
          <w:rFonts w:hint="eastAsia" w:ascii="仿宋_GB2312" w:hAnsi="仿宋_GB2312" w:cs="仿宋_GB2312"/>
          <w:lang w:val="en-US" w:eastAsia="zh-CN"/>
        </w:rPr>
        <w:t>3.05</w:t>
      </w:r>
      <w:r>
        <w:rPr>
          <w:rFonts w:hint="eastAsia" w:ascii="仿宋_GB2312" w:hAnsi="仿宋_GB2312" w:eastAsia="仿宋_GB2312" w:cs="仿宋_GB2312"/>
        </w:rPr>
        <w:t>公顷。主要为镇政府及相关部门、派出所和各村村委会所占用地，其中镇政府及相关部门集中办公，占地1.</w:t>
      </w:r>
      <w:r>
        <w:rPr>
          <w:rFonts w:hint="eastAsia" w:ascii="仿宋_GB2312" w:hAnsi="仿宋_GB2312" w:cs="仿宋_GB2312"/>
          <w:lang w:val="en-US" w:eastAsia="zh-CN"/>
        </w:rPr>
        <w:t>6</w:t>
      </w:r>
      <w:r>
        <w:rPr>
          <w:rFonts w:hint="eastAsia" w:ascii="仿宋_GB2312" w:hAnsi="仿宋_GB2312" w:eastAsia="仿宋_GB2312" w:cs="仿宋_GB2312"/>
        </w:rPr>
        <w:t>5公顷；村委会占地0.</w:t>
      </w:r>
      <w:r>
        <w:rPr>
          <w:rFonts w:hint="eastAsia" w:ascii="仿宋_GB2312" w:hAnsi="仿宋_GB2312" w:cs="仿宋_GB2312"/>
          <w:lang w:val="en-US" w:eastAsia="zh-CN"/>
        </w:rPr>
        <w:t>55</w:t>
      </w:r>
      <w:r>
        <w:rPr>
          <w:rFonts w:hint="eastAsia" w:ascii="仿宋_GB2312" w:hAnsi="仿宋_GB2312" w:eastAsia="仿宋_GB2312" w:cs="仿宋_GB2312"/>
        </w:rPr>
        <w:t>公顷，派出所占地0.40公顷。</w:t>
      </w:r>
    </w:p>
    <w:p w14:paraId="6DD4B281">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文化用地。</w:t>
      </w:r>
      <w:r>
        <w:rPr>
          <w:rFonts w:hint="eastAsia" w:ascii="仿宋_GB2312" w:hAnsi="仿宋_GB2312" w:eastAsia="仿宋_GB2312" w:cs="仿宋_GB2312"/>
          <w:sz w:val="32"/>
          <w:szCs w:val="32"/>
          <w:lang w:val="en-US" w:eastAsia="zh-CN"/>
        </w:rPr>
        <w:t>规划</w:t>
      </w:r>
      <w:r>
        <w:rPr>
          <w:rFonts w:hint="eastAsia" w:ascii="仿宋_GB2312" w:hAnsi="仿宋_GB2312" w:eastAsia="仿宋_GB2312" w:cs="仿宋_GB2312"/>
        </w:rPr>
        <w:t>文</w:t>
      </w:r>
      <w:r>
        <w:rPr>
          <w:rFonts w:hint="eastAsia" w:ascii="仿宋_GB2312" w:hAnsi="仿宋_GB2312" w:eastAsia="仿宋_GB2312" w:cs="仿宋_GB2312"/>
          <w:lang w:val="en-US" w:eastAsia="zh-CN"/>
        </w:rPr>
        <w:t>化</w:t>
      </w:r>
      <w:r>
        <w:rPr>
          <w:rFonts w:hint="eastAsia" w:ascii="仿宋_GB2312" w:hAnsi="仿宋_GB2312" w:eastAsia="仿宋_GB2312" w:cs="仿宋_GB2312"/>
        </w:rPr>
        <w:t>用地总面积约</w:t>
      </w:r>
      <w:r>
        <w:rPr>
          <w:rFonts w:hint="eastAsia" w:ascii="仿宋_GB2312" w:hAnsi="仿宋_GB2312" w:cs="仿宋_GB2312"/>
          <w:lang w:val="en-US" w:eastAsia="zh-CN"/>
        </w:rPr>
        <w:t>4.93</w:t>
      </w:r>
      <w:r>
        <w:rPr>
          <w:rFonts w:hint="eastAsia" w:ascii="仿宋_GB2312" w:hAnsi="仿宋_GB2312" w:eastAsia="仿宋_GB2312" w:cs="仿宋_GB2312"/>
        </w:rPr>
        <w:t>公顷</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其中图书与展览用地</w:t>
      </w:r>
      <w:r>
        <w:rPr>
          <w:rFonts w:hint="eastAsia" w:ascii="仿宋_GB2312" w:hAnsi="仿宋_GB2312" w:cs="仿宋_GB2312"/>
          <w:lang w:val="en-US" w:eastAsia="zh-CN"/>
        </w:rPr>
        <w:t>2.41</w:t>
      </w:r>
      <w:r>
        <w:rPr>
          <w:rFonts w:hint="eastAsia" w:ascii="仿宋_GB2312" w:hAnsi="仿宋_GB2312" w:eastAsia="仿宋_GB2312" w:cs="仿宋_GB2312"/>
          <w:lang w:val="en-US" w:eastAsia="zh-CN"/>
        </w:rPr>
        <w:t>公顷，文化活动用地</w:t>
      </w:r>
      <w:r>
        <w:rPr>
          <w:rFonts w:hint="eastAsia" w:ascii="仿宋_GB2312" w:hAnsi="仿宋_GB2312" w:cs="仿宋_GB2312"/>
          <w:lang w:val="en-US" w:eastAsia="zh-CN"/>
        </w:rPr>
        <w:t>2.52</w:t>
      </w:r>
      <w:r>
        <w:rPr>
          <w:rFonts w:hint="eastAsia" w:ascii="仿宋_GB2312" w:hAnsi="仿宋_GB2312" w:eastAsia="仿宋_GB2312" w:cs="仿宋_GB2312"/>
          <w:lang w:val="en-US" w:eastAsia="zh-CN"/>
        </w:rPr>
        <w:t>公顷</w:t>
      </w:r>
      <w:r>
        <w:rPr>
          <w:rFonts w:hint="eastAsia" w:ascii="仿宋_GB2312" w:hAnsi="仿宋_GB2312" w:eastAsia="仿宋_GB2312" w:cs="仿宋_GB2312"/>
        </w:rPr>
        <w:t>。主要</w:t>
      </w:r>
      <w:r>
        <w:rPr>
          <w:rFonts w:hint="eastAsia" w:ascii="仿宋_GB2312" w:hAnsi="仿宋_GB2312" w:eastAsia="仿宋_GB2312" w:cs="仿宋_GB2312"/>
          <w:lang w:val="en-US" w:eastAsia="zh-CN"/>
        </w:rPr>
        <w:t>为</w:t>
      </w:r>
      <w:r>
        <w:rPr>
          <w:rFonts w:hint="eastAsia" w:ascii="仿宋_GB2312" w:hAnsi="仿宋_GB2312" w:eastAsia="仿宋_GB2312" w:cs="仿宋_GB2312"/>
        </w:rPr>
        <w:t>黑马河演艺中心、文化站、青老年之家及相关文化设施等用地。</w:t>
      </w:r>
    </w:p>
    <w:p w14:paraId="25F9B51B">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教育用地。</w:t>
      </w:r>
      <w:r>
        <w:rPr>
          <w:rFonts w:hint="eastAsia" w:ascii="仿宋_GB2312" w:hAnsi="仿宋_GB2312" w:eastAsia="仿宋_GB2312" w:cs="仿宋_GB2312"/>
          <w:sz w:val="32"/>
          <w:szCs w:val="32"/>
          <w:lang w:val="en-US" w:eastAsia="zh-CN"/>
        </w:rPr>
        <w:t>规划</w:t>
      </w:r>
      <w:r>
        <w:rPr>
          <w:rFonts w:hint="eastAsia" w:ascii="仿宋_GB2312" w:hAnsi="仿宋_GB2312" w:eastAsia="仿宋_GB2312" w:cs="仿宋_GB2312"/>
        </w:rPr>
        <w:t>教育用地面积约5.45公顷</w:t>
      </w:r>
      <w:r>
        <w:rPr>
          <w:rFonts w:hint="eastAsia" w:ascii="仿宋_GB2312" w:hAnsi="仿宋_GB2312" w:cs="仿宋_GB2312"/>
          <w:lang w:eastAsia="zh-CN"/>
        </w:rPr>
        <w:t>，</w:t>
      </w:r>
      <w:r>
        <w:rPr>
          <w:rFonts w:hint="eastAsia" w:ascii="仿宋_GB2312" w:hAnsi="仿宋_GB2312" w:eastAsia="仿宋_GB2312" w:cs="仿宋_GB2312"/>
        </w:rPr>
        <w:t>主要为幼儿园、九年一贯制学校各一所。</w:t>
      </w:r>
      <w:r>
        <w:rPr>
          <w:rFonts w:hint="eastAsia" w:ascii="仿宋_GB2312" w:hAnsi="仿宋_GB2312" w:cs="仿宋_GB2312"/>
          <w:lang w:val="en-US" w:eastAsia="zh-CN"/>
        </w:rPr>
        <w:t>其中</w:t>
      </w:r>
      <w:r>
        <w:rPr>
          <w:rFonts w:hint="eastAsia" w:ascii="仿宋_GB2312" w:hAnsi="仿宋_GB2312" w:eastAsia="仿宋_GB2312" w:cs="仿宋_GB2312"/>
        </w:rPr>
        <w:t>中小学用地面积4.77公顷，幼儿园</w:t>
      </w:r>
      <w:r>
        <w:rPr>
          <w:rFonts w:hint="eastAsia" w:ascii="仿宋_GB2312" w:hAnsi="仿宋_GB2312" w:cs="仿宋_GB2312"/>
          <w:lang w:val="en-US" w:eastAsia="zh-CN"/>
        </w:rPr>
        <w:t>用地</w:t>
      </w:r>
      <w:r>
        <w:rPr>
          <w:rFonts w:hint="eastAsia" w:ascii="仿宋_GB2312" w:hAnsi="仿宋_GB2312" w:eastAsia="仿宋_GB2312" w:cs="仿宋_GB2312"/>
        </w:rPr>
        <w:t>面积0.68公顷。</w:t>
      </w:r>
    </w:p>
    <w:p w14:paraId="68E9A2F7">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医疗卫生用地。</w:t>
      </w:r>
      <w:r>
        <w:rPr>
          <w:rFonts w:hint="eastAsia" w:ascii="仿宋_GB2312" w:hAnsi="仿宋_GB2312" w:eastAsia="仿宋_GB2312" w:cs="仿宋_GB2312"/>
        </w:rPr>
        <w:t>在光明大道与黑马河大街交叉口处规划</w:t>
      </w:r>
      <w:r>
        <w:rPr>
          <w:rFonts w:hint="eastAsia" w:ascii="仿宋_GB2312" w:hAnsi="仿宋_GB2312" w:eastAsia="仿宋_GB2312" w:cs="仿宋_GB2312"/>
          <w:lang w:eastAsia="zh-CN"/>
        </w:rPr>
        <w:t>一所</w:t>
      </w:r>
      <w:r>
        <w:rPr>
          <w:rFonts w:hint="eastAsia" w:ascii="仿宋_GB2312" w:hAnsi="仿宋_GB2312" w:eastAsia="仿宋_GB2312" w:cs="仿宋_GB2312"/>
        </w:rPr>
        <w:t>黑马河镇中心医院</w:t>
      </w:r>
      <w:r>
        <w:rPr>
          <w:rFonts w:hint="eastAsia" w:ascii="仿宋_GB2312" w:hAnsi="仿宋_GB2312" w:cs="仿宋_GB2312"/>
          <w:lang w:eastAsia="zh-CN"/>
        </w:rPr>
        <w:t>，</w:t>
      </w:r>
      <w:r>
        <w:rPr>
          <w:rFonts w:hint="eastAsia" w:ascii="仿宋_GB2312" w:hAnsi="仿宋_GB2312" w:eastAsia="仿宋_GB2312" w:cs="仿宋_GB2312"/>
        </w:rPr>
        <w:t>用地面积约1.57公顷。</w:t>
      </w:r>
    </w:p>
    <w:p w14:paraId="1C7976D1">
      <w:pPr>
        <w:pStyle w:val="3"/>
        <w:numPr>
          <w:ilvl w:val="0"/>
          <w:numId w:val="9"/>
        </w:numPr>
      </w:pPr>
      <w:bookmarkStart w:id="174" w:name="_Toc12900"/>
      <w:bookmarkStart w:id="175" w:name="_Toc4111"/>
      <w:r>
        <w:rPr>
          <w:rFonts w:hint="eastAsia" w:ascii="Arial" w:hAnsi="Arial" w:eastAsia="黑体" w:cs="Times New Roman"/>
          <w:b w:val="0"/>
          <w:lang w:val="zh-CN"/>
        </w:rPr>
        <w:t>绿地和开敞</w:t>
      </w:r>
      <w:r>
        <w:rPr>
          <w:rFonts w:hint="eastAsia" w:cs="Times New Roman"/>
          <w:b w:val="0"/>
          <w:lang w:val="en-US" w:eastAsia="zh-CN"/>
        </w:rPr>
        <w:t>空间</w:t>
      </w:r>
      <w:bookmarkEnd w:id="174"/>
      <w:bookmarkEnd w:id="175"/>
    </w:p>
    <w:p w14:paraId="258FDFDE">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绿地</w:t>
      </w:r>
      <w:r>
        <w:rPr>
          <w:rFonts w:hint="eastAsia" w:ascii="楷体_GB2312" w:hAnsi="Times New Roman" w:eastAsia="楷体_GB2312" w:cs="Times New Roman"/>
          <w:bCs/>
          <w:sz w:val="32"/>
          <w:szCs w:val="32"/>
          <w:lang w:val="en-US" w:eastAsia="zh-CN"/>
        </w:rPr>
        <w:t>和开敞空间</w:t>
      </w:r>
      <w:r>
        <w:rPr>
          <w:rFonts w:hint="eastAsia" w:ascii="楷体_GB2312" w:hAnsi="Times New Roman" w:eastAsia="楷体_GB2312" w:cs="Times New Roman"/>
          <w:bCs/>
          <w:sz w:val="32"/>
          <w:szCs w:val="32"/>
        </w:rPr>
        <w:t>布局</w:t>
      </w:r>
    </w:p>
    <w:p w14:paraId="2FA5DFF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zh-CN" w:eastAsia="zh-CN"/>
        </w:rPr>
        <w:t>优化调整绿地布局，完善绿地类型，科学配置绿地植物群落，提高绿地植物养护水平，</w:t>
      </w:r>
      <w:r>
        <w:rPr>
          <w:rFonts w:hint="eastAsia" w:ascii="仿宋_GB2312" w:hAnsi="仿宋_GB2312" w:cs="仿宋_GB2312"/>
          <w:sz w:val="32"/>
          <w:szCs w:val="32"/>
          <w:lang w:val="zh-CN" w:eastAsia="zh-CN"/>
        </w:rPr>
        <w:t>丰富</w:t>
      </w:r>
      <w:r>
        <w:rPr>
          <w:rFonts w:hint="eastAsia" w:ascii="仿宋_GB2312" w:hAnsi="仿宋_GB2312" w:eastAsia="仿宋_GB2312" w:cs="仿宋_GB2312"/>
          <w:sz w:val="32"/>
          <w:szCs w:val="32"/>
          <w:lang w:val="zh-CN" w:eastAsia="zh-CN"/>
        </w:rPr>
        <w:t>绿地的生物多样性和文化内涵，提升绿化质量。</w:t>
      </w:r>
      <w:r>
        <w:rPr>
          <w:rFonts w:hint="eastAsia" w:ascii="仿宋_GB2312" w:hAnsi="仿宋_GB2312" w:eastAsia="仿宋_GB2312" w:cs="仿宋_GB2312"/>
          <w:sz w:val="32"/>
          <w:szCs w:val="32"/>
          <w:u w:val="single"/>
          <w:lang w:val="en-US" w:eastAsia="zh-CN"/>
        </w:rPr>
        <w:t>镇区</w:t>
      </w:r>
      <w:r>
        <w:rPr>
          <w:rFonts w:hint="eastAsia" w:ascii="仿宋_GB2312" w:hAnsi="仿宋_GB2312" w:eastAsia="仿宋_GB2312" w:cs="仿宋_GB2312"/>
          <w:sz w:val="32"/>
          <w:szCs w:val="32"/>
          <w:u w:val="single"/>
          <w:lang w:val="zh-CN" w:eastAsia="zh-CN"/>
        </w:rPr>
        <w:t>规划绿地与开敞空间用地</w:t>
      </w:r>
      <w:r>
        <w:rPr>
          <w:rFonts w:hint="eastAsia" w:ascii="仿宋_GB2312" w:hAnsi="仿宋_GB2312" w:cs="仿宋_GB2312"/>
          <w:sz w:val="32"/>
          <w:szCs w:val="32"/>
          <w:u w:val="single"/>
          <w:lang w:val="en-US" w:eastAsia="zh-CN"/>
        </w:rPr>
        <w:t>4.39</w:t>
      </w:r>
      <w:r>
        <w:rPr>
          <w:rFonts w:hint="eastAsia" w:ascii="仿宋_GB2312" w:hAnsi="仿宋_GB2312" w:eastAsia="仿宋_GB2312" w:cs="仿宋_GB2312"/>
          <w:sz w:val="32"/>
          <w:szCs w:val="32"/>
          <w:u w:val="single"/>
          <w:lang w:val="zh-CN" w:eastAsia="zh-CN"/>
        </w:rPr>
        <w:t>公顷，</w:t>
      </w:r>
      <w:r>
        <w:rPr>
          <w:rFonts w:hint="eastAsia" w:ascii="仿宋_GB2312" w:hAnsi="仿宋_GB2312" w:eastAsia="仿宋_GB2312" w:cs="仿宋_GB2312"/>
          <w:sz w:val="32"/>
          <w:szCs w:val="32"/>
          <w:lang w:val="zh-CN" w:eastAsia="zh-CN"/>
        </w:rPr>
        <w:t>其中，公园绿地</w:t>
      </w:r>
      <w:r>
        <w:rPr>
          <w:rFonts w:hint="eastAsia" w:ascii="仿宋_GB2312" w:hAnsi="仿宋_GB2312" w:cs="仿宋_GB2312"/>
          <w:sz w:val="32"/>
          <w:szCs w:val="32"/>
          <w:lang w:val="en-US" w:eastAsia="zh-CN"/>
        </w:rPr>
        <w:t>0.22</w:t>
      </w:r>
      <w:r>
        <w:rPr>
          <w:rFonts w:hint="eastAsia" w:ascii="仿宋_GB2312" w:hAnsi="仿宋_GB2312" w:eastAsia="仿宋_GB2312" w:cs="仿宋_GB2312"/>
          <w:sz w:val="32"/>
          <w:szCs w:val="32"/>
          <w:lang w:val="zh-CN" w:eastAsia="zh-CN"/>
        </w:rPr>
        <w:t>公顷，规划防护绿地</w:t>
      </w:r>
      <w:r>
        <w:rPr>
          <w:rFonts w:hint="eastAsia" w:ascii="仿宋_GB2312" w:hAnsi="仿宋_GB2312" w:cs="仿宋_GB2312"/>
          <w:sz w:val="32"/>
          <w:szCs w:val="32"/>
          <w:lang w:val="en-US" w:eastAsia="zh-CN"/>
        </w:rPr>
        <w:t>3.34</w:t>
      </w:r>
      <w:r>
        <w:rPr>
          <w:rFonts w:hint="eastAsia" w:ascii="仿宋_GB2312" w:hAnsi="仿宋_GB2312" w:eastAsia="仿宋_GB2312" w:cs="仿宋_GB2312"/>
          <w:sz w:val="32"/>
          <w:szCs w:val="32"/>
          <w:lang w:val="zh-CN" w:eastAsia="zh-CN"/>
        </w:rPr>
        <w:t>公顷，广场</w:t>
      </w:r>
      <w:r>
        <w:rPr>
          <w:rFonts w:hint="eastAsia" w:ascii="仿宋_GB2312" w:hAnsi="仿宋_GB2312" w:eastAsia="仿宋_GB2312" w:cs="仿宋_GB2312"/>
          <w:sz w:val="32"/>
          <w:szCs w:val="32"/>
          <w:lang w:val="en-US" w:eastAsia="zh-CN"/>
        </w:rPr>
        <w:t>用地</w:t>
      </w:r>
      <w:r>
        <w:rPr>
          <w:rFonts w:hint="eastAsia" w:ascii="仿宋_GB2312" w:hAnsi="仿宋_GB2312" w:cs="仿宋_GB2312"/>
          <w:sz w:val="32"/>
          <w:szCs w:val="32"/>
          <w:lang w:val="en-US" w:eastAsia="zh-CN"/>
        </w:rPr>
        <w:t>0.83</w:t>
      </w:r>
      <w:r>
        <w:rPr>
          <w:rFonts w:hint="eastAsia" w:ascii="仿宋_GB2312" w:hAnsi="仿宋_GB2312" w:eastAsia="仿宋_GB2312" w:cs="仿宋_GB2312"/>
          <w:sz w:val="32"/>
          <w:szCs w:val="32"/>
          <w:lang w:val="zh-CN" w:eastAsia="zh-CN"/>
        </w:rPr>
        <w:t>公顷。规划至2035年，</w:t>
      </w:r>
      <w:r>
        <w:rPr>
          <w:rFonts w:hint="eastAsia" w:ascii="仿宋_GB2312" w:hAnsi="仿宋_GB2312" w:eastAsia="仿宋_GB2312" w:cs="仿宋_GB2312"/>
          <w:sz w:val="32"/>
          <w:szCs w:val="32"/>
          <w:lang w:val="en-US" w:eastAsia="zh-CN"/>
        </w:rPr>
        <w:t>镇区</w:t>
      </w:r>
      <w:r>
        <w:rPr>
          <w:rFonts w:hint="eastAsia" w:ascii="仿宋_GB2312" w:hAnsi="仿宋_GB2312" w:eastAsia="仿宋_GB2312" w:cs="仿宋_GB2312"/>
          <w:sz w:val="32"/>
          <w:szCs w:val="32"/>
          <w:lang w:val="zh-CN" w:eastAsia="zh-CN"/>
        </w:rPr>
        <w:t>人均公园绿地面积</w:t>
      </w:r>
      <w:r>
        <w:rPr>
          <w:rFonts w:hint="eastAsia" w:ascii="仿宋_GB2312" w:hAnsi="仿宋_GB2312" w:cs="仿宋_GB2312"/>
          <w:sz w:val="32"/>
          <w:szCs w:val="32"/>
          <w:lang w:val="en-US" w:eastAsia="zh-CN"/>
        </w:rPr>
        <w:t>0.52</w:t>
      </w:r>
      <w:r>
        <w:rPr>
          <w:rFonts w:hint="eastAsia" w:ascii="仿宋_GB2312" w:hAnsi="仿宋_GB2312" w:eastAsia="仿宋_GB2312" w:cs="仿宋_GB2312"/>
          <w:sz w:val="32"/>
          <w:szCs w:val="32"/>
          <w:lang w:val="zh-CN" w:eastAsia="zh-CN"/>
        </w:rPr>
        <w:t>平方米。</w:t>
      </w:r>
    </w:p>
    <w:p w14:paraId="53BFCAD7">
      <w:pPr>
        <w:pStyle w:val="3"/>
        <w:numPr>
          <w:ilvl w:val="0"/>
          <w:numId w:val="9"/>
        </w:numPr>
      </w:pPr>
      <w:bookmarkStart w:id="176" w:name="_Toc13433"/>
      <w:bookmarkStart w:id="177" w:name="_Toc15973"/>
      <w:r>
        <w:rPr>
          <w:rFonts w:hint="eastAsia"/>
          <w:lang w:val="en-US" w:eastAsia="zh-CN"/>
        </w:rPr>
        <w:t>综合交通体系</w:t>
      </w:r>
      <w:bookmarkEnd w:id="176"/>
      <w:bookmarkEnd w:id="177"/>
    </w:p>
    <w:p w14:paraId="203D1979">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178" w:name="_Toc20851"/>
      <w:r>
        <w:rPr>
          <w:rFonts w:hint="eastAsia" w:ascii="楷体_GB2312" w:hAnsi="Times New Roman" w:eastAsia="楷体_GB2312" w:cs="Times New Roman"/>
          <w:bCs/>
          <w:sz w:val="32"/>
          <w:szCs w:val="32"/>
        </w:rPr>
        <w:t>强化对外交通衔接</w:t>
      </w:r>
      <w:bookmarkEnd w:id="178"/>
    </w:p>
    <w:p w14:paraId="138FD99A">
      <w:pPr>
        <w:ind w:firstLine="560"/>
        <w:rPr>
          <w:rFonts w:hint="eastAsia" w:ascii="仿宋_GB2312" w:hAnsi="仿宋_GB2312" w:eastAsia="仿宋_GB2312" w:cs="仿宋_GB2312"/>
        </w:rPr>
      </w:pPr>
      <w:r>
        <w:rPr>
          <w:rFonts w:hint="eastAsia"/>
        </w:rPr>
        <w:t>内外交通有序衔接，融入区域高快速路网，充分发挥</w:t>
      </w:r>
      <w:r>
        <w:rPr>
          <w:rFonts w:hint="eastAsia"/>
          <w:lang w:val="en-US" w:eastAsia="zh-CN"/>
        </w:rPr>
        <w:t>区域核心城镇</w:t>
      </w:r>
      <w:r>
        <w:rPr>
          <w:rFonts w:hint="eastAsia"/>
        </w:rPr>
        <w:t>的优势，统筹各种交通方式及与其他</w:t>
      </w:r>
      <w:r>
        <w:rPr>
          <w:rFonts w:hint="eastAsia"/>
          <w:lang w:val="en-US" w:eastAsia="zh-CN"/>
        </w:rPr>
        <w:t>乡镇</w:t>
      </w:r>
      <w:r>
        <w:rPr>
          <w:rFonts w:hint="eastAsia"/>
        </w:rPr>
        <w:t>、城市之间的协调发展。</w:t>
      </w:r>
      <w:r>
        <w:rPr>
          <w:rFonts w:hint="eastAsia" w:ascii="仿宋_GB2312" w:hAnsi="仿宋_GB2312" w:eastAsia="仿宋_GB2312" w:cs="仿宋_GB2312"/>
          <w:sz w:val="32"/>
          <w:szCs w:val="32"/>
          <w:lang w:val="en-US" w:eastAsia="zh-CN"/>
        </w:rPr>
        <w:t>依托</w:t>
      </w:r>
      <w:r>
        <w:rPr>
          <w:rFonts w:hint="eastAsia" w:ascii="仿宋_GB2312" w:hAnsi="仿宋_GB2312" w:eastAsia="仿宋_GB2312" w:cs="仿宋_GB2312"/>
          <w:sz w:val="32"/>
          <w:szCs w:val="32"/>
        </w:rPr>
        <w:t>青海湖旅游专线、</w:t>
      </w:r>
      <w:r>
        <w:rPr>
          <w:rFonts w:hint="eastAsia" w:ascii="仿宋_GB2312" w:hAnsi="仿宋_GB2312" w:cs="仿宋_GB2312"/>
          <w:sz w:val="32"/>
          <w:szCs w:val="32"/>
          <w:lang w:val="en-US" w:eastAsia="zh-CN"/>
        </w:rPr>
        <w:t>省道208</w:t>
      </w:r>
      <w:r>
        <w:rPr>
          <w:rFonts w:hint="eastAsia" w:ascii="仿宋_GB2312" w:hAnsi="仿宋_GB2312" w:eastAsia="仿宋_GB2312" w:cs="仿宋_GB2312"/>
          <w:sz w:val="32"/>
          <w:szCs w:val="32"/>
          <w:lang w:val="zh-CN" w:eastAsia="zh-CN"/>
        </w:rPr>
        <w:t>与周边区域联系</w:t>
      </w:r>
      <w:r>
        <w:rPr>
          <w:rFonts w:hint="eastAsia" w:ascii="仿宋_GB2312" w:hAnsi="仿宋_GB2312" w:cs="仿宋_GB2312"/>
          <w:sz w:val="32"/>
          <w:szCs w:val="32"/>
          <w:lang w:val="zh-CN" w:eastAsia="zh-CN"/>
        </w:rPr>
        <w:t>。</w:t>
      </w:r>
      <w:r>
        <w:rPr>
          <w:rFonts w:hint="eastAsia" w:ascii="仿宋_GB2312" w:hAnsi="仿宋_GB2312" w:eastAsia="仿宋_GB2312" w:cs="仿宋_GB2312"/>
        </w:rPr>
        <w:t>拟建</w:t>
      </w:r>
      <w:r>
        <w:rPr>
          <w:rFonts w:hint="eastAsia" w:ascii="仿宋_GB2312" w:hAnsi="仿宋_GB2312" w:cs="仿宋_GB2312"/>
          <w:lang w:val="en-US" w:eastAsia="zh-CN"/>
        </w:rPr>
        <w:t>西宁至茶卡</w:t>
      </w:r>
      <w:r>
        <w:rPr>
          <w:rFonts w:hint="eastAsia" w:ascii="仿宋_GB2312" w:hAnsi="仿宋_GB2312" w:eastAsia="仿宋_GB2312" w:cs="仿宋_GB2312"/>
        </w:rPr>
        <w:t>城际铁路黑马河站位于镇区东南部，规划在镇区和铁路车站之间建设连接公路，构建对外铁路交通，主动融入区域铁路网</w:t>
      </w:r>
      <w:r>
        <w:rPr>
          <w:rFonts w:hint="eastAsia" w:ascii="仿宋_GB2312" w:hAnsi="仿宋_GB2312" w:eastAsia="仿宋_GB2312" w:cs="仿宋_GB2312"/>
          <w:lang w:val="en-US" w:eastAsia="zh-CN"/>
        </w:rPr>
        <w:t>。</w:t>
      </w:r>
      <w:r>
        <w:rPr>
          <w:rFonts w:hint="eastAsia" w:ascii="仿宋_GB2312" w:hAnsi="仿宋_GB2312" w:eastAsia="仿宋_GB2312" w:cs="仿宋_GB2312"/>
        </w:rPr>
        <w:t>调整镇区外围的道路系统，</w:t>
      </w:r>
      <w:r>
        <w:rPr>
          <w:rFonts w:hint="eastAsia" w:ascii="仿宋_GB2312" w:hAnsi="仿宋_GB2312" w:cs="仿宋_GB2312"/>
          <w:lang w:val="en-US" w:eastAsia="zh-CN"/>
        </w:rPr>
        <w:t>有效疏导过境交通流量，</w:t>
      </w:r>
      <w:r>
        <w:rPr>
          <w:rFonts w:hint="eastAsia" w:ascii="仿宋_GB2312" w:hAnsi="仿宋_GB2312" w:eastAsia="仿宋_GB2312" w:cs="仿宋_GB2312"/>
        </w:rPr>
        <w:t>缓解交通压力，</w:t>
      </w:r>
      <w:r>
        <w:rPr>
          <w:rFonts w:hint="eastAsia" w:ascii="仿宋_GB2312" w:hAnsi="仿宋_GB2312" w:cs="仿宋_GB2312"/>
          <w:lang w:val="en-US" w:eastAsia="zh-CN"/>
        </w:rPr>
        <w:t>增加镇区慢行系统安全性，</w:t>
      </w:r>
      <w:r>
        <w:rPr>
          <w:rFonts w:hint="eastAsia" w:ascii="仿宋_GB2312" w:hAnsi="仿宋_GB2312" w:eastAsia="仿宋_GB2312" w:cs="仿宋_GB2312"/>
        </w:rPr>
        <w:t>使镇区交通得到</w:t>
      </w:r>
      <w:r>
        <w:rPr>
          <w:rFonts w:hint="eastAsia" w:ascii="仿宋_GB2312" w:hAnsi="仿宋_GB2312" w:cs="仿宋_GB2312"/>
          <w:lang w:val="en-US" w:eastAsia="zh-CN"/>
        </w:rPr>
        <w:t>有效</w:t>
      </w:r>
      <w:r>
        <w:rPr>
          <w:rFonts w:hint="eastAsia" w:ascii="仿宋_GB2312" w:hAnsi="仿宋_GB2312" w:eastAsia="仿宋_GB2312" w:cs="仿宋_GB2312"/>
        </w:rPr>
        <w:t>改善。</w:t>
      </w:r>
    </w:p>
    <w:p w14:paraId="1B1FFFC5">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179" w:name="_Toc15996"/>
      <w:r>
        <w:rPr>
          <w:rFonts w:hint="eastAsia" w:ascii="楷体_GB2312" w:hAnsi="Times New Roman" w:eastAsia="楷体_GB2312" w:cs="Times New Roman"/>
          <w:bCs/>
          <w:sz w:val="32"/>
          <w:szCs w:val="32"/>
        </w:rPr>
        <w:t>完善</w:t>
      </w:r>
      <w:r>
        <w:rPr>
          <w:rFonts w:hint="eastAsia" w:ascii="楷体_GB2312" w:eastAsia="楷体_GB2312" w:cs="Times New Roman"/>
          <w:bCs/>
          <w:sz w:val="32"/>
          <w:szCs w:val="32"/>
          <w:lang w:val="en-US" w:eastAsia="zh-CN"/>
        </w:rPr>
        <w:t>镇区</w:t>
      </w:r>
      <w:r>
        <w:rPr>
          <w:rFonts w:hint="eastAsia" w:ascii="楷体_GB2312" w:hAnsi="Times New Roman" w:eastAsia="楷体_GB2312" w:cs="Times New Roman"/>
          <w:bCs/>
          <w:sz w:val="32"/>
          <w:szCs w:val="32"/>
        </w:rPr>
        <w:t>道路系统</w:t>
      </w:r>
      <w:bookmarkEnd w:id="179"/>
    </w:p>
    <w:p w14:paraId="15611C3D">
      <w:pPr>
        <w:ind w:firstLine="560"/>
        <w:rPr>
          <w:rFonts w:hint="eastAsia"/>
        </w:rPr>
      </w:pPr>
      <w:r>
        <w:rPr>
          <w:rFonts w:hint="eastAsia" w:ascii="楷体_GB2312" w:hAnsi="楷体_GB2312" w:eastAsia="楷体_GB2312" w:cs="楷体_GB2312"/>
          <w:sz w:val="32"/>
          <w:szCs w:val="32"/>
          <w:lang w:val="en-US" w:eastAsia="zh-CN"/>
        </w:rPr>
        <w:t>构建干支协同、布局合理的城镇道路系统。</w:t>
      </w:r>
      <w:r>
        <w:rPr>
          <w:rFonts w:hint="eastAsia"/>
        </w:rPr>
        <w:t>规划</w:t>
      </w:r>
      <w:r>
        <w:rPr>
          <w:rFonts w:hint="eastAsia"/>
          <w:lang w:val="en-US" w:eastAsia="zh-CN"/>
        </w:rPr>
        <w:t>镇区</w:t>
      </w:r>
      <w:r>
        <w:rPr>
          <w:rFonts w:hint="eastAsia"/>
        </w:rPr>
        <w:t>道路网络包括主干路、次干路、支路三个等级，适度提升</w:t>
      </w:r>
      <w:r>
        <w:rPr>
          <w:rFonts w:hint="eastAsia"/>
          <w:lang w:val="en-US" w:eastAsia="zh-CN"/>
        </w:rPr>
        <w:t>镇区</w:t>
      </w:r>
      <w:r>
        <w:rPr>
          <w:rFonts w:hint="eastAsia"/>
        </w:rPr>
        <w:t>路网密度，合理预控弹性道路，总体路网密度控制不低于</w:t>
      </w:r>
      <w:r>
        <w:t>8</w:t>
      </w:r>
      <w:r>
        <w:rPr>
          <w:rFonts w:hint="eastAsia"/>
        </w:rPr>
        <w:t>千米</w:t>
      </w:r>
      <w:r>
        <w:t>/</w:t>
      </w:r>
      <w:r>
        <w:rPr>
          <w:rFonts w:hint="eastAsia"/>
        </w:rPr>
        <w:t>平方千米。</w:t>
      </w:r>
    </w:p>
    <w:p w14:paraId="6A02C64A">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合理控制道路红线宽度。</w:t>
      </w:r>
      <w:r>
        <w:rPr>
          <w:rFonts w:hint="eastAsia"/>
        </w:rPr>
        <w:t>节约用地，打造尺度宜居的街道空间</w:t>
      </w:r>
      <w:r>
        <w:rPr>
          <w:rFonts w:hint="eastAsia" w:ascii="仿宋_GB2312" w:hAnsi="仿宋_GB2312" w:cs="仿宋_GB2312"/>
          <w:lang w:eastAsia="zh-CN"/>
        </w:rPr>
        <w:t>，</w:t>
      </w:r>
      <w:r>
        <w:rPr>
          <w:rFonts w:hint="eastAsia" w:ascii="仿宋_GB2312" w:hAnsi="仿宋_GB2312" w:eastAsia="仿宋_GB2312" w:cs="仿宋_GB2312"/>
        </w:rPr>
        <w:t>主干路红线宽度为46米、28米和24米；干路红线宽度为21米；支路红线</w:t>
      </w:r>
      <w:r>
        <w:rPr>
          <w:rFonts w:hint="eastAsia" w:ascii="仿宋_GB2312" w:hAnsi="仿宋_GB2312" w:cs="仿宋_GB2312"/>
          <w:lang w:eastAsia="zh-CN"/>
        </w:rPr>
        <w:t>宽度</w:t>
      </w:r>
      <w:r>
        <w:rPr>
          <w:rFonts w:hint="eastAsia" w:ascii="仿宋_GB2312" w:hAnsi="仿宋_GB2312" w:eastAsia="仿宋_GB2312" w:cs="仿宋_GB2312"/>
        </w:rPr>
        <w:t>为12米和16米。</w:t>
      </w:r>
    </w:p>
    <w:p w14:paraId="7A313334">
      <w:pPr>
        <w:pStyle w:val="16"/>
        <w:ind w:firstLine="640"/>
      </w:pPr>
      <w:r>
        <w:rPr>
          <w:rFonts w:hint="eastAsia" w:ascii="楷体_GB2312" w:hAnsi="楷体_GB2312" w:eastAsia="楷体_GB2312" w:cs="楷体_GB2312"/>
          <w:kern w:val="2"/>
          <w:sz w:val="32"/>
          <w:szCs w:val="32"/>
          <w:lang w:val="en-US" w:eastAsia="zh-CN" w:bidi="ar-SA"/>
        </w:rPr>
        <w:t>科学配置道路横断面空间。</w:t>
      </w:r>
      <w:r>
        <w:rPr>
          <w:rFonts w:hint="eastAsia"/>
        </w:rPr>
        <w:t>根据道路等级功能，合理配置人行道、非机动车道、机动车道、道路绿化及附属设施空间，主干路以单幅路、三幅路为主，次干路以单幅路为主，营造友好慢行环境。</w:t>
      </w:r>
    </w:p>
    <w:p w14:paraId="1B46D2A2">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180" w:name="_Toc18884"/>
      <w:bookmarkStart w:id="181" w:name="_Toc7115"/>
      <w:r>
        <w:rPr>
          <w:rFonts w:hint="eastAsia" w:ascii="楷体_GB2312" w:hAnsi="Times New Roman" w:eastAsia="楷体_GB2312" w:cs="Times New Roman"/>
          <w:bCs/>
          <w:sz w:val="32"/>
          <w:szCs w:val="32"/>
          <w:lang w:val="en-US" w:eastAsia="zh-CN"/>
        </w:rPr>
        <w:t>慢行交通系统</w:t>
      </w:r>
      <w:bookmarkEnd w:id="180"/>
    </w:p>
    <w:p w14:paraId="3F958016">
      <w:pPr>
        <w:rPr>
          <w:rFonts w:hint="default" w:eastAsia="仿宋_GB2312"/>
          <w:lang w:val="en-US" w:eastAsia="zh-CN"/>
        </w:rPr>
      </w:pPr>
      <w:r>
        <w:rPr>
          <w:rFonts w:hint="eastAsia" w:ascii="楷体_GB2312" w:hAnsi="楷体_GB2312" w:eastAsia="楷体_GB2312" w:cs="楷体_GB2312"/>
          <w:sz w:val="32"/>
          <w:szCs w:val="32"/>
          <w:lang w:val="en-US" w:eastAsia="zh-CN"/>
        </w:rPr>
        <w:t>营造连续开敞、功能多样的慢行网络空间。</w:t>
      </w:r>
      <w:bookmarkStart w:id="182" w:name="_Hlk164960180"/>
      <w:r>
        <w:rPr>
          <w:rFonts w:hint="eastAsia"/>
        </w:rPr>
        <w:t>将慢行交通与</w:t>
      </w:r>
      <w:r>
        <w:rPr>
          <w:rFonts w:hint="eastAsia"/>
          <w:lang w:val="en-US" w:eastAsia="zh-CN"/>
        </w:rPr>
        <w:t>城镇</w:t>
      </w:r>
      <w:r>
        <w:rPr>
          <w:rFonts w:hint="eastAsia"/>
        </w:rPr>
        <w:t>发展相融合，形成“公交+慢行”绿色出行模式，</w:t>
      </w:r>
      <w:bookmarkEnd w:id="182"/>
      <w:r>
        <w:rPr>
          <w:rFonts w:hint="eastAsia"/>
        </w:rPr>
        <w:t>与居住社区、公共服务、文体休闲、公园绿地、河流水系等要素充分协调，形成网络化、多样化、休闲化的绿道慢行网络。</w:t>
      </w:r>
      <w:r>
        <w:rPr>
          <w:rFonts w:hint="eastAsia"/>
          <w:lang w:val="en-US" w:eastAsia="zh-CN"/>
        </w:rPr>
        <w:t>建议沿青海湖增设沿湖慢行道系统，串联镇区与环湖区域。</w:t>
      </w:r>
    </w:p>
    <w:bookmarkEnd w:id="181"/>
    <w:p w14:paraId="5F567104">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补齐停车设施短板</w:t>
      </w:r>
    </w:p>
    <w:p w14:paraId="5A42074D">
      <w:pPr>
        <w:ind w:firstLine="560"/>
        <w:rPr>
          <w:rFonts w:hint="default" w:ascii="仿宋_GB2312" w:hAnsi="仿宋_GB2312" w:eastAsia="仿宋_GB2312" w:cs="仿宋_GB2312"/>
          <w:lang w:val="en-US" w:eastAsia="zh-CN"/>
        </w:rPr>
      </w:pPr>
      <w:r>
        <w:rPr>
          <w:rFonts w:hint="eastAsia" w:ascii="楷体_GB2312" w:hAnsi="楷体_GB2312" w:eastAsia="楷体_GB2312" w:cs="楷体_GB2312"/>
          <w:sz w:val="32"/>
          <w:szCs w:val="32"/>
          <w:lang w:val="en-US" w:eastAsia="zh-CN"/>
        </w:rPr>
        <w:t>打造供需平衡的公共停车设施体系。</w:t>
      </w:r>
      <w:r>
        <w:rPr>
          <w:rFonts w:hint="eastAsia" w:ascii="仿宋_GB2312" w:hAnsi="仿宋_GB2312" w:cs="仿宋_GB2312"/>
          <w:lang w:val="en-US" w:eastAsia="zh-CN"/>
        </w:rPr>
        <w:t>充分考虑黑马河镇区在旅游高峰期间的停车需求，充分结合商业商务、休闲娱乐、旅游中心等公共服务设施，合理布局公共停车设施。规划在镇区新增公共停车场4处，总面积约1.62公顷，预计可提供公共停车泊位约600个。同时考虑过境车辆日常需求，在黑马河大街辅路沿街设置路内停车位。</w:t>
      </w:r>
    </w:p>
    <w:p w14:paraId="09966501">
      <w:pPr>
        <w:pStyle w:val="3"/>
        <w:numPr>
          <w:ilvl w:val="0"/>
          <w:numId w:val="9"/>
        </w:numPr>
      </w:pPr>
      <w:bookmarkStart w:id="183" w:name="_Toc3121"/>
      <w:bookmarkStart w:id="184" w:name="_Toc2536"/>
      <w:r>
        <w:rPr>
          <w:rFonts w:hint="eastAsia"/>
        </w:rPr>
        <w:t>市政</w:t>
      </w:r>
      <w:r>
        <w:rPr>
          <w:rFonts w:hint="eastAsia"/>
          <w:lang w:val="en-US" w:eastAsia="zh-CN"/>
        </w:rPr>
        <w:t>基础</w:t>
      </w:r>
      <w:r>
        <w:rPr>
          <w:rFonts w:hint="eastAsia"/>
        </w:rPr>
        <w:t>设施</w:t>
      </w:r>
      <w:r>
        <w:rPr>
          <w:rFonts w:hint="eastAsia"/>
          <w:lang w:val="en-US" w:eastAsia="zh-CN"/>
        </w:rPr>
        <w:t>布局</w:t>
      </w:r>
      <w:bookmarkEnd w:id="183"/>
      <w:bookmarkEnd w:id="184"/>
    </w:p>
    <w:p w14:paraId="2642E53E">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185" w:name="_Toc10659"/>
      <w:bookmarkStart w:id="186" w:name="_Toc24843"/>
      <w:r>
        <w:rPr>
          <w:rFonts w:hint="eastAsia" w:ascii="楷体_GB2312" w:hAnsi="Times New Roman" w:eastAsia="楷体_GB2312" w:cs="Times New Roman"/>
          <w:bCs/>
          <w:sz w:val="32"/>
          <w:szCs w:val="32"/>
          <w:lang w:eastAsia="zh-CN"/>
        </w:rPr>
        <w:t>供水</w:t>
      </w:r>
      <w:r>
        <w:rPr>
          <w:rFonts w:hint="eastAsia" w:ascii="楷体_GB2312" w:hAnsi="Times New Roman" w:eastAsia="楷体_GB2312" w:cs="Times New Roman"/>
          <w:bCs/>
          <w:sz w:val="32"/>
          <w:szCs w:val="32"/>
        </w:rPr>
        <w:t>工程规划</w:t>
      </w:r>
      <w:bookmarkEnd w:id="185"/>
      <w:bookmarkEnd w:id="186"/>
    </w:p>
    <w:p w14:paraId="74B8A3A0">
      <w:pPr>
        <w:ind w:firstLine="560"/>
        <w:rPr>
          <w:rFonts w:hint="eastAsia" w:ascii="仿宋_GB2312" w:hAnsi="仿宋_GB2312" w:eastAsia="仿宋_GB2312" w:cs="仿宋_GB2312"/>
          <w:lang w:eastAsia="zh-CN"/>
        </w:rPr>
      </w:pPr>
      <w:r>
        <w:rPr>
          <w:rFonts w:hint="eastAsia" w:ascii="楷体_GB2312" w:hAnsi="楷体_GB2312" w:eastAsia="楷体_GB2312" w:cs="楷体_GB2312"/>
          <w:sz w:val="32"/>
          <w:szCs w:val="32"/>
          <w:lang w:val="en-US" w:eastAsia="zh-CN"/>
        </w:rPr>
        <w:t>用水量预测。</w:t>
      </w:r>
      <w:r>
        <w:rPr>
          <w:rFonts w:hint="eastAsia" w:ascii="仿宋_GB2312" w:hAnsi="仿宋_GB2312" w:eastAsia="仿宋_GB2312" w:cs="仿宋_GB2312"/>
          <w:lang w:val="en-US" w:eastAsia="zh-CN"/>
        </w:rPr>
        <w:t>综合考虑旅游人口和常住人口规模，预测</w:t>
      </w:r>
      <w:r>
        <w:rPr>
          <w:rFonts w:hint="eastAsia" w:ascii="仿宋_GB2312" w:hAnsi="仿宋_GB2312" w:eastAsia="仿宋_GB2312" w:cs="仿宋_GB2312"/>
        </w:rPr>
        <w:t>规划区</w:t>
      </w:r>
      <w:r>
        <w:rPr>
          <w:rFonts w:hint="eastAsia" w:ascii="仿宋_GB2312" w:hAnsi="仿宋_GB2312" w:cs="仿宋_GB2312"/>
          <w:lang w:val="en-US" w:eastAsia="zh-CN"/>
        </w:rPr>
        <w:t>生活</w:t>
      </w:r>
      <w:r>
        <w:rPr>
          <w:rFonts w:hint="eastAsia" w:ascii="仿宋_GB2312" w:hAnsi="仿宋_GB2312" w:eastAsia="仿宋_GB2312" w:cs="仿宋_GB2312"/>
        </w:rPr>
        <w:t>用水量约为</w:t>
      </w:r>
      <w:r>
        <w:rPr>
          <w:rFonts w:hint="eastAsia" w:ascii="仿宋_GB2312" w:hAnsi="仿宋_GB2312" w:cs="仿宋_GB2312"/>
          <w:lang w:val="en-US" w:eastAsia="zh-CN"/>
        </w:rPr>
        <w:t>1895</w:t>
      </w:r>
      <w:r>
        <w:rPr>
          <w:rFonts w:hint="eastAsia" w:ascii="仿宋_GB2312" w:hAnsi="仿宋_GB2312" w:eastAsia="仿宋_GB2312" w:cs="仿宋_GB2312"/>
        </w:rPr>
        <w:t>立方米/日</w:t>
      </w:r>
      <w:r>
        <w:rPr>
          <w:rFonts w:hint="eastAsia" w:ascii="仿宋_GB2312" w:hAnsi="仿宋_GB2312" w:eastAsia="仿宋_GB2312" w:cs="仿宋_GB2312"/>
          <w:lang w:eastAsia="zh-CN"/>
        </w:rPr>
        <w:t>。</w:t>
      </w:r>
    </w:p>
    <w:p w14:paraId="7BB26A62">
      <w:pPr>
        <w:ind w:firstLine="560"/>
        <w:rPr>
          <w:rFonts w:hint="default" w:ascii="仿宋_GB2312" w:hAnsi="仿宋_GB2312" w:eastAsia="仿宋_GB2312" w:cs="仿宋_GB2312"/>
          <w:lang w:val="en-US" w:eastAsia="zh-CN"/>
        </w:rPr>
      </w:pPr>
      <w:r>
        <w:rPr>
          <w:rFonts w:hint="eastAsia" w:ascii="楷体_GB2312" w:hAnsi="楷体_GB2312" w:eastAsia="楷体_GB2312" w:cs="楷体_GB2312"/>
          <w:sz w:val="32"/>
          <w:szCs w:val="32"/>
          <w:lang w:val="en-US" w:eastAsia="zh-CN"/>
        </w:rPr>
        <w:t>水源规划。</w:t>
      </w:r>
      <w:r>
        <w:rPr>
          <w:rFonts w:hint="eastAsia" w:ascii="仿宋_GB2312" w:hAnsi="仿宋_GB2312" w:eastAsia="仿宋_GB2312" w:cs="仿宋_GB2312"/>
        </w:rPr>
        <w:t>镇区</w:t>
      </w:r>
      <w:r>
        <w:rPr>
          <w:rFonts w:hint="eastAsia" w:ascii="仿宋_GB2312" w:hAnsi="仿宋_GB2312" w:cs="仿宋_GB2312"/>
          <w:lang w:val="en-US" w:eastAsia="zh-CN"/>
        </w:rPr>
        <w:t>现状</w:t>
      </w:r>
      <w:r>
        <w:rPr>
          <w:rFonts w:hint="eastAsia" w:ascii="仿宋_GB2312" w:hAnsi="仿宋_GB2312" w:eastAsia="仿宋_GB2312" w:cs="仿宋_GB2312"/>
        </w:rPr>
        <w:t>生活水源以地</w:t>
      </w:r>
      <w:r>
        <w:rPr>
          <w:rFonts w:hint="eastAsia" w:ascii="仿宋_GB2312" w:hAnsi="仿宋_GB2312" w:cs="仿宋_GB2312"/>
          <w:lang w:val="en-US" w:eastAsia="zh-CN"/>
        </w:rPr>
        <w:t>表</w:t>
      </w:r>
      <w:r>
        <w:rPr>
          <w:rFonts w:hint="eastAsia" w:ascii="仿宋_GB2312" w:hAnsi="仿宋_GB2312" w:eastAsia="仿宋_GB2312" w:cs="仿宋_GB2312"/>
        </w:rPr>
        <w:t>水为主</w:t>
      </w:r>
      <w:r>
        <w:rPr>
          <w:rFonts w:hint="eastAsia" w:ascii="仿宋_GB2312" w:hAnsi="仿宋_GB2312" w:cs="仿宋_GB2312"/>
          <w:lang w:eastAsia="zh-CN"/>
        </w:rPr>
        <w:t>，</w:t>
      </w:r>
      <w:r>
        <w:rPr>
          <w:rFonts w:hint="eastAsia" w:ascii="仿宋_GB2312" w:hAnsi="仿宋_GB2312" w:eastAsia="仿宋_GB2312" w:cs="仿宋_GB2312"/>
          <w:lang w:val="en-US" w:eastAsia="zh-CN"/>
        </w:rPr>
        <w:t>规划在镇区西侧</w:t>
      </w:r>
      <w:r>
        <w:rPr>
          <w:rFonts w:hint="eastAsia" w:ascii="仿宋_GB2312" w:hAnsi="仿宋_GB2312" w:cs="仿宋_GB2312"/>
          <w:lang w:val="en-US" w:eastAsia="zh-CN"/>
        </w:rPr>
        <w:t>新建</w:t>
      </w:r>
      <w:r>
        <w:rPr>
          <w:rFonts w:hint="eastAsia" w:ascii="仿宋_GB2312" w:hAnsi="仿宋_GB2312" w:eastAsia="仿宋_GB2312" w:cs="仿宋_GB2312"/>
          <w:lang w:val="en-US" w:eastAsia="zh-CN"/>
        </w:rPr>
        <w:t>自来水厂一处。</w:t>
      </w:r>
      <w:r>
        <w:rPr>
          <w:rFonts w:hint="eastAsia" w:ascii="仿宋_GB2312" w:hAnsi="仿宋_GB2312" w:cs="仿宋_GB2312"/>
          <w:lang w:val="en-US" w:eastAsia="zh-CN"/>
        </w:rPr>
        <w:t>远期通过布哈河引水，推进环湖五镇供水骨干工程，建立稳定可靠、配置高效的水资源配置体系，提高乡村供水保障能力。</w:t>
      </w:r>
    </w:p>
    <w:p w14:paraId="0377C9C9">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管网规划。</w:t>
      </w:r>
      <w:r>
        <w:rPr>
          <w:rFonts w:hint="eastAsia" w:ascii="仿宋_GB2312" w:hAnsi="仿宋_GB2312" w:eastAsia="仿宋_GB2312" w:cs="仿宋_GB2312"/>
        </w:rPr>
        <w:t>镇区供水管网布置以环状为主，枝状为辅，形成环状和枝状相结合的供水系统，以保障水压稳定。管线沿镇区道路铺设在道路下位置，原则上以道路中心线东侧、南侧为主，一般设在人行道或绿化带下。</w:t>
      </w:r>
    </w:p>
    <w:p w14:paraId="67078B58">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eastAsia="zh-CN"/>
        </w:rPr>
      </w:pPr>
      <w:bookmarkStart w:id="187" w:name="_Toc3085"/>
      <w:bookmarkStart w:id="188" w:name="_Toc26735"/>
      <w:r>
        <w:rPr>
          <w:rFonts w:hint="eastAsia" w:ascii="楷体_GB2312" w:hAnsi="Times New Roman" w:eastAsia="楷体_GB2312" w:cs="Times New Roman"/>
          <w:bCs/>
          <w:sz w:val="32"/>
          <w:szCs w:val="32"/>
          <w:lang w:eastAsia="zh-CN"/>
        </w:rPr>
        <w:t>排水工程规划</w:t>
      </w:r>
      <w:bookmarkEnd w:id="187"/>
      <w:bookmarkEnd w:id="188"/>
    </w:p>
    <w:p w14:paraId="6CB2D1F4">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镇区采用雨、污分流制排水体制。</w:t>
      </w:r>
      <w:r>
        <w:rPr>
          <w:rFonts w:hint="eastAsia" w:ascii="仿宋_GB2312" w:hAnsi="仿宋_GB2312" w:eastAsia="仿宋_GB2312" w:cs="仿宋_GB2312"/>
        </w:rPr>
        <w:t>雨水就近排入河流水体，污水经污水管网系统收集处理后送入污水处理厂处理。</w:t>
      </w:r>
    </w:p>
    <w:p w14:paraId="1CCC876A">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雨水工程规划。</w:t>
      </w:r>
      <w:r>
        <w:rPr>
          <w:rFonts w:hint="eastAsia" w:ascii="仿宋_GB2312" w:hAnsi="仿宋_GB2312" w:eastAsia="仿宋_GB2312" w:cs="仿宋_GB2312"/>
        </w:rPr>
        <w:t>雨水采用重力自流的排放方式。依据雨水排放原则，就近排入规划水体或市政雨水系统中，以缩短排水距离，减小雨水管渠断面及埋深。雨水管一般布置在道路绿化带或非机动车道下。</w:t>
      </w:r>
    </w:p>
    <w:p w14:paraId="23C0A2C2">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污水量预测。</w:t>
      </w:r>
      <w:r>
        <w:rPr>
          <w:rFonts w:hint="eastAsia" w:ascii="仿宋_GB2312" w:hAnsi="仿宋_GB2312" w:cs="仿宋_GB2312"/>
          <w:lang w:val="en-US" w:eastAsia="zh-CN"/>
        </w:rPr>
        <w:t>镇区</w:t>
      </w:r>
      <w:r>
        <w:rPr>
          <w:rFonts w:hint="eastAsia" w:ascii="仿宋_GB2312" w:hAnsi="仿宋_GB2312" w:eastAsia="仿宋_GB2312" w:cs="仿宋_GB2312"/>
        </w:rPr>
        <w:t>污水量</w:t>
      </w:r>
      <w:r>
        <w:rPr>
          <w:rFonts w:hint="eastAsia" w:ascii="仿宋_GB2312" w:hAnsi="仿宋_GB2312" w:cs="仿宋_GB2312"/>
          <w:lang w:val="en-US" w:eastAsia="zh-CN"/>
        </w:rPr>
        <w:t>约1422</w:t>
      </w:r>
      <w:r>
        <w:rPr>
          <w:rFonts w:hint="eastAsia" w:ascii="仿宋_GB2312" w:hAnsi="仿宋_GB2312" w:eastAsia="仿宋_GB2312" w:cs="仿宋_GB2312"/>
        </w:rPr>
        <w:t>立方米/日。</w:t>
      </w:r>
    </w:p>
    <w:p w14:paraId="72EA33A4">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污水处理设施规划。</w:t>
      </w:r>
      <w:r>
        <w:rPr>
          <w:rFonts w:hint="eastAsia" w:ascii="仿宋_GB2312" w:hAnsi="仿宋_GB2312" w:cs="仿宋_GB2312"/>
          <w:lang w:val="en-US" w:eastAsia="zh-CN"/>
        </w:rPr>
        <w:t>规划扩建</w:t>
      </w:r>
      <w:r>
        <w:rPr>
          <w:rFonts w:hint="eastAsia" w:ascii="仿宋_GB2312" w:hAnsi="仿宋_GB2312" w:eastAsia="仿宋_GB2312" w:cs="仿宋_GB2312"/>
        </w:rPr>
        <w:t>黑马河镇区南部</w:t>
      </w:r>
      <w:r>
        <w:rPr>
          <w:rFonts w:hint="eastAsia" w:ascii="仿宋_GB2312" w:hAnsi="仿宋_GB2312" w:eastAsia="仿宋_GB2312" w:cs="仿宋_GB2312"/>
          <w:lang w:val="en-US" w:eastAsia="zh-CN"/>
        </w:rPr>
        <w:t>现状</w:t>
      </w:r>
      <w:r>
        <w:rPr>
          <w:rFonts w:hint="eastAsia" w:ascii="仿宋_GB2312" w:hAnsi="仿宋_GB2312" w:eastAsia="仿宋_GB2312" w:cs="仿宋_GB2312"/>
        </w:rPr>
        <w:t>污水处理厂，统一处理镇区及周边村庄污水，占地面积为0.</w:t>
      </w:r>
      <w:r>
        <w:rPr>
          <w:rFonts w:hint="eastAsia" w:ascii="仿宋_GB2312" w:hAnsi="仿宋_GB2312" w:cs="仿宋_GB2312"/>
          <w:lang w:val="en-US" w:eastAsia="zh-CN"/>
        </w:rPr>
        <w:t>27</w:t>
      </w:r>
      <w:r>
        <w:rPr>
          <w:rFonts w:hint="eastAsia" w:ascii="仿宋_GB2312" w:hAnsi="仿宋_GB2312" w:eastAsia="仿宋_GB2312" w:cs="仿宋_GB2312"/>
        </w:rPr>
        <w:t>公顷。</w:t>
      </w:r>
    </w:p>
    <w:p w14:paraId="74ECBB8E">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污水管网规划。</w:t>
      </w:r>
      <w:r>
        <w:rPr>
          <w:rFonts w:hint="eastAsia" w:ascii="仿宋_GB2312" w:hAnsi="仿宋_GB2312" w:eastAsia="仿宋_GB2312" w:cs="仿宋_GB2312"/>
        </w:rPr>
        <w:t>污水管道系统布置按照地形趋势和道路坡度，采用重力流形式排放。污水管道一般布置在道路东或南侧的道路下。</w:t>
      </w:r>
    </w:p>
    <w:p w14:paraId="04EEE663">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eastAsia="zh-CN"/>
        </w:rPr>
      </w:pPr>
      <w:bookmarkStart w:id="189" w:name="_Toc20190"/>
      <w:bookmarkStart w:id="190" w:name="_Toc31539"/>
      <w:r>
        <w:rPr>
          <w:rFonts w:hint="eastAsia" w:ascii="楷体_GB2312" w:hAnsi="Times New Roman" w:eastAsia="楷体_GB2312" w:cs="Times New Roman"/>
          <w:bCs/>
          <w:sz w:val="32"/>
          <w:szCs w:val="32"/>
          <w:lang w:eastAsia="zh-CN"/>
        </w:rPr>
        <w:t>电力工程规划</w:t>
      </w:r>
      <w:bookmarkEnd w:id="189"/>
      <w:bookmarkEnd w:id="190"/>
    </w:p>
    <w:p w14:paraId="16A371E4">
      <w:pPr>
        <w:ind w:firstLine="560"/>
        <w:rPr>
          <w:rFonts w:hint="eastAsia" w:ascii="仿宋_GB2312" w:hAnsi="仿宋_GB2312" w:eastAsia="仿宋_GB2312" w:cs="仿宋_GB2312"/>
          <w:lang w:val="en-US" w:eastAsia="zh-CN"/>
        </w:rPr>
      </w:pPr>
      <w:r>
        <w:rPr>
          <w:rFonts w:hint="eastAsia" w:ascii="楷体_GB2312" w:hAnsi="楷体_GB2312" w:eastAsia="楷体_GB2312" w:cs="楷体_GB2312"/>
          <w:sz w:val="32"/>
          <w:szCs w:val="32"/>
          <w:lang w:val="en-US" w:eastAsia="zh-CN"/>
        </w:rPr>
        <w:t>用电负荷预测。</w:t>
      </w:r>
      <w:r>
        <w:rPr>
          <w:rFonts w:hint="eastAsia" w:ascii="仿宋_GB2312" w:hAnsi="仿宋_GB2312" w:eastAsia="仿宋_GB2312" w:cs="仿宋_GB2312"/>
        </w:rPr>
        <w:t>规划期末，黑马河镇政府驻地总生活用电量为</w:t>
      </w:r>
      <w:r>
        <w:rPr>
          <w:rFonts w:hint="eastAsia" w:ascii="仿宋_GB2312" w:hAnsi="仿宋_GB2312" w:cs="仿宋_GB2312"/>
          <w:lang w:val="en-US" w:eastAsia="zh-CN"/>
        </w:rPr>
        <w:t>1.82</w:t>
      </w:r>
      <w:r>
        <w:rPr>
          <w:rFonts w:hint="eastAsia" w:ascii="仿宋_GB2312" w:hAnsi="仿宋_GB2312" w:eastAsia="仿宋_GB2312" w:cs="仿宋_GB2312"/>
        </w:rPr>
        <w:t>万千瓦时</w:t>
      </w:r>
      <w:r>
        <w:rPr>
          <w:rFonts w:hint="eastAsia" w:ascii="仿宋_GB2312" w:hAnsi="仿宋_GB2312" w:cs="仿宋_GB2312"/>
          <w:lang w:eastAsia="zh-CN"/>
        </w:rPr>
        <w:t>。</w:t>
      </w:r>
    </w:p>
    <w:p w14:paraId="6182092B">
      <w:pPr>
        <w:ind w:firstLine="560"/>
        <w:rPr>
          <w:rFonts w:hint="eastAsia" w:eastAsia="仿宋_GB2312"/>
          <w:lang w:eastAsia="zh-CN"/>
        </w:rPr>
      </w:pPr>
      <w:r>
        <w:rPr>
          <w:rFonts w:hint="eastAsia" w:ascii="楷体_GB2312" w:hAnsi="楷体_GB2312" w:eastAsia="楷体_GB2312" w:cs="楷体_GB2312"/>
          <w:sz w:val="32"/>
          <w:szCs w:val="32"/>
          <w:lang w:val="en-US" w:eastAsia="zh-CN"/>
        </w:rPr>
        <w:t>电力工程规划。</w:t>
      </w:r>
      <w:r>
        <w:rPr>
          <w:rFonts w:hint="eastAsia" w:ascii="仿宋_GB2312" w:hAnsi="仿宋_GB2312" w:eastAsia="仿宋_GB2312" w:cs="仿宋_GB2312"/>
        </w:rPr>
        <w:t>对镇区现状35</w:t>
      </w:r>
      <w:r>
        <w:rPr>
          <w:rFonts w:hint="eastAsia" w:ascii="仿宋_GB2312" w:hAnsi="仿宋_GB2312" w:eastAsia="仿宋_GB2312" w:cs="仿宋_GB2312"/>
          <w:lang w:eastAsia="zh-CN"/>
        </w:rPr>
        <w:t>千伏</w:t>
      </w:r>
      <w:r>
        <w:rPr>
          <w:rFonts w:hint="eastAsia" w:ascii="仿宋_GB2312" w:hAnsi="仿宋_GB2312" w:eastAsia="仿宋_GB2312" w:cs="仿宋_GB2312"/>
        </w:rPr>
        <w:t>变电站进行</w:t>
      </w:r>
      <w:r>
        <w:rPr>
          <w:rFonts w:hint="eastAsia" w:ascii="仿宋_GB2312" w:hAnsi="仿宋_GB2312" w:cs="仿宋_GB2312"/>
          <w:lang w:val="en-US" w:eastAsia="zh-CN"/>
        </w:rPr>
        <w:t>近期保留，远期</w:t>
      </w:r>
      <w:r>
        <w:rPr>
          <w:rFonts w:hint="eastAsia" w:ascii="仿宋_GB2312" w:hAnsi="仿宋_GB2312" w:eastAsia="仿宋_GB2312" w:cs="仿宋_GB2312"/>
        </w:rPr>
        <w:t>拆除，并在镇区北部新建青海海南黑马河110千伏变电站</w:t>
      </w:r>
      <w:r>
        <w:rPr>
          <w:rFonts w:hint="eastAsia" w:ascii="仿宋_GB2312" w:hAnsi="仿宋_GB2312" w:cs="仿宋_GB2312"/>
          <w:lang w:eastAsia="zh-CN"/>
        </w:rPr>
        <w:t>，</w:t>
      </w:r>
      <w:r>
        <w:rPr>
          <w:rFonts w:hint="eastAsia" w:ascii="仿宋_GB2312" w:hAnsi="仿宋_GB2312" w:cs="仿宋_GB2312"/>
          <w:lang w:val="en-US" w:eastAsia="zh-CN"/>
        </w:rPr>
        <w:t>占地面积约0.99公顷，</w:t>
      </w:r>
      <w:r>
        <w:rPr>
          <w:rFonts w:hint="eastAsia" w:ascii="仿宋_GB2312" w:hAnsi="仿宋_GB2312" w:eastAsia="仿宋_GB2312" w:cs="仿宋_GB2312"/>
        </w:rPr>
        <w:t>作为</w:t>
      </w:r>
      <w:r>
        <w:rPr>
          <w:rFonts w:hint="eastAsia" w:ascii="仿宋_GB2312" w:hAnsi="仿宋_GB2312" w:cs="仿宋_GB2312"/>
          <w:lang w:val="en-US" w:eastAsia="zh-CN"/>
        </w:rPr>
        <w:t>镇区</w:t>
      </w:r>
      <w:r>
        <w:rPr>
          <w:rFonts w:hint="eastAsia" w:ascii="仿宋_GB2312" w:hAnsi="仿宋_GB2312" w:eastAsia="仿宋_GB2312" w:cs="仿宋_GB2312"/>
        </w:rPr>
        <w:t>主供电源。电力线路采用架空线路形式敷设，满足现状变电站改扩建及高压走廊用地需求，110千伏线路高压线走廊宽度15-25米；35千伏线路高压线走廊宽度15-20米</w:t>
      </w:r>
      <w:r>
        <w:rPr>
          <w:rFonts w:hint="eastAsia" w:ascii="仿宋_GB2312" w:hAnsi="仿宋_GB2312" w:cs="仿宋_GB2312"/>
          <w:lang w:eastAsia="zh-CN"/>
        </w:rPr>
        <w:t>。</w:t>
      </w:r>
    </w:p>
    <w:p w14:paraId="0132721A">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eastAsia="zh-CN"/>
        </w:rPr>
      </w:pPr>
      <w:bookmarkStart w:id="191" w:name="_Toc4075"/>
      <w:bookmarkStart w:id="192" w:name="_Toc30858"/>
      <w:r>
        <w:rPr>
          <w:rFonts w:hint="eastAsia" w:ascii="楷体_GB2312" w:hAnsi="Times New Roman" w:eastAsia="楷体_GB2312" w:cs="Times New Roman"/>
          <w:bCs/>
          <w:sz w:val="32"/>
          <w:szCs w:val="32"/>
          <w:lang w:eastAsia="zh-CN"/>
        </w:rPr>
        <w:t>通信工程规划</w:t>
      </w:r>
      <w:bookmarkEnd w:id="191"/>
      <w:bookmarkEnd w:id="192"/>
    </w:p>
    <w:p w14:paraId="347602D7">
      <w:pPr>
        <w:ind w:firstLine="560"/>
        <w:rPr>
          <w:rFonts w:hint="eastAsia" w:ascii="仿宋_GB2312" w:hAnsi="仿宋_GB2312" w:eastAsia="仿宋_GB2312" w:cs="仿宋_GB2312"/>
          <w:lang w:eastAsia="zh-CN"/>
        </w:rPr>
      </w:pPr>
      <w:r>
        <w:rPr>
          <w:rFonts w:hint="eastAsia" w:ascii="仿宋_GB2312" w:hAnsi="仿宋_GB2312" w:eastAsia="仿宋_GB2312" w:cs="仿宋_GB2312"/>
          <w:sz w:val="32"/>
          <w:szCs w:val="32"/>
          <w:lang w:val="en-US" w:eastAsia="zh-CN"/>
        </w:rPr>
        <w:t>保障</w:t>
      </w:r>
      <w:r>
        <w:rPr>
          <w:rFonts w:hint="eastAsia" w:ascii="仿宋_GB2312" w:hAnsi="仿宋_GB2312" w:cs="仿宋_GB2312"/>
          <w:sz w:val="32"/>
          <w:szCs w:val="32"/>
          <w:lang w:val="en-US" w:eastAsia="zh-CN"/>
        </w:rPr>
        <w:t>黑马河</w:t>
      </w:r>
      <w:r>
        <w:rPr>
          <w:rFonts w:hint="eastAsia" w:ascii="仿宋_GB2312" w:hAnsi="仿宋_GB2312" w:eastAsia="仿宋_GB2312" w:cs="仿宋_GB2312"/>
          <w:sz w:val="32"/>
          <w:szCs w:val="32"/>
          <w:lang w:val="en-US" w:eastAsia="zh-CN"/>
        </w:rPr>
        <w:t>镇通信局站、邮政支局、5G基站用地，</w:t>
      </w:r>
      <w:r>
        <w:rPr>
          <w:rFonts w:hint="eastAsia" w:ascii="仿宋_GB2312" w:hAnsi="仿宋_GB2312" w:eastAsia="仿宋_GB2312" w:cs="仿宋_GB2312"/>
        </w:rPr>
        <w:t>规划新增电信端局一座，位于镇区西北部，</w:t>
      </w:r>
      <w:r>
        <w:rPr>
          <w:rFonts w:hint="eastAsia" w:ascii="仿宋_GB2312" w:hAnsi="仿宋_GB2312" w:cs="仿宋_GB2312"/>
          <w:lang w:val="en-US" w:eastAsia="zh-CN"/>
        </w:rPr>
        <w:t>面积约0.27公顷。综合考虑用地集约节约化</w:t>
      </w:r>
      <w:r>
        <w:rPr>
          <w:rFonts w:hint="eastAsia" w:ascii="仿宋_GB2312" w:hAnsi="仿宋_GB2312" w:eastAsia="仿宋_GB2312" w:cs="仿宋_GB2312"/>
        </w:rPr>
        <w:t>，移动通信基站采用移动、联通、电信等三家运营单位，共建共享的建设模式。居住区按服务半径350</w:t>
      </w:r>
      <w:r>
        <w:rPr>
          <w:rFonts w:hint="eastAsia" w:ascii="仿宋_GB2312" w:hAnsi="仿宋_GB2312" w:eastAsia="仿宋_GB2312" w:cs="仿宋_GB2312"/>
          <w:lang w:eastAsia="zh-CN"/>
        </w:rPr>
        <w:t>—</w:t>
      </w:r>
      <w:r>
        <w:rPr>
          <w:rFonts w:hint="eastAsia" w:ascii="仿宋_GB2312" w:hAnsi="仿宋_GB2312" w:eastAsia="仿宋_GB2312" w:cs="仿宋_GB2312"/>
        </w:rPr>
        <w:t>500米布置</w:t>
      </w:r>
      <w:r>
        <w:rPr>
          <w:rFonts w:hint="eastAsia" w:ascii="仿宋_GB2312" w:hAnsi="仿宋_GB2312" w:cs="仿宋_GB2312"/>
          <w:lang w:val="en-US" w:eastAsia="zh-CN"/>
        </w:rPr>
        <w:t>移动基站及机房</w:t>
      </w:r>
      <w:r>
        <w:rPr>
          <w:rFonts w:hint="eastAsia" w:ascii="仿宋_GB2312" w:hAnsi="仿宋_GB2312" w:eastAsia="仿宋_GB2312" w:cs="仿宋_GB2312"/>
        </w:rPr>
        <w:t>。镇区的有线电视建设应充分发挥、利用现有网络功能，加快用户光缆网的建设，使区内的有线电视网络逐步由目前的光纤、电缆混合网向全光纤网过渡。根据</w:t>
      </w:r>
      <w:r>
        <w:rPr>
          <w:rFonts w:hint="eastAsia" w:ascii="仿宋_GB2312" w:hAnsi="仿宋_GB2312" w:cs="仿宋_GB2312"/>
          <w:lang w:val="en-US" w:eastAsia="zh-CN"/>
        </w:rPr>
        <w:t>黑马河</w:t>
      </w:r>
      <w:r>
        <w:rPr>
          <w:rFonts w:hint="eastAsia" w:ascii="仿宋_GB2312" w:hAnsi="仿宋_GB2312" w:eastAsia="仿宋_GB2312" w:cs="仿宋_GB2312"/>
        </w:rPr>
        <w:t>镇的发展实际，规划有线电视入户率达90％以上</w:t>
      </w:r>
      <w:r>
        <w:rPr>
          <w:rFonts w:hint="eastAsia" w:ascii="仿宋_GB2312" w:hAnsi="仿宋_GB2312" w:cs="仿宋_GB2312"/>
          <w:lang w:eastAsia="zh-CN"/>
        </w:rPr>
        <w:t>。</w:t>
      </w:r>
    </w:p>
    <w:p w14:paraId="7A7A57C9">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eastAsia="zh-CN"/>
        </w:rPr>
      </w:pPr>
      <w:bookmarkStart w:id="193" w:name="_Toc19752"/>
      <w:bookmarkStart w:id="194" w:name="_Toc21581"/>
      <w:bookmarkStart w:id="195" w:name="_Toc21303"/>
      <w:r>
        <w:rPr>
          <w:rFonts w:hint="eastAsia" w:ascii="楷体_GB2312" w:hAnsi="Times New Roman" w:eastAsia="楷体_GB2312" w:cs="Times New Roman"/>
          <w:bCs/>
          <w:sz w:val="32"/>
          <w:szCs w:val="32"/>
          <w:lang w:eastAsia="zh-CN"/>
        </w:rPr>
        <w:t>燃气工程规划</w:t>
      </w:r>
      <w:bookmarkEnd w:id="193"/>
      <w:bookmarkEnd w:id="194"/>
    </w:p>
    <w:p w14:paraId="00A6DEA8">
      <w:pPr>
        <w:ind w:firstLine="560"/>
        <w:rPr>
          <w:rFonts w:hint="eastAsia" w:ascii="仿宋_GB2312" w:hAnsi="仿宋_GB2312" w:cs="仿宋_GB2312"/>
          <w:lang w:val="en-US" w:eastAsia="zh-CN"/>
        </w:rPr>
      </w:pPr>
      <w:r>
        <w:rPr>
          <w:rFonts w:hint="eastAsia" w:ascii="楷体_GB2312" w:hAnsi="楷体_GB2312" w:eastAsia="楷体_GB2312" w:cs="楷体_GB2312"/>
          <w:sz w:val="32"/>
          <w:szCs w:val="32"/>
          <w:lang w:val="en-US" w:eastAsia="zh-CN"/>
        </w:rPr>
        <w:t>燃气气源规划。</w:t>
      </w:r>
      <w:r>
        <w:rPr>
          <w:rFonts w:hint="eastAsia" w:ascii="仿宋_GB2312" w:hAnsi="仿宋_GB2312" w:eastAsia="仿宋_GB2312" w:cs="仿宋_GB2312"/>
          <w:sz w:val="32"/>
          <w:szCs w:val="32"/>
          <w:lang w:val="en-US" w:eastAsia="zh-CN"/>
        </w:rPr>
        <w:t>镇区燃气</w:t>
      </w:r>
      <w:r>
        <w:rPr>
          <w:rFonts w:hint="eastAsia" w:ascii="仿宋_GB2312" w:hAnsi="仿宋_GB2312" w:cs="仿宋_GB2312"/>
          <w:sz w:val="32"/>
          <w:szCs w:val="32"/>
          <w:lang w:val="en-US" w:eastAsia="zh-CN"/>
        </w:rPr>
        <w:t>采用</w:t>
      </w:r>
      <w:r>
        <w:rPr>
          <w:rFonts w:hint="eastAsia" w:ascii="仿宋_GB2312" w:hAnsi="仿宋_GB2312" w:eastAsia="仿宋_GB2312" w:cs="仿宋_GB2312"/>
          <w:sz w:val="32"/>
          <w:szCs w:val="32"/>
          <w:lang w:val="en-US" w:eastAsia="zh-CN"/>
        </w:rPr>
        <w:t>天然气，气源为“涩宁兰”输气管道输送的管道天然气。</w:t>
      </w:r>
      <w:r>
        <w:rPr>
          <w:rFonts w:hint="eastAsia" w:ascii="仿宋_GB2312" w:hAnsi="仿宋_GB2312" w:cs="仿宋_GB2312"/>
          <w:lang w:val="en-US" w:eastAsia="zh-CN"/>
        </w:rPr>
        <w:t>规划在镇区西北侧城镇开发边界外新建燃气站一处，占地面积约0.93公顷。</w:t>
      </w:r>
    </w:p>
    <w:p w14:paraId="55D19D32">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燃气工程规划。</w:t>
      </w:r>
      <w:r>
        <w:rPr>
          <w:rFonts w:hint="eastAsia" w:ascii="仿宋_GB2312" w:hAnsi="仿宋_GB2312" w:eastAsia="仿宋_GB2312" w:cs="仿宋_GB2312"/>
        </w:rPr>
        <w:t>规划范围供气管网采用中、低压两级压力级制。规划区内沿市政道路布置中压燃气管道。中压燃气管在道路下的位置以人行道或两侧绿化带为主，管位空间不够时布置在非机动车道下，原则上布置在道路中心线的西侧或北侧。</w:t>
      </w:r>
    </w:p>
    <w:p w14:paraId="77E4F75E">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eastAsia="zh-CN"/>
        </w:rPr>
      </w:pPr>
      <w:bookmarkStart w:id="196" w:name="_Toc10142"/>
      <w:r>
        <w:rPr>
          <w:rFonts w:hint="eastAsia" w:ascii="楷体_GB2312" w:hAnsi="Times New Roman" w:eastAsia="楷体_GB2312" w:cs="Times New Roman"/>
          <w:bCs/>
          <w:sz w:val="32"/>
          <w:szCs w:val="32"/>
          <w:lang w:eastAsia="zh-CN"/>
        </w:rPr>
        <w:t>供热工程规划</w:t>
      </w:r>
      <w:bookmarkEnd w:id="195"/>
      <w:bookmarkEnd w:id="196"/>
    </w:p>
    <w:p w14:paraId="754D4604">
      <w:pPr>
        <w:ind w:firstLine="560"/>
        <w:rPr>
          <w:rFonts w:hint="eastAsia" w:ascii="仿宋_GB2312" w:hAnsi="仿宋_GB2312" w:eastAsia="仿宋_GB2312" w:cs="仿宋_GB2312"/>
        </w:rPr>
      </w:pPr>
      <w:r>
        <w:rPr>
          <w:rFonts w:hint="eastAsia" w:ascii="仿宋_GB2312" w:hAnsi="仿宋_GB2312" w:eastAsia="仿宋_GB2312" w:cs="仿宋_GB2312"/>
        </w:rPr>
        <w:t>结合目前清洁能源普及推广情况，规划黑马河镇</w:t>
      </w:r>
      <w:r>
        <w:rPr>
          <w:rFonts w:hint="eastAsia" w:ascii="仿宋_GB2312" w:hAnsi="仿宋_GB2312" w:cs="仿宋_GB2312"/>
          <w:lang w:val="en-US" w:eastAsia="zh-CN"/>
        </w:rPr>
        <w:t>近期</w:t>
      </w:r>
      <w:r>
        <w:rPr>
          <w:rFonts w:hint="eastAsia" w:ascii="仿宋_GB2312" w:hAnsi="仿宋_GB2312" w:eastAsia="仿宋_GB2312" w:cs="仿宋_GB2312"/>
        </w:rPr>
        <w:t>以电采暖为主，同时考虑燃气的接入。</w:t>
      </w:r>
      <w:r>
        <w:rPr>
          <w:rFonts w:hint="eastAsia" w:ascii="仿宋_GB2312" w:hAnsi="仿宋_GB2312" w:eastAsia="仿宋_GB2312" w:cs="仿宋_GB2312"/>
          <w:lang w:val="en-US" w:eastAsia="zh-CN"/>
        </w:rPr>
        <w:t>规划</w:t>
      </w:r>
      <w:r>
        <w:rPr>
          <w:rFonts w:hint="eastAsia" w:ascii="仿宋_GB2312" w:hAnsi="仿宋_GB2312" w:eastAsia="仿宋_GB2312" w:cs="仿宋_GB2312"/>
        </w:rPr>
        <w:t>在镇区内预留0.61公顷的燃气锅炉房用地。</w:t>
      </w:r>
    </w:p>
    <w:p w14:paraId="4D8A15F8">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eastAsia="zh-CN"/>
        </w:rPr>
      </w:pPr>
      <w:bookmarkStart w:id="197" w:name="_Toc31563"/>
      <w:bookmarkStart w:id="198" w:name="_Toc26383"/>
      <w:r>
        <w:rPr>
          <w:rFonts w:hint="eastAsia" w:ascii="楷体_GB2312" w:hAnsi="Times New Roman" w:eastAsia="楷体_GB2312" w:cs="Times New Roman"/>
          <w:bCs/>
          <w:sz w:val="32"/>
          <w:szCs w:val="32"/>
          <w:lang w:eastAsia="zh-CN"/>
        </w:rPr>
        <w:t>环卫工程规划</w:t>
      </w:r>
      <w:bookmarkEnd w:id="197"/>
      <w:bookmarkEnd w:id="198"/>
    </w:p>
    <w:p w14:paraId="2752A9FD">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垃圾量预测。</w:t>
      </w:r>
      <w:r>
        <w:rPr>
          <w:rFonts w:hint="eastAsia" w:ascii="仿宋_GB2312" w:hAnsi="仿宋_GB2312" w:eastAsia="仿宋_GB2312" w:cs="仿宋_GB2312"/>
          <w:lang w:val="en-US" w:eastAsia="zh-CN"/>
        </w:rPr>
        <w:t>综合考虑旅游人口和常住人口规模，预测</w:t>
      </w:r>
      <w:r>
        <w:rPr>
          <w:rFonts w:hint="eastAsia" w:ascii="仿宋_GB2312" w:hAnsi="仿宋_GB2312" w:eastAsia="仿宋_GB2312" w:cs="仿宋_GB2312"/>
        </w:rPr>
        <w:t>人均生活垃圾产量取</w:t>
      </w:r>
      <w:r>
        <w:rPr>
          <w:rFonts w:hint="eastAsia" w:ascii="仿宋_GB2312" w:hAnsi="仿宋_GB2312" w:cs="仿宋_GB2312"/>
          <w:lang w:val="en-US" w:eastAsia="zh-CN"/>
        </w:rPr>
        <w:t>2.0</w:t>
      </w:r>
      <w:r>
        <w:rPr>
          <w:rFonts w:hint="eastAsia" w:ascii="仿宋_GB2312" w:hAnsi="仿宋_GB2312" w:eastAsia="仿宋_GB2312" w:cs="仿宋_GB2312"/>
        </w:rPr>
        <w:t>千克/人日，则生活垃圾总量为</w:t>
      </w:r>
      <w:r>
        <w:rPr>
          <w:rFonts w:hint="eastAsia" w:ascii="仿宋_GB2312" w:hAnsi="仿宋_GB2312" w:cs="仿宋_GB2312"/>
          <w:lang w:val="en-US" w:eastAsia="zh-CN"/>
        </w:rPr>
        <w:t>8.4</w:t>
      </w:r>
      <w:r>
        <w:rPr>
          <w:rFonts w:hint="eastAsia" w:ascii="仿宋_GB2312" w:hAnsi="仿宋_GB2312" w:eastAsia="仿宋_GB2312" w:cs="仿宋_GB2312"/>
        </w:rPr>
        <w:t>吨/日。</w:t>
      </w:r>
    </w:p>
    <w:p w14:paraId="2BEDE6D7">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垃圾处理方式。</w:t>
      </w:r>
      <w:r>
        <w:rPr>
          <w:rFonts w:hint="eastAsia" w:ascii="仿宋_GB2312" w:hAnsi="仿宋_GB2312" w:eastAsia="仿宋_GB2312" w:cs="仿宋_GB2312"/>
        </w:rPr>
        <w:t>生活垃圾的收集采用垃圾袋装化分类收集方式，经垃圾转运站压缩处理后转运到生活垃圾填埋场处理；建筑垃圾应由部门成立专门管理小组，统一管理，统一收运利用；所有垃圾采用密闭清运的运输方式。</w:t>
      </w:r>
    </w:p>
    <w:p w14:paraId="5D3597F5">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垃圾填埋场规划。</w:t>
      </w:r>
      <w:r>
        <w:rPr>
          <w:rFonts w:hint="eastAsia" w:ascii="仿宋_GB2312" w:hAnsi="仿宋_GB2312" w:eastAsia="仿宋_GB2312" w:cs="仿宋_GB2312"/>
        </w:rPr>
        <w:t>镇域有一垃圾处理厂，</w:t>
      </w:r>
      <w:r>
        <w:rPr>
          <w:rFonts w:hint="eastAsia" w:ascii="Times New Roman" w:hAnsi="Times New Roman" w:cs="Times New Roman"/>
          <w:bCs/>
          <w:kern w:val="2"/>
          <w:sz w:val="32"/>
          <w:szCs w:val="24"/>
          <w:lang w:val="en-US" w:eastAsia="zh-CN" w:bidi="ar-SA"/>
        </w:rPr>
        <w:t>黑马河镇垃圾填埋场位于正却乎村，占地面积1.90公顷</w:t>
      </w:r>
      <w:r>
        <w:rPr>
          <w:rFonts w:hint="eastAsia" w:ascii="仿宋_GB2312" w:hAnsi="仿宋_GB2312" w:eastAsia="仿宋_GB2312" w:cs="仿宋_GB2312"/>
        </w:rPr>
        <w:t>，</w:t>
      </w:r>
      <w:r>
        <w:rPr>
          <w:rFonts w:hint="eastAsia" w:ascii="仿宋_GB2312" w:hAnsi="仿宋_GB2312" w:eastAsia="仿宋_GB2312" w:cs="仿宋_GB2312"/>
          <w:lang w:val="en-US" w:eastAsia="zh-CN"/>
        </w:rPr>
        <w:t>建成于</w:t>
      </w:r>
      <w:r>
        <w:rPr>
          <w:rFonts w:hint="eastAsia" w:ascii="仿宋_GB2312" w:hAnsi="仿宋_GB2312" w:eastAsia="仿宋_GB2312" w:cs="仿宋_GB2312"/>
        </w:rPr>
        <w:t>2020年</w:t>
      </w:r>
      <w:r>
        <w:rPr>
          <w:rFonts w:hint="eastAsia" w:ascii="仿宋_GB2312" w:hAnsi="仿宋_GB2312" w:cs="仿宋_GB2312"/>
          <w:lang w:eastAsia="zh-CN"/>
        </w:rPr>
        <w:t>，</w:t>
      </w:r>
      <w:r>
        <w:rPr>
          <w:rFonts w:hint="eastAsia" w:ascii="仿宋_GB2312" w:hAnsi="仿宋_GB2312" w:cs="仿宋_GB2312"/>
          <w:lang w:val="en-US" w:eastAsia="zh-CN"/>
        </w:rPr>
        <w:t>规划对垃圾填埋场进行提标改造，并新建压缩站</w:t>
      </w:r>
      <w:r>
        <w:rPr>
          <w:rFonts w:hint="eastAsia" w:ascii="仿宋_GB2312" w:hAnsi="仿宋_GB2312" w:eastAsia="仿宋_GB2312" w:cs="仿宋_GB2312"/>
        </w:rPr>
        <w:t>。</w:t>
      </w:r>
    </w:p>
    <w:p w14:paraId="6C18605C">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垃圾箱布置。</w:t>
      </w:r>
      <w:r>
        <w:rPr>
          <w:rFonts w:hint="eastAsia" w:ascii="仿宋_GB2312" w:hAnsi="仿宋_GB2312" w:eastAsia="仿宋_GB2312" w:cs="仿宋_GB2312"/>
        </w:rPr>
        <w:t>在商业街、客运站、旅游点等人流比较集中的地区，50</w:t>
      </w:r>
      <w:r>
        <w:rPr>
          <w:rFonts w:hint="eastAsia" w:ascii="仿宋_GB2312" w:hAnsi="仿宋_GB2312" w:cs="仿宋_GB2312"/>
          <w:lang w:val="en-US" w:eastAsia="zh-CN"/>
        </w:rPr>
        <w:t>-</w:t>
      </w:r>
      <w:r>
        <w:rPr>
          <w:rFonts w:hint="eastAsia" w:ascii="仿宋_GB2312" w:hAnsi="仿宋_GB2312" w:eastAsia="仿宋_GB2312" w:cs="仿宋_GB2312"/>
        </w:rPr>
        <w:t>100米设置一处果皮箱；主要道路，每100</w:t>
      </w:r>
      <w:r>
        <w:rPr>
          <w:rFonts w:hint="eastAsia" w:ascii="仿宋_GB2312" w:hAnsi="仿宋_GB2312" w:cs="仿宋_GB2312"/>
          <w:lang w:val="en-US" w:eastAsia="zh-CN"/>
        </w:rPr>
        <w:t>-</w:t>
      </w:r>
      <w:r>
        <w:rPr>
          <w:rFonts w:hint="eastAsia" w:ascii="仿宋_GB2312" w:hAnsi="仿宋_GB2312" w:eastAsia="仿宋_GB2312" w:cs="仿宋_GB2312"/>
        </w:rPr>
        <w:t>200米设置一处。在镇区内政府、医院、</w:t>
      </w:r>
      <w:r>
        <w:rPr>
          <w:rFonts w:hint="eastAsia" w:ascii="仿宋_GB2312" w:hAnsi="仿宋_GB2312" w:eastAsia="仿宋_GB2312" w:cs="仿宋_GB2312"/>
          <w:lang w:eastAsia="zh-CN"/>
        </w:rPr>
        <w:t>学校</w:t>
      </w:r>
      <w:r>
        <w:rPr>
          <w:rFonts w:hint="eastAsia" w:ascii="仿宋_GB2312" w:hAnsi="仿宋_GB2312" w:eastAsia="仿宋_GB2312" w:cs="仿宋_GB2312"/>
        </w:rPr>
        <w:t>、市场等重要服务设施门前设置果皮箱。</w:t>
      </w:r>
    </w:p>
    <w:p w14:paraId="758F03CF">
      <w:pPr>
        <w:ind w:firstLine="560"/>
        <w:rPr>
          <w:rFonts w:hint="eastAsia" w:ascii="仿宋_GB2312" w:hAnsi="仿宋_GB2312" w:eastAsia="仿宋_GB2312" w:cs="仿宋_GB2312"/>
        </w:rPr>
        <w:sectPr>
          <w:type w:val="continuous"/>
          <w:pgSz w:w="11906" w:h="16838"/>
          <w:pgMar w:top="1440" w:right="1800" w:bottom="1440" w:left="1800" w:header="964" w:footer="624" w:gutter="0"/>
          <w:pgBorders>
            <w:top w:val="none" w:sz="0" w:space="0"/>
            <w:left w:val="none" w:sz="0" w:space="0"/>
            <w:bottom w:val="none" w:sz="0" w:space="0"/>
            <w:right w:val="none" w:sz="0" w:space="0"/>
          </w:pgBorders>
          <w:cols w:space="425" w:num="1"/>
          <w:docGrid w:type="lines" w:linePitch="312" w:charSpace="0"/>
        </w:sectPr>
      </w:pPr>
      <w:r>
        <w:rPr>
          <w:rFonts w:hint="eastAsia" w:ascii="楷体_GB2312" w:hAnsi="楷体_GB2312" w:eastAsia="楷体_GB2312" w:cs="楷体_GB2312"/>
          <w:sz w:val="32"/>
          <w:szCs w:val="32"/>
          <w:lang w:val="en-US" w:eastAsia="zh-CN"/>
        </w:rPr>
        <w:t>公共厕所规划。</w:t>
      </w:r>
      <w:r>
        <w:rPr>
          <w:rFonts w:hint="eastAsia" w:ascii="仿宋_GB2312" w:hAnsi="仿宋_GB2312" w:eastAsia="仿宋_GB2312" w:cs="仿宋_GB2312"/>
        </w:rPr>
        <w:t>规划每座公共厕所占地面积不小于60平方米；附建式公厕与</w:t>
      </w:r>
      <w:r>
        <w:rPr>
          <w:rFonts w:hint="eastAsia" w:ascii="仿宋_GB2312" w:hAnsi="仿宋_GB2312" w:cs="仿宋_GB2312"/>
          <w:lang w:eastAsia="zh-CN"/>
        </w:rPr>
        <w:t>其他建筑</w:t>
      </w:r>
      <w:r>
        <w:rPr>
          <w:rFonts w:hint="eastAsia" w:ascii="仿宋_GB2312" w:hAnsi="仿宋_GB2312" w:eastAsia="仿宋_GB2312" w:cs="仿宋_GB2312"/>
        </w:rPr>
        <w:t>合建，每座建筑面积不小于30平方米。所有公厕均按不低于二类标准建造，主要布置于交通道路两侧、社会停车场、公园绿地等处，或设置于各公共服务设施区域、加油站及大型公建内。</w:t>
      </w:r>
    </w:p>
    <w:p w14:paraId="14ED6E31">
      <w:pPr>
        <w:pStyle w:val="3"/>
        <w:numPr>
          <w:ilvl w:val="0"/>
          <w:numId w:val="9"/>
        </w:numPr>
      </w:pPr>
      <w:bookmarkStart w:id="199" w:name="_Toc29268"/>
      <w:bookmarkStart w:id="200" w:name="_Toc13252"/>
      <w:r>
        <w:rPr>
          <w:rFonts w:hint="eastAsia"/>
        </w:rPr>
        <w:t>综合防灾</w:t>
      </w:r>
      <w:r>
        <w:rPr>
          <w:rFonts w:hint="eastAsia"/>
          <w:lang w:val="en-US" w:eastAsia="zh-CN"/>
        </w:rPr>
        <w:t>减灾</w:t>
      </w:r>
      <w:bookmarkEnd w:id="199"/>
      <w:bookmarkEnd w:id="200"/>
    </w:p>
    <w:p w14:paraId="415C9C11">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eastAsia="zh-CN"/>
        </w:rPr>
      </w:pPr>
      <w:bookmarkStart w:id="201" w:name="_Toc15621"/>
      <w:bookmarkStart w:id="202" w:name="_Toc1465"/>
      <w:r>
        <w:rPr>
          <w:rFonts w:hint="eastAsia" w:ascii="楷体_GB2312" w:hAnsi="Times New Roman" w:eastAsia="楷体_GB2312" w:cs="Times New Roman"/>
          <w:bCs/>
          <w:sz w:val="32"/>
          <w:szCs w:val="32"/>
          <w:lang w:val="en-US" w:eastAsia="zh-CN"/>
        </w:rPr>
        <w:t>抗震减灾规划</w:t>
      </w:r>
      <w:bookmarkEnd w:id="201"/>
    </w:p>
    <w:p w14:paraId="39B50701">
      <w:r>
        <w:rPr>
          <w:rFonts w:hint="eastAsia"/>
          <w:u w:val="none"/>
          <w:shd w:val="clear" w:color="auto" w:fill="FFFFFF"/>
          <w:lang w:val="en-US" w:eastAsia="zh-CN"/>
        </w:rPr>
        <w:t>黑马河镇镇区</w:t>
      </w:r>
      <w:r>
        <w:rPr>
          <w:rFonts w:hint="eastAsia"/>
          <w:u w:val="none"/>
          <w:shd w:val="clear" w:color="auto" w:fill="FFFFFF"/>
          <w:lang w:val="zh-CN"/>
        </w:rPr>
        <w:t>地震峰值加速度0.10g，</w:t>
      </w:r>
      <w:r>
        <w:rPr>
          <w:rFonts w:hint="eastAsia"/>
          <w:u w:val="single"/>
          <w:shd w:val="clear" w:color="auto" w:fill="FFFFFF"/>
          <w:lang w:val="zh-CN"/>
        </w:rPr>
        <w:t>建设工程按照不低于地震烈度7度设防</w:t>
      </w:r>
      <w:r>
        <w:rPr>
          <w:rFonts w:hint="eastAsia"/>
          <w:shd w:val="clear" w:color="auto" w:fill="FFFFFF"/>
          <w:lang w:val="zh-CN"/>
        </w:rPr>
        <w:t>；学校、医院等人员密集场所的建设工程，主要建筑应按照地震动峰值加速度提高至0.15g，作为此类建设工程的抗震设防要求；重大建设工程和可能发生严重次生灾害的建设工程，应当进行地震安全性评价，并按地震安全性评价报告结果确定其抗震设防要求。</w:t>
      </w:r>
    </w:p>
    <w:p w14:paraId="080F373B">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eastAsia="zh-CN"/>
        </w:rPr>
      </w:pPr>
      <w:bookmarkStart w:id="203" w:name="_Toc19284"/>
      <w:r>
        <w:rPr>
          <w:rFonts w:hint="eastAsia" w:ascii="楷体_GB2312" w:hAnsi="Times New Roman" w:eastAsia="楷体_GB2312" w:cs="Times New Roman"/>
          <w:bCs/>
          <w:sz w:val="32"/>
          <w:szCs w:val="32"/>
          <w:lang w:val="en-US" w:eastAsia="zh-CN"/>
        </w:rPr>
        <w:t>防洪工程规划</w:t>
      </w:r>
      <w:bookmarkEnd w:id="203"/>
    </w:p>
    <w:p w14:paraId="18D1B0DF">
      <w:pPr>
        <w:pStyle w:val="70"/>
        <w:ind w:firstLine="562"/>
        <w:rPr>
          <w:rFonts w:hint="eastAsia" w:ascii="仿宋_GB2312" w:hAnsi="仿宋_GB2312" w:eastAsia="仿宋_GB2312" w:cs="仿宋_GB2312"/>
          <w:b w:val="0"/>
          <w:bCs w:val="0"/>
          <w:iCs w:val="0"/>
          <w:color w:val="auto"/>
          <w:kern w:val="2"/>
          <w:sz w:val="32"/>
          <w:szCs w:val="24"/>
          <w:u w:val="single"/>
          <w:lang w:val="en-US" w:eastAsia="zh-CN" w:bidi="ar-SA"/>
        </w:rPr>
      </w:pPr>
      <w:r>
        <w:rPr>
          <w:rFonts w:hint="eastAsia" w:ascii="仿宋_GB2312" w:hAnsi="仿宋_GB2312" w:eastAsia="仿宋_GB2312" w:cs="仿宋_GB2312"/>
          <w:b w:val="0"/>
          <w:bCs w:val="0"/>
          <w:iCs w:val="0"/>
          <w:color w:val="auto"/>
          <w:kern w:val="2"/>
          <w:sz w:val="32"/>
          <w:szCs w:val="24"/>
          <w:u w:val="single"/>
          <w:lang w:val="en-US" w:eastAsia="zh-CN" w:bidi="ar-SA"/>
        </w:rPr>
        <w:t>黑马河镇区规划防洪标准按</w:t>
      </w:r>
      <w:r>
        <w:rPr>
          <w:rFonts w:hint="eastAsia" w:ascii="仿宋_GB2312" w:hAnsi="仿宋_GB2312" w:cs="仿宋_GB2312"/>
          <w:b w:val="0"/>
          <w:bCs w:val="0"/>
          <w:iCs w:val="0"/>
          <w:color w:val="auto"/>
          <w:kern w:val="2"/>
          <w:sz w:val="32"/>
          <w:szCs w:val="24"/>
          <w:u w:val="single"/>
          <w:lang w:val="en-US" w:eastAsia="zh-CN" w:bidi="ar-SA"/>
        </w:rPr>
        <w:t>5</w:t>
      </w:r>
      <w:r>
        <w:rPr>
          <w:rFonts w:hint="eastAsia" w:ascii="仿宋_GB2312" w:hAnsi="仿宋_GB2312" w:eastAsia="仿宋_GB2312" w:cs="仿宋_GB2312"/>
          <w:b w:val="0"/>
          <w:bCs w:val="0"/>
          <w:iCs w:val="0"/>
          <w:color w:val="auto"/>
          <w:kern w:val="2"/>
          <w:sz w:val="32"/>
          <w:szCs w:val="24"/>
          <w:u w:val="single"/>
          <w:lang w:val="en-US" w:eastAsia="zh-CN" w:bidi="ar-SA"/>
        </w:rPr>
        <w:t>0年一遇设防，排涝标准为</w:t>
      </w:r>
      <w:r>
        <w:rPr>
          <w:rFonts w:hint="eastAsia" w:ascii="仿宋_GB2312" w:hAnsi="仿宋_GB2312" w:cs="仿宋_GB2312"/>
          <w:b w:val="0"/>
          <w:bCs w:val="0"/>
          <w:iCs w:val="0"/>
          <w:color w:val="auto"/>
          <w:kern w:val="2"/>
          <w:sz w:val="32"/>
          <w:szCs w:val="24"/>
          <w:u w:val="single"/>
          <w:lang w:val="en-US" w:eastAsia="zh-CN" w:bidi="ar-SA"/>
        </w:rPr>
        <w:t>3</w:t>
      </w:r>
      <w:r>
        <w:rPr>
          <w:rFonts w:hint="eastAsia" w:ascii="仿宋_GB2312" w:hAnsi="仿宋_GB2312" w:eastAsia="仿宋_GB2312" w:cs="仿宋_GB2312"/>
          <w:b w:val="0"/>
          <w:bCs w:val="0"/>
          <w:iCs w:val="0"/>
          <w:color w:val="auto"/>
          <w:kern w:val="2"/>
          <w:sz w:val="32"/>
          <w:szCs w:val="24"/>
          <w:u w:val="single"/>
          <w:lang w:val="en-US" w:eastAsia="zh-CN" w:bidi="ar-SA"/>
        </w:rPr>
        <w:t>0年一遇。</w:t>
      </w:r>
      <w:r>
        <w:rPr>
          <w:rFonts w:hint="eastAsia" w:ascii="仿宋_GB2312" w:hAnsi="仿宋_GB2312" w:eastAsia="仿宋_GB2312" w:cs="仿宋_GB2312"/>
          <w:b w:val="0"/>
          <w:bCs w:val="0"/>
          <w:iCs w:val="0"/>
          <w:color w:val="auto"/>
          <w:kern w:val="2"/>
          <w:sz w:val="32"/>
          <w:szCs w:val="24"/>
          <w:u w:val="none"/>
          <w:lang w:val="en-US" w:eastAsia="zh-CN" w:bidi="ar-SA"/>
        </w:rPr>
        <w:t>完善</w:t>
      </w:r>
      <w:r>
        <w:rPr>
          <w:rFonts w:hint="eastAsia" w:ascii="仿宋_GB2312" w:hAnsi="仿宋_GB2312" w:cs="仿宋_GB2312"/>
          <w:b w:val="0"/>
          <w:bCs w:val="0"/>
          <w:iCs w:val="0"/>
          <w:color w:val="auto"/>
          <w:kern w:val="2"/>
          <w:sz w:val="32"/>
          <w:szCs w:val="24"/>
          <w:u w:val="none"/>
          <w:lang w:val="en-US" w:eastAsia="zh-CN" w:bidi="ar-SA"/>
        </w:rPr>
        <w:t>黑马河</w:t>
      </w:r>
      <w:r>
        <w:rPr>
          <w:rFonts w:hint="eastAsia" w:ascii="仿宋_GB2312" w:hAnsi="仿宋_GB2312" w:eastAsia="仿宋_GB2312" w:cs="仿宋_GB2312"/>
          <w:b w:val="0"/>
          <w:bCs w:val="0"/>
          <w:iCs w:val="0"/>
          <w:color w:val="auto"/>
          <w:kern w:val="2"/>
          <w:sz w:val="32"/>
          <w:szCs w:val="24"/>
          <w:u w:val="none"/>
          <w:lang w:val="en-US" w:eastAsia="zh-CN" w:bidi="ar-SA"/>
        </w:rPr>
        <w:t>堤防达标建设，按照洪涝风险控制线要求恢复天然雨洪通道、蓄滞洪空间；加强</w:t>
      </w:r>
      <w:r>
        <w:rPr>
          <w:rFonts w:hint="eastAsia" w:ascii="仿宋_GB2312" w:hAnsi="仿宋_GB2312" w:cs="仿宋_GB2312"/>
          <w:b w:val="0"/>
          <w:bCs w:val="0"/>
          <w:iCs w:val="0"/>
          <w:color w:val="auto"/>
          <w:kern w:val="2"/>
          <w:sz w:val="32"/>
          <w:szCs w:val="24"/>
          <w:u w:val="none"/>
          <w:lang w:val="en-US" w:eastAsia="zh-CN" w:bidi="ar-SA"/>
        </w:rPr>
        <w:t>镇区</w:t>
      </w:r>
      <w:r>
        <w:rPr>
          <w:rFonts w:hint="eastAsia" w:ascii="仿宋_GB2312" w:hAnsi="仿宋_GB2312" w:eastAsia="仿宋_GB2312" w:cs="仿宋_GB2312"/>
          <w:b w:val="0"/>
          <w:bCs w:val="0"/>
          <w:iCs w:val="0"/>
          <w:color w:val="auto"/>
          <w:kern w:val="2"/>
          <w:sz w:val="32"/>
          <w:szCs w:val="24"/>
          <w:u w:val="none"/>
          <w:lang w:val="en-US" w:eastAsia="zh-CN" w:bidi="ar-SA"/>
        </w:rPr>
        <w:t>山洪灾害防治，开展</w:t>
      </w:r>
      <w:r>
        <w:rPr>
          <w:rFonts w:hint="eastAsia" w:ascii="仿宋_GB2312" w:hAnsi="仿宋_GB2312" w:cs="仿宋_GB2312"/>
          <w:b w:val="0"/>
          <w:bCs w:val="0"/>
          <w:iCs w:val="0"/>
          <w:color w:val="auto"/>
          <w:kern w:val="2"/>
          <w:sz w:val="32"/>
          <w:szCs w:val="24"/>
          <w:u w:val="none"/>
          <w:lang w:val="en-US" w:eastAsia="zh-CN" w:bidi="ar-SA"/>
        </w:rPr>
        <w:t>镇区</w:t>
      </w:r>
      <w:r>
        <w:rPr>
          <w:rFonts w:hint="eastAsia" w:ascii="仿宋_GB2312" w:hAnsi="仿宋_GB2312" w:eastAsia="仿宋_GB2312" w:cs="仿宋_GB2312"/>
          <w:b w:val="0"/>
          <w:bCs w:val="0"/>
          <w:iCs w:val="0"/>
          <w:color w:val="auto"/>
          <w:kern w:val="2"/>
          <w:sz w:val="32"/>
          <w:szCs w:val="24"/>
          <w:u w:val="none"/>
          <w:lang w:val="en-US" w:eastAsia="zh-CN" w:bidi="ar-SA"/>
        </w:rPr>
        <w:t>重点山洪沟防洪治理，</w:t>
      </w:r>
      <w:r>
        <w:rPr>
          <w:rFonts w:hint="eastAsia" w:ascii="仿宋_GB2312" w:hAnsi="仿宋_GB2312" w:cs="仿宋_GB2312"/>
          <w:b w:val="0"/>
          <w:bCs w:val="0"/>
          <w:iCs w:val="0"/>
          <w:color w:val="auto"/>
          <w:kern w:val="2"/>
          <w:sz w:val="32"/>
          <w:szCs w:val="24"/>
          <w:u w:val="none"/>
          <w:lang w:val="en-US" w:eastAsia="zh-CN" w:bidi="ar-SA"/>
        </w:rPr>
        <w:t>镇区</w:t>
      </w:r>
      <w:r>
        <w:rPr>
          <w:rFonts w:hint="eastAsia" w:ascii="仿宋_GB2312" w:hAnsi="仿宋_GB2312" w:eastAsia="仿宋_GB2312" w:cs="仿宋_GB2312"/>
          <w:b w:val="0"/>
          <w:bCs w:val="0"/>
          <w:iCs w:val="0"/>
          <w:color w:val="auto"/>
          <w:kern w:val="2"/>
          <w:sz w:val="32"/>
          <w:szCs w:val="24"/>
          <w:u w:val="none"/>
          <w:lang w:val="en-US" w:eastAsia="zh-CN" w:bidi="ar-SA"/>
        </w:rPr>
        <w:t>外围山体加强水土流失治理，完善截洪沟布局，降低山洪入城风险，全面提升</w:t>
      </w:r>
      <w:r>
        <w:rPr>
          <w:rFonts w:hint="eastAsia" w:ascii="仿宋_GB2312" w:hAnsi="仿宋_GB2312" w:cs="仿宋_GB2312"/>
          <w:b w:val="0"/>
          <w:bCs w:val="0"/>
          <w:iCs w:val="0"/>
          <w:color w:val="auto"/>
          <w:kern w:val="2"/>
          <w:sz w:val="32"/>
          <w:szCs w:val="24"/>
          <w:u w:val="none"/>
          <w:lang w:val="en-US" w:eastAsia="zh-CN" w:bidi="ar-SA"/>
        </w:rPr>
        <w:t>镇区</w:t>
      </w:r>
      <w:r>
        <w:rPr>
          <w:rFonts w:hint="eastAsia" w:ascii="仿宋_GB2312" w:hAnsi="仿宋_GB2312" w:eastAsia="仿宋_GB2312" w:cs="仿宋_GB2312"/>
          <w:b w:val="0"/>
          <w:bCs w:val="0"/>
          <w:iCs w:val="0"/>
          <w:color w:val="auto"/>
          <w:kern w:val="2"/>
          <w:sz w:val="32"/>
          <w:szCs w:val="24"/>
          <w:u w:val="none"/>
          <w:lang w:val="en-US" w:eastAsia="zh-CN" w:bidi="ar-SA"/>
        </w:rPr>
        <w:t>防洪能力；合理开展河道、排洪沟、道路边沟等整治工程，提高</w:t>
      </w:r>
      <w:r>
        <w:rPr>
          <w:rFonts w:hint="eastAsia" w:ascii="仿宋_GB2312" w:hAnsi="仿宋_GB2312" w:cs="仿宋_GB2312"/>
          <w:b w:val="0"/>
          <w:bCs w:val="0"/>
          <w:iCs w:val="0"/>
          <w:color w:val="auto"/>
          <w:kern w:val="2"/>
          <w:sz w:val="32"/>
          <w:szCs w:val="24"/>
          <w:u w:val="none"/>
          <w:lang w:val="en-US" w:eastAsia="zh-CN" w:bidi="ar-SA"/>
        </w:rPr>
        <w:t>镇区</w:t>
      </w:r>
      <w:r>
        <w:rPr>
          <w:rFonts w:hint="eastAsia" w:ascii="仿宋_GB2312" w:hAnsi="仿宋_GB2312" w:eastAsia="仿宋_GB2312" w:cs="仿宋_GB2312"/>
          <w:b w:val="0"/>
          <w:bCs w:val="0"/>
          <w:iCs w:val="0"/>
          <w:color w:val="auto"/>
          <w:kern w:val="2"/>
          <w:sz w:val="32"/>
          <w:szCs w:val="24"/>
          <w:u w:val="none"/>
          <w:lang w:val="en-US" w:eastAsia="zh-CN" w:bidi="ar-SA"/>
        </w:rPr>
        <w:t>行洪排涝能力，加大排水管网建设力度</w:t>
      </w:r>
      <w:r>
        <w:rPr>
          <w:rFonts w:hint="eastAsia" w:ascii="仿宋_GB2312" w:hAnsi="仿宋_GB2312" w:cs="仿宋_GB2312"/>
          <w:b w:val="0"/>
          <w:bCs w:val="0"/>
          <w:iCs w:val="0"/>
          <w:color w:val="auto"/>
          <w:kern w:val="2"/>
          <w:sz w:val="32"/>
          <w:szCs w:val="24"/>
          <w:u w:val="none"/>
          <w:lang w:val="en-US" w:eastAsia="zh-CN" w:bidi="ar-SA"/>
        </w:rPr>
        <w:t>，</w:t>
      </w:r>
      <w:r>
        <w:rPr>
          <w:rFonts w:hint="eastAsia" w:ascii="仿宋_GB2312" w:hAnsi="仿宋_GB2312" w:eastAsia="仿宋_GB2312" w:cs="仿宋_GB2312"/>
          <w:b w:val="0"/>
          <w:bCs w:val="0"/>
          <w:iCs w:val="0"/>
          <w:color w:val="auto"/>
          <w:kern w:val="2"/>
          <w:sz w:val="32"/>
          <w:szCs w:val="24"/>
          <w:u w:val="none"/>
          <w:lang w:val="en-US" w:eastAsia="zh-CN" w:bidi="ar-SA"/>
        </w:rPr>
        <w:t>修复破损和功能失效的排水防涝设施</w:t>
      </w:r>
      <w:r>
        <w:rPr>
          <w:rFonts w:hint="eastAsia" w:ascii="仿宋_GB2312" w:hAnsi="仿宋_GB2312" w:cs="仿宋_GB2312"/>
          <w:b w:val="0"/>
          <w:bCs w:val="0"/>
          <w:iCs w:val="0"/>
          <w:color w:val="auto"/>
          <w:kern w:val="2"/>
          <w:sz w:val="32"/>
          <w:szCs w:val="24"/>
          <w:u w:val="none"/>
          <w:lang w:val="en-US" w:eastAsia="zh-CN" w:bidi="ar-SA"/>
        </w:rPr>
        <w:t>。</w:t>
      </w:r>
    </w:p>
    <w:p w14:paraId="496AE9D1">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204" w:name="_Toc31127"/>
      <w:r>
        <w:rPr>
          <w:rFonts w:hint="eastAsia" w:ascii="楷体_GB2312" w:hAnsi="Times New Roman" w:eastAsia="楷体_GB2312" w:cs="Times New Roman"/>
          <w:bCs/>
          <w:sz w:val="32"/>
          <w:szCs w:val="32"/>
          <w:lang w:val="en-US" w:eastAsia="zh-CN"/>
        </w:rPr>
        <w:t>消防工程规划</w:t>
      </w:r>
      <w:bookmarkEnd w:id="202"/>
      <w:bookmarkEnd w:id="204"/>
    </w:p>
    <w:p w14:paraId="21555A43">
      <w:pPr>
        <w:ind w:firstLine="560"/>
        <w:rPr>
          <w:rFonts w:hint="default" w:ascii="仿宋_GB2312" w:hAnsi="仿宋_GB2312" w:eastAsia="仿宋_GB2312" w:cs="仿宋_GB2312"/>
          <w:lang w:val="en-US" w:eastAsia="zh-CN"/>
        </w:rPr>
      </w:pPr>
      <w:r>
        <w:rPr>
          <w:rFonts w:hint="eastAsia" w:ascii="仿宋_GB2312" w:hAnsi="仿宋_GB2312" w:eastAsia="仿宋_GB2312" w:cs="仿宋_GB2312"/>
        </w:rPr>
        <w:t>完善镇区消防安全布局，统筹优化镇区易燃易爆危险品场所或设施布局。在黑马河镇区内规划一处一级专职消防队，占地面积约0.</w:t>
      </w:r>
      <w:r>
        <w:rPr>
          <w:rFonts w:hint="eastAsia" w:ascii="仿宋_GB2312" w:hAnsi="仿宋_GB2312" w:cs="仿宋_GB2312"/>
          <w:lang w:val="en-US" w:eastAsia="zh-CN"/>
        </w:rPr>
        <w:t>36</w:t>
      </w:r>
      <w:r>
        <w:rPr>
          <w:rFonts w:hint="eastAsia" w:ascii="仿宋_GB2312" w:hAnsi="仿宋_GB2312" w:eastAsia="仿宋_GB2312" w:cs="仿宋_GB2312"/>
        </w:rPr>
        <w:t>公顷。加强消防供水建设，形成市政水源为主、天然水源为辅的消防供水体系；</w:t>
      </w:r>
      <w:r>
        <w:rPr>
          <w:rFonts w:hint="eastAsia" w:ascii="仿宋_GB2312" w:hAnsi="仿宋_GB2312" w:eastAsia="仿宋_GB2312" w:cs="仿宋_GB2312"/>
          <w:sz w:val="32"/>
          <w:szCs w:val="32"/>
          <w:lang w:val="en-US" w:eastAsia="zh-CN"/>
        </w:rPr>
        <w:t>给水管网管径不低于DN100，管网埋深位于冻土层以下，结合市政给水管网设置消火栓，间距不超过120米；</w:t>
      </w:r>
      <w:r>
        <w:rPr>
          <w:rFonts w:hint="eastAsia" w:ascii="仿宋_GB2312" w:hAnsi="仿宋_GB2312" w:eastAsia="仿宋_GB2312" w:cs="仿宋_GB2312"/>
        </w:rPr>
        <w:t>加强消防通信建设，完善消防通信系统；加强消防车通道建设，提高镇区道路承载大型消防车的能力，确保消防车通行能力</w:t>
      </w:r>
      <w:r>
        <w:rPr>
          <w:rFonts w:hint="eastAsia" w:ascii="仿宋_GB2312" w:hAnsi="仿宋_GB2312" w:cs="仿宋_GB2312"/>
          <w:lang w:eastAsia="zh-CN"/>
        </w:rPr>
        <w:t>。</w:t>
      </w:r>
      <w:r>
        <w:rPr>
          <w:rFonts w:hint="eastAsia" w:ascii="仿宋_GB2312" w:hAnsi="仿宋_GB2312" w:eastAsia="仿宋_GB2312" w:cs="仿宋_GB2312"/>
          <w:sz w:val="32"/>
          <w:szCs w:val="32"/>
          <w:lang w:val="en-US" w:eastAsia="zh-CN"/>
        </w:rPr>
        <w:t>新建的建筑应当达到一、二级耐火等级标准，控制三级建筑，严格限制四级建筑，不准易燃简易搭盖</w:t>
      </w:r>
      <w:r>
        <w:rPr>
          <w:rFonts w:hint="eastAsia" w:ascii="仿宋_GB2312" w:hAnsi="仿宋_GB2312" w:cs="仿宋_GB2312"/>
          <w:sz w:val="32"/>
          <w:szCs w:val="32"/>
          <w:lang w:val="en-US" w:eastAsia="zh-CN"/>
        </w:rPr>
        <w:t>。</w:t>
      </w:r>
    </w:p>
    <w:p w14:paraId="2657C996">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205" w:name="_Toc32429"/>
      <w:bookmarkStart w:id="206" w:name="_Toc4772"/>
      <w:r>
        <w:rPr>
          <w:rFonts w:hint="eastAsia" w:ascii="楷体_GB2312" w:hAnsi="Times New Roman" w:eastAsia="楷体_GB2312" w:cs="Times New Roman"/>
          <w:bCs/>
          <w:sz w:val="32"/>
          <w:szCs w:val="32"/>
          <w:lang w:val="en-US" w:eastAsia="zh-CN"/>
        </w:rPr>
        <w:t>地质灾害防治</w:t>
      </w:r>
      <w:bookmarkEnd w:id="205"/>
    </w:p>
    <w:p w14:paraId="01B9466C">
      <w:r>
        <w:rPr>
          <w:rFonts w:hint="eastAsia"/>
          <w:bCs/>
          <w:lang w:val="en-US" w:eastAsia="zh-CN"/>
        </w:rPr>
        <w:t>黑马河镇镇区</w:t>
      </w:r>
      <w:r>
        <w:rPr>
          <w:rFonts w:hint="eastAsia"/>
          <w:bCs/>
          <w:lang w:val="zh-CN"/>
        </w:rPr>
        <w:t>范围</w:t>
      </w:r>
      <w:r>
        <w:rPr>
          <w:rFonts w:hint="eastAsia"/>
          <w:bCs/>
          <w:lang w:val="en-US" w:eastAsia="zh-CN"/>
        </w:rPr>
        <w:t>多为</w:t>
      </w:r>
      <w:r>
        <w:rPr>
          <w:rFonts w:hint="eastAsia"/>
          <w:bCs/>
          <w:lang w:val="zh-CN"/>
        </w:rPr>
        <w:t>地质灾害高</w:t>
      </w:r>
      <w:r>
        <w:rPr>
          <w:rFonts w:hint="eastAsia"/>
          <w:bCs/>
        </w:rPr>
        <w:t>风险区，地质灾害防治划为重点防治区。深化地质灾害隐患点详细调查评价，</w:t>
      </w:r>
      <w:r>
        <w:rPr>
          <w:rFonts w:hint="eastAsia"/>
          <w:bCs/>
          <w:u w:val="single"/>
          <w:lang w:val="zh-CN"/>
        </w:rPr>
        <w:t>地质灾害易发区内的开发建设，应当进行地质灾害危险性评估，并根据地质灾害危险性评估提出的预防治理措施，有序开展地质灾害工程治理或搬迁避让工作，评估结果为不适宜的场地不得进行开发建设，地质灾害危险区内禁止从事容易诱发地质灾害的各种活动</w:t>
      </w:r>
      <w:r>
        <w:rPr>
          <w:rFonts w:hint="eastAsia"/>
          <w:bCs/>
        </w:rPr>
        <w:t>。综合采用工程治理、排危除险、避让搬迁、专业监测等多种措施，推进地质灾害隐患治理，降低地质灾害隐患风险。</w:t>
      </w:r>
    </w:p>
    <w:p w14:paraId="1072A0A8">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207" w:name="_Toc11644"/>
      <w:r>
        <w:rPr>
          <w:rFonts w:hint="eastAsia" w:ascii="楷体_GB2312" w:hAnsi="Times New Roman" w:eastAsia="楷体_GB2312" w:cs="Times New Roman"/>
          <w:bCs/>
          <w:sz w:val="32"/>
          <w:szCs w:val="32"/>
          <w:lang w:val="en-US" w:eastAsia="zh-CN"/>
        </w:rPr>
        <w:t>应急救援体系</w:t>
      </w:r>
      <w:bookmarkEnd w:id="207"/>
    </w:p>
    <w:p w14:paraId="40E78C5D">
      <w:pPr>
        <w:rPr>
          <w:rFonts w:hint="eastAsia" w:eastAsia="仿宋_GB2312"/>
          <w:lang w:eastAsia="zh-CN"/>
        </w:rPr>
      </w:pPr>
      <w:r>
        <w:rPr>
          <w:rFonts w:hint="eastAsia"/>
          <w:bCs/>
          <w:lang w:val="zh-CN"/>
        </w:rPr>
        <w:t>构建由综合性消防救援队伍为主力、专业应急救援力量为协同、社会应急力量为辅助的应急救援力量体系；</w:t>
      </w:r>
      <w:r>
        <w:rPr>
          <w:rFonts w:hint="eastAsia"/>
          <w:bCs/>
        </w:rPr>
        <w:t>完善救灾物资储备体系</w:t>
      </w:r>
      <w:r>
        <w:rPr>
          <w:rFonts w:hint="eastAsia"/>
          <w:bCs/>
          <w:lang w:eastAsia="zh-CN"/>
        </w:rPr>
        <w:t>。</w:t>
      </w:r>
      <w:r>
        <w:rPr>
          <w:rFonts w:hint="eastAsia"/>
          <w:bCs/>
          <w:lang w:val="zh-CN"/>
        </w:rPr>
        <w:t>以社区生活圈为基础构建</w:t>
      </w:r>
      <w:r>
        <w:rPr>
          <w:rFonts w:hint="eastAsia"/>
          <w:bCs/>
          <w:lang w:val="en-US" w:eastAsia="zh-CN"/>
        </w:rPr>
        <w:t>城镇</w:t>
      </w:r>
      <w:r>
        <w:rPr>
          <w:rFonts w:hint="eastAsia"/>
          <w:bCs/>
          <w:lang w:val="zh-CN"/>
        </w:rPr>
        <w:t>健康安全单元，完善应急空间网络。结合学校、</w:t>
      </w:r>
      <w:r>
        <w:rPr>
          <w:rFonts w:hint="eastAsia"/>
          <w:bCs/>
          <w:lang w:val="en-US" w:eastAsia="zh-CN"/>
        </w:rPr>
        <w:t>广场</w:t>
      </w:r>
      <w:r>
        <w:rPr>
          <w:rFonts w:hint="eastAsia"/>
          <w:bCs/>
          <w:lang w:val="zh-CN"/>
        </w:rPr>
        <w:t>、公园等设置紧急避难疏散场地，</w:t>
      </w:r>
      <w:r>
        <w:rPr>
          <w:rFonts w:hint="eastAsia" w:ascii="仿宋_GB2312" w:hAnsi="仿宋_GB2312" w:eastAsia="仿宋_GB2312" w:cs="仿宋_GB2312"/>
          <w:bCs/>
          <w:u w:val="single"/>
          <w:lang w:val="zh-CN"/>
        </w:rPr>
        <w:t>人均避难场所面积不低于1.5平方米。</w:t>
      </w:r>
      <w:r>
        <w:rPr>
          <w:rFonts w:hint="eastAsia"/>
          <w:bCs/>
          <w:lang w:val="zh-CN"/>
        </w:rPr>
        <w:t>完善避难疏散体系，以</w:t>
      </w:r>
      <w:r>
        <w:rPr>
          <w:rFonts w:hint="eastAsia"/>
          <w:bCs/>
          <w:lang w:val="en-US" w:eastAsia="zh-CN"/>
        </w:rPr>
        <w:t>黑马河大街</w:t>
      </w:r>
      <w:r>
        <w:rPr>
          <w:rFonts w:hint="eastAsia"/>
          <w:bCs/>
        </w:rPr>
        <w:t>、</w:t>
      </w:r>
      <w:r>
        <w:rPr>
          <w:rFonts w:hint="eastAsia"/>
          <w:bCs/>
          <w:lang w:val="en-US" w:eastAsia="zh-CN"/>
        </w:rPr>
        <w:t>观日路等主要道路作为</w:t>
      </w:r>
      <w:r>
        <w:rPr>
          <w:rFonts w:hint="eastAsia"/>
          <w:bCs/>
        </w:rPr>
        <w:t>疏散通道。结合镇卫生院，建设镇级应急医疗急救中心，保障镇区预留突发公共卫生救援基地用地，做好应对突发性公共卫生事件的应急预案。</w:t>
      </w:r>
    </w:p>
    <w:bookmarkEnd w:id="206"/>
    <w:p w14:paraId="7E2978B3">
      <w:pPr>
        <w:pStyle w:val="3"/>
        <w:numPr>
          <w:ilvl w:val="0"/>
          <w:numId w:val="9"/>
        </w:numPr>
      </w:pPr>
      <w:bookmarkStart w:id="208" w:name="_Toc16425"/>
      <w:bookmarkStart w:id="209" w:name="_Toc901"/>
      <w:r>
        <w:rPr>
          <w:rFonts w:hint="eastAsia"/>
          <w:lang w:val="en-US" w:eastAsia="zh-CN"/>
        </w:rPr>
        <w:t>城镇风貌引导与管控</w:t>
      </w:r>
      <w:bookmarkEnd w:id="208"/>
      <w:bookmarkEnd w:id="209"/>
    </w:p>
    <w:p w14:paraId="44AA7189">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eastAsia="楷体_GB2312" w:cs="Times New Roman"/>
          <w:bCs/>
          <w:sz w:val="32"/>
          <w:szCs w:val="32"/>
          <w:lang w:val="en-US" w:eastAsia="zh-CN"/>
        </w:rPr>
        <w:t>城镇风貌引导</w:t>
      </w:r>
    </w:p>
    <w:p w14:paraId="2004B06E">
      <w:pPr>
        <w:ind w:firstLine="560"/>
        <w:rPr>
          <w:rFonts w:hint="eastAsia" w:ascii="仿宋_GB2312" w:hAnsi="仿宋_GB2312" w:eastAsia="仿宋_GB2312" w:cs="仿宋_GB2312"/>
        </w:rPr>
      </w:pPr>
      <w:r>
        <w:rPr>
          <w:rFonts w:hint="eastAsia" w:ascii="仿宋_GB2312" w:hAnsi="仿宋_GB2312" w:eastAsia="仿宋_GB2312" w:cs="仿宋_GB2312"/>
        </w:rPr>
        <w:t>规划形成“两轴一带四区”的城镇风貌格局。</w:t>
      </w:r>
    </w:p>
    <w:p w14:paraId="007DFF3B">
      <w:pPr>
        <w:ind w:firstLine="560"/>
        <w:rPr>
          <w:rFonts w:hint="eastAsia" w:ascii="仿宋_GB2312" w:hAnsi="仿宋_GB2312" w:eastAsia="仿宋_GB2312" w:cs="仿宋_GB2312"/>
        </w:rPr>
      </w:pPr>
      <w:r>
        <w:rPr>
          <w:rFonts w:hint="eastAsia" w:ascii="仿宋_GB2312" w:hAnsi="仿宋_GB2312" w:eastAsia="仿宋_GB2312" w:cs="仿宋_GB2312"/>
        </w:rPr>
        <w:t>“两轴”为：人文景观轴，依托黑马河大街围绕两侧商业设施、公共服务设施，重点打造城镇文化体验场所，是小镇精神载体；自然景观风貌轴，依托黑马河与草场湿地等生态资源，以水穿绿，形成蓝绿交织的自然景观轴线。</w:t>
      </w:r>
    </w:p>
    <w:p w14:paraId="2AAA020A">
      <w:pPr>
        <w:ind w:firstLine="560"/>
        <w:rPr>
          <w:rFonts w:hint="eastAsia" w:ascii="仿宋_GB2312" w:hAnsi="仿宋_GB2312" w:eastAsia="仿宋_GB2312" w:cs="仿宋_GB2312"/>
        </w:rPr>
      </w:pPr>
      <w:r>
        <w:rPr>
          <w:rFonts w:hint="eastAsia" w:ascii="仿宋_GB2312" w:hAnsi="仿宋_GB2312" w:eastAsia="仿宋_GB2312" w:cs="仿宋_GB2312"/>
        </w:rPr>
        <w:t>“一带”为：环湖旅游休闲带，沿观日路，结合沿线旅游服务设施与黑马河景区进行打造，重点营造观日出视线通廊与旅游服务，满足游客观光休闲的需求。</w:t>
      </w:r>
    </w:p>
    <w:p w14:paraId="09A59C6D">
      <w:pPr>
        <w:ind w:firstLine="560"/>
        <w:rPr>
          <w:rFonts w:hint="eastAsia" w:ascii="仿宋_GB2312" w:hAnsi="仿宋_GB2312" w:eastAsia="仿宋_GB2312" w:cs="仿宋_GB2312"/>
        </w:rPr>
      </w:pPr>
      <w:r>
        <w:rPr>
          <w:rFonts w:hint="eastAsia" w:ascii="仿宋_GB2312" w:hAnsi="仿宋_GB2312" w:eastAsia="仿宋_GB2312" w:cs="仿宋_GB2312"/>
        </w:rPr>
        <w:t>“四区”为：旅游综合服务区、居民综合服务区、活力宜居生活区和滨湖休闲商业区。旅游综合服务区，位于观日路西侧，面朝湿地，背依草场，远眺青海湖，此处为黑马河镇最为优越的日出观景区域，以游客服务、特色商业、特色餐饮、文化演艺为主要功能；居民综合服务区，位于镇区中心，主要包含行政办公、学校、医院、市场等城镇主要服务职能的区域，是城镇管理的重要区域，结合镇政府等公共服务设施、文化设施与公共活动空间，打造镇区综合服务中心，提高黑马河镇整体服务水平；滨湖休闲商业区，直面青海湖，湿地、黑马河交织于此，生态景观环境优越，该区域重点打造休闲商业街，解决现状镇区商业的拆迁安置需求，形成尺度适宜的休闲商业区；活力宜居生活区，该区域重点打造宜居的生活环境，主要解决三部分人群的实际需求，首先要解决现状镇区居民的拆迁安置需求；其次要考虑到未来三个自然村生态移民需求；最后是由于旅游业迅速发展所带来的人口机械增长需求。</w:t>
      </w:r>
    </w:p>
    <w:p w14:paraId="7C95CD1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加强风貌引导。</w:t>
      </w:r>
      <w:r>
        <w:rPr>
          <w:rFonts w:hint="eastAsia" w:ascii="仿宋_GB2312" w:hAnsi="仿宋_GB2312" w:eastAsia="仿宋_GB2312" w:cs="仿宋_GB2312"/>
          <w:sz w:val="32"/>
          <w:szCs w:val="32"/>
          <w:lang w:val="en-US" w:eastAsia="zh-CN"/>
        </w:rPr>
        <w:t>培育“藏风新韵，古今交融”的美丽城镇风貌。</w:t>
      </w:r>
      <w:r>
        <w:rPr>
          <w:rFonts w:hint="eastAsia" w:ascii="仿宋_GB2312" w:hAnsi="仿宋_GB2312" w:eastAsia="仿宋_GB2312" w:cs="仿宋_GB2312"/>
          <w:sz w:val="32"/>
          <w:szCs w:val="32"/>
        </w:rPr>
        <w:t>展现“时代风范、地域特色”，建筑风格以现代风格为主，鼓励传统建筑风格的现代演绎，简约大气，彰显时代感。</w:t>
      </w:r>
      <w:r>
        <w:rPr>
          <w:rFonts w:hint="eastAsia" w:ascii="仿宋_GB2312" w:hAnsi="仿宋_GB2312" w:cs="仿宋_GB2312"/>
          <w:sz w:val="32"/>
          <w:szCs w:val="32"/>
          <w:lang w:val="en-US" w:eastAsia="zh-CN"/>
        </w:rPr>
        <w:t>黑马河</w:t>
      </w:r>
      <w:r>
        <w:rPr>
          <w:rFonts w:hint="eastAsia" w:ascii="仿宋_GB2312" w:hAnsi="仿宋_GB2312" w:eastAsia="仿宋_GB2312" w:cs="仿宋_GB2312"/>
          <w:sz w:val="32"/>
          <w:szCs w:val="32"/>
        </w:rPr>
        <w:t>镇区公共建筑以藏式传统公共建筑基本特征为基础，适度展示时代精神。</w:t>
      </w:r>
    </w:p>
    <w:p w14:paraId="2881DE50">
      <w:pPr>
        <w:ind w:firstLine="560"/>
        <w:rPr>
          <w:rFonts w:hint="eastAsia" w:ascii="仿宋_GB2312" w:hAnsi="仿宋_GB2312" w:eastAsia="仿宋_GB2312" w:cs="仿宋_GB2312"/>
        </w:rPr>
      </w:pPr>
      <w:r>
        <w:rPr>
          <w:rFonts w:hint="eastAsia" w:ascii="楷体_GB2312" w:hAnsi="楷体_GB2312" w:eastAsia="楷体_GB2312" w:cs="楷体_GB2312"/>
          <w:sz w:val="32"/>
          <w:szCs w:val="32"/>
        </w:rPr>
        <w:t>控制建筑体量</w:t>
      </w:r>
      <w:r>
        <w:rPr>
          <w:rFonts w:hint="eastAsia" w:ascii="楷体_GB2312" w:hAnsi="楷体_GB2312" w:eastAsia="楷体_GB2312" w:cs="楷体_GB2312"/>
          <w:sz w:val="32"/>
          <w:szCs w:val="32"/>
          <w:lang w:val="en-US" w:eastAsia="zh-CN"/>
        </w:rPr>
        <w:t>及高度</w:t>
      </w:r>
      <w:r>
        <w:rPr>
          <w:rFonts w:hint="eastAsia" w:ascii="楷体_GB2312" w:hAnsi="楷体_GB2312" w:eastAsia="楷体_GB2312" w:cs="楷体_GB2312"/>
          <w:sz w:val="32"/>
          <w:szCs w:val="32"/>
          <w:lang w:eastAsia="zh-CN"/>
        </w:rPr>
        <w:t>。</w:t>
      </w:r>
      <w:r>
        <w:rPr>
          <w:rFonts w:hint="eastAsia" w:ascii="仿宋_GB2312" w:hAnsi="仿宋_GB2312" w:eastAsia="仿宋_GB2312" w:cs="仿宋_GB2312"/>
          <w:sz w:val="32"/>
          <w:szCs w:val="32"/>
          <w:lang w:eastAsia="zh-CN"/>
        </w:rPr>
        <w:t>总体形成中低开发强度、集约紧凑的建设模式，单体建筑长度不应超过80米。</w:t>
      </w:r>
      <w:r>
        <w:rPr>
          <w:rFonts w:hint="eastAsia" w:ascii="仿宋_GB2312" w:hAnsi="仿宋_GB2312" w:eastAsia="仿宋_GB2312" w:cs="仿宋_GB2312"/>
          <w:sz w:val="32"/>
          <w:szCs w:val="32"/>
          <w:lang w:val="en-US" w:eastAsia="zh-CN"/>
        </w:rPr>
        <w:t>严格按照要求控制建筑高度，</w:t>
      </w:r>
      <w:r>
        <w:rPr>
          <w:rFonts w:hint="eastAsia" w:ascii="仿宋_GB2312" w:hAnsi="仿宋_GB2312" w:eastAsia="仿宋_GB2312" w:cs="仿宋_GB2312"/>
          <w:sz w:val="32"/>
          <w:szCs w:val="32"/>
          <w:lang w:eastAsia="zh-CN"/>
        </w:rPr>
        <w:t>临街商业建筑层数一般应设置为1至2层，建筑高度不超过</w:t>
      </w:r>
      <w:r>
        <w:rPr>
          <w:rFonts w:hint="eastAsia" w:ascii="仿宋_GB2312" w:hAnsi="仿宋_GB2312" w:cs="仿宋_GB2312"/>
          <w:sz w:val="32"/>
          <w:szCs w:val="32"/>
          <w:lang w:val="en-US" w:eastAsia="zh-CN"/>
        </w:rPr>
        <w:t>15</w:t>
      </w:r>
      <w:r>
        <w:rPr>
          <w:rFonts w:hint="eastAsia" w:ascii="仿宋_GB2312" w:hAnsi="仿宋_GB2312" w:eastAsia="仿宋_GB2312" w:cs="仿宋_GB2312"/>
          <w:sz w:val="32"/>
          <w:szCs w:val="32"/>
          <w:lang w:eastAsia="zh-CN"/>
        </w:rPr>
        <w:t>米；重要的公共建筑及标志性建筑不得超过4层，建筑高度不超过15米；居住建筑以1-2层为宜。</w:t>
      </w:r>
    </w:p>
    <w:p w14:paraId="46200E2E">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210" w:name="_Toc2147"/>
      <w:bookmarkStart w:id="211" w:name="_Toc23815"/>
      <w:r>
        <w:rPr>
          <w:rFonts w:hint="eastAsia" w:ascii="楷体_GB2312" w:eastAsia="楷体_GB2312" w:cs="Times New Roman"/>
          <w:bCs/>
          <w:sz w:val="32"/>
          <w:szCs w:val="32"/>
          <w:lang w:val="en-US" w:eastAsia="zh-CN"/>
        </w:rPr>
        <w:t>开发强度管控</w:t>
      </w:r>
      <w:bookmarkEnd w:id="210"/>
      <w:bookmarkEnd w:id="211"/>
    </w:p>
    <w:p w14:paraId="23A221F0">
      <w:pPr>
        <w:ind w:firstLine="560"/>
        <w:rPr>
          <w:rFonts w:hint="eastAsia" w:ascii="仿宋_GB2312" w:hAnsi="仿宋_GB2312" w:eastAsia="仿宋_GB2312" w:cs="仿宋_GB2312"/>
        </w:rPr>
        <w:sectPr>
          <w:type w:val="continuous"/>
          <w:pgSz w:w="11906" w:h="16838"/>
          <w:pgMar w:top="1440" w:right="1800" w:bottom="1440" w:left="1800" w:header="964" w:footer="624" w:gutter="0"/>
          <w:pgBorders>
            <w:top w:val="none" w:sz="0" w:space="0"/>
            <w:left w:val="none" w:sz="0" w:space="0"/>
            <w:bottom w:val="none" w:sz="0" w:space="0"/>
            <w:right w:val="none" w:sz="0" w:space="0"/>
          </w:pgBorders>
          <w:cols w:space="425" w:num="1"/>
          <w:docGrid w:type="lines" w:linePitch="312" w:charSpace="0"/>
        </w:sectPr>
      </w:pPr>
      <w:r>
        <w:rPr>
          <w:rFonts w:hint="eastAsia" w:ascii="楷体_GB2312" w:hAnsi="楷体_GB2312" w:eastAsia="楷体_GB2312" w:cs="楷体_GB2312"/>
          <w:lang w:val="en-US" w:eastAsia="zh-CN"/>
        </w:rPr>
        <w:t>规划构建“西高东弱，北高南低”的开发强度管控。</w:t>
      </w:r>
      <w:r>
        <w:rPr>
          <w:rFonts w:hint="eastAsia" w:ascii="仿宋_GB2312" w:hAnsi="仿宋_GB2312" w:eastAsia="仿宋_GB2312" w:cs="仿宋_GB2312"/>
          <w:lang w:val="en-US" w:eastAsia="zh-CN"/>
        </w:rPr>
        <w:t>镇区</w:t>
      </w:r>
      <w:r>
        <w:rPr>
          <w:rFonts w:hint="eastAsia" w:ascii="仿宋_GB2312" w:hAnsi="仿宋_GB2312" w:cs="仿宋_GB2312"/>
          <w:lang w:val="en-US" w:eastAsia="zh-CN"/>
        </w:rPr>
        <w:t>西</w:t>
      </w:r>
      <w:r>
        <w:rPr>
          <w:rFonts w:hint="eastAsia" w:ascii="仿宋_GB2312" w:hAnsi="仿宋_GB2312" w:eastAsia="仿宋_GB2312" w:cs="仿宋_GB2312"/>
          <w:lang w:val="en-US" w:eastAsia="zh-CN"/>
        </w:rPr>
        <w:t>部为</w:t>
      </w:r>
      <w:r>
        <w:rPr>
          <w:rFonts w:hint="eastAsia" w:ascii="仿宋_GB2312" w:hAnsi="仿宋_GB2312" w:cs="仿宋_GB2312"/>
          <w:lang w:val="en-US" w:eastAsia="zh-CN"/>
        </w:rPr>
        <w:t>新建区，主要为居住生活区、综合服务区和</w:t>
      </w:r>
      <w:r>
        <w:rPr>
          <w:rFonts w:hint="eastAsia" w:ascii="仿宋_GB2312" w:hAnsi="仿宋_GB2312" w:eastAsia="仿宋_GB2312" w:cs="仿宋_GB2312"/>
          <w:lang w:val="en-US" w:eastAsia="zh-CN"/>
        </w:rPr>
        <w:t>商业商务区，开发强度较高，其中商业用地容积率不大于2.0，公共管理和公共服务设施用地容积率不大于1.5，居住用地容积率不大于1.</w:t>
      </w:r>
      <w:r>
        <w:rPr>
          <w:rFonts w:hint="eastAsia" w:ascii="仿宋_GB2312" w:hAnsi="仿宋_GB2312" w:cs="仿宋_GB2312"/>
          <w:lang w:val="en-US" w:eastAsia="zh-CN"/>
        </w:rPr>
        <w:t>5</w:t>
      </w:r>
      <w:r>
        <w:rPr>
          <w:rFonts w:hint="eastAsia" w:ascii="仿宋_GB2312" w:hAnsi="仿宋_GB2312" w:eastAsia="仿宋_GB2312" w:cs="仿宋_GB2312"/>
          <w:lang w:val="en-US" w:eastAsia="zh-CN"/>
        </w:rPr>
        <w:t>；</w:t>
      </w:r>
      <w:r>
        <w:rPr>
          <w:rFonts w:hint="eastAsia" w:ascii="仿宋_GB2312" w:hAnsi="仿宋_GB2312" w:cs="仿宋_GB2312"/>
          <w:lang w:val="en-US" w:eastAsia="zh-CN"/>
        </w:rPr>
        <w:t>东</w:t>
      </w:r>
      <w:r>
        <w:rPr>
          <w:rFonts w:hint="eastAsia" w:ascii="仿宋_GB2312" w:hAnsi="仿宋_GB2312" w:eastAsia="仿宋_GB2312" w:cs="仿宋_GB2312"/>
          <w:lang w:val="en-US" w:eastAsia="zh-CN"/>
        </w:rPr>
        <w:t>部为商业商务区，以</w:t>
      </w:r>
      <w:r>
        <w:rPr>
          <w:rFonts w:hint="eastAsia" w:ascii="仿宋_GB2312" w:hAnsi="仿宋_GB2312" w:cs="仿宋_GB2312"/>
          <w:lang w:val="en-US" w:eastAsia="zh-CN"/>
        </w:rPr>
        <w:t>商业</w:t>
      </w:r>
      <w:r>
        <w:rPr>
          <w:rFonts w:hint="eastAsia" w:ascii="仿宋_GB2312" w:hAnsi="仿宋_GB2312" w:eastAsia="仿宋_GB2312" w:cs="仿宋_GB2312"/>
          <w:lang w:val="en-US" w:eastAsia="zh-CN"/>
        </w:rPr>
        <w:t>用地为主，开发强度不高，容积率不大于1.</w:t>
      </w:r>
      <w:r>
        <w:rPr>
          <w:rFonts w:hint="eastAsia" w:ascii="仿宋_GB2312" w:hAnsi="仿宋_GB2312" w:cs="仿宋_GB2312"/>
          <w:lang w:val="en-US" w:eastAsia="zh-CN"/>
        </w:rPr>
        <w:t>5</w:t>
      </w:r>
      <w:r>
        <w:rPr>
          <w:rFonts w:hint="eastAsia" w:ascii="仿宋_GB2312" w:hAnsi="仿宋_GB2312" w:eastAsia="仿宋_GB2312" w:cs="仿宋_GB2312"/>
          <w:lang w:val="en-US" w:eastAsia="zh-CN"/>
        </w:rPr>
        <w:t>；中部为综合服务区，以</w:t>
      </w:r>
      <w:r>
        <w:rPr>
          <w:rFonts w:hint="eastAsia" w:ascii="仿宋_GB2312" w:hAnsi="仿宋_GB2312" w:cs="仿宋_GB2312"/>
          <w:lang w:val="en-US" w:eastAsia="zh-CN"/>
        </w:rPr>
        <w:t>教育科研</w:t>
      </w:r>
      <w:r>
        <w:rPr>
          <w:rFonts w:hint="eastAsia" w:ascii="仿宋_GB2312" w:hAnsi="仿宋_GB2312" w:eastAsia="仿宋_GB2312" w:cs="仿宋_GB2312"/>
          <w:lang w:val="en-US" w:eastAsia="zh-CN"/>
        </w:rPr>
        <w:t>为主，其中</w:t>
      </w:r>
      <w:r>
        <w:rPr>
          <w:rFonts w:hint="eastAsia" w:ascii="仿宋_GB2312" w:hAnsi="仿宋_GB2312" w:cs="仿宋_GB2312"/>
          <w:lang w:val="en-US" w:eastAsia="zh-CN"/>
        </w:rPr>
        <w:t>教育</w:t>
      </w:r>
      <w:r>
        <w:rPr>
          <w:rFonts w:hint="eastAsia" w:ascii="仿宋_GB2312" w:hAnsi="仿宋_GB2312" w:eastAsia="仿宋_GB2312" w:cs="仿宋_GB2312"/>
          <w:lang w:val="en-US" w:eastAsia="zh-CN"/>
        </w:rPr>
        <w:t>用地容积率不大于</w:t>
      </w:r>
      <w:r>
        <w:rPr>
          <w:rFonts w:hint="eastAsia" w:ascii="仿宋_GB2312" w:hAnsi="仿宋_GB2312" w:cs="仿宋_GB2312"/>
          <w:lang w:val="en-US" w:eastAsia="zh-CN"/>
        </w:rPr>
        <w:t>1</w:t>
      </w:r>
      <w:r>
        <w:rPr>
          <w:rFonts w:hint="eastAsia" w:ascii="仿宋_GB2312" w:hAnsi="仿宋_GB2312" w:eastAsia="仿宋_GB2312" w:cs="仿宋_GB2312"/>
          <w:lang w:val="en-US" w:eastAsia="zh-CN"/>
        </w:rPr>
        <w:t>.0，商业用地容积率不大于1.5。</w:t>
      </w:r>
      <w:r>
        <w:rPr>
          <w:rFonts w:hint="eastAsia" w:ascii="仿宋_GB2312" w:hAnsi="仿宋_GB2312" w:eastAsia="仿宋_GB2312" w:cs="仿宋_GB2312"/>
        </w:rPr>
        <w:t>机关团体用地建筑密度不大于45%，商业服务用地建筑密度不大于</w:t>
      </w:r>
      <w:r>
        <w:rPr>
          <w:rFonts w:hint="eastAsia" w:ascii="仿宋_GB2312" w:hAnsi="仿宋_GB2312" w:cs="仿宋_GB2312"/>
          <w:lang w:val="en-US" w:eastAsia="zh-CN"/>
        </w:rPr>
        <w:t>5</w:t>
      </w:r>
      <w:r>
        <w:rPr>
          <w:rFonts w:hint="eastAsia" w:ascii="仿宋_GB2312" w:hAnsi="仿宋_GB2312" w:eastAsia="仿宋_GB2312" w:cs="仿宋_GB2312"/>
        </w:rPr>
        <w:t>0%，居住用地建筑密度不大于35%。</w:t>
      </w:r>
    </w:p>
    <w:p w14:paraId="56216B4C">
      <w:pPr>
        <w:pStyle w:val="3"/>
        <w:numPr>
          <w:ilvl w:val="0"/>
          <w:numId w:val="10"/>
        </w:numPr>
      </w:pPr>
      <w:bookmarkStart w:id="212" w:name="_Toc11920"/>
      <w:bookmarkStart w:id="213" w:name="_Toc9150"/>
      <w:r>
        <w:rPr>
          <w:rFonts w:hint="eastAsia"/>
        </w:rPr>
        <w:t>五线管控</w:t>
      </w:r>
      <w:bookmarkEnd w:id="212"/>
      <w:bookmarkEnd w:id="213"/>
    </w:p>
    <w:p w14:paraId="06A65886">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214" w:name="_Toc19942"/>
      <w:bookmarkStart w:id="215" w:name="_Toc19566"/>
      <w:bookmarkStart w:id="216" w:name="_Toc17563"/>
      <w:bookmarkStart w:id="217" w:name="_Toc1624"/>
      <w:r>
        <w:rPr>
          <w:rFonts w:hint="eastAsia" w:ascii="楷体_GB2312" w:eastAsia="楷体_GB2312" w:cs="Times New Roman"/>
          <w:bCs/>
          <w:sz w:val="32"/>
          <w:szCs w:val="32"/>
          <w:lang w:val="en-US" w:eastAsia="zh-CN"/>
        </w:rPr>
        <w:t>道路红线</w:t>
      </w:r>
    </w:p>
    <w:p w14:paraId="04C2F8C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eastAsia="楷体_GB2312" w:cs="Times New Roman"/>
          <w:bCs/>
          <w:sz w:val="32"/>
          <w:szCs w:val="32"/>
          <w:lang w:val="en-US" w:eastAsia="zh-CN"/>
        </w:rPr>
      </w:pPr>
      <w:r>
        <w:rPr>
          <w:rFonts w:hint="eastAsia" w:ascii="仿宋_GB2312" w:hAnsi="仿宋_GB2312" w:eastAsia="仿宋_GB2312" w:cs="仿宋_GB2312"/>
          <w:sz w:val="32"/>
          <w:szCs w:val="32"/>
          <w:u w:val="single"/>
          <w:lang w:val="en-US" w:eastAsia="zh-CN"/>
          <w14:ligatures w14:val="none"/>
        </w:rPr>
        <w:t>将</w:t>
      </w:r>
      <w:r>
        <w:rPr>
          <w:rFonts w:hint="eastAsia" w:hAnsi="仿宋_GB2312" w:cs="仿宋_GB2312"/>
          <w:sz w:val="32"/>
          <w:szCs w:val="32"/>
          <w:u w:val="single"/>
          <w:lang w:val="en-US" w:eastAsia="zh-CN"/>
          <w14:ligatures w14:val="none"/>
        </w:rPr>
        <w:t>镇区</w:t>
      </w:r>
      <w:r>
        <w:rPr>
          <w:rFonts w:hint="eastAsia" w:ascii="仿宋_GB2312" w:hAnsi="仿宋_GB2312" w:eastAsia="仿宋_GB2312" w:cs="仿宋_GB2312"/>
          <w:sz w:val="32"/>
          <w:szCs w:val="32"/>
          <w:u w:val="single"/>
          <w:lang w:val="en-US" w:eastAsia="zh-CN"/>
          <w14:ligatures w14:val="none"/>
        </w:rPr>
        <w:t>城镇村道路作为道路红线进行强制性控制</w:t>
      </w:r>
      <w:r>
        <w:rPr>
          <w:rFonts w:hint="eastAsia" w:ascii="仿宋_GB2312" w:hAnsi="仿宋_GB2312" w:cs="仿宋_GB2312"/>
          <w:sz w:val="32"/>
          <w:szCs w:val="32"/>
          <w:u w:val="single"/>
          <w:lang w:val="en-US" w:eastAsia="zh-CN"/>
          <w14:ligatures w14:val="none"/>
        </w:rPr>
        <w:t>，</w:t>
      </w:r>
      <w:r>
        <w:rPr>
          <w:rFonts w:hint="eastAsia" w:ascii="仿宋_GB2312" w:hAnsi="仿宋_GB2312" w:eastAsia="仿宋_GB2312" w:cs="仿宋_GB2312"/>
          <w:sz w:val="32"/>
          <w:szCs w:val="32"/>
          <w:u w:val="single"/>
          <w:lang w:val="en-US" w:eastAsia="zh-CN"/>
          <w14:ligatures w14:val="none"/>
        </w:rPr>
        <w:t>总面积</w:t>
      </w:r>
      <w:r>
        <w:rPr>
          <w:rFonts w:hint="eastAsia" w:hAnsi="仿宋_GB2312" w:cs="仿宋_GB2312"/>
          <w:sz w:val="32"/>
          <w:szCs w:val="32"/>
          <w:u w:val="single"/>
          <w:lang w:val="en-US" w:eastAsia="zh-CN"/>
          <w14:ligatures w14:val="none"/>
        </w:rPr>
        <w:t>23.11</w:t>
      </w:r>
      <w:r>
        <w:rPr>
          <w:rFonts w:hint="eastAsia" w:ascii="仿宋_GB2312" w:hAnsi="仿宋_GB2312" w:eastAsia="仿宋_GB2312" w:cs="仿宋_GB2312"/>
          <w:sz w:val="32"/>
          <w:szCs w:val="32"/>
          <w:u w:val="single"/>
          <w:lang w:val="en-US" w:eastAsia="zh-CN"/>
          <w14:ligatures w14:val="none"/>
        </w:rPr>
        <w:t>公顷。</w:t>
      </w:r>
      <w:r>
        <w:rPr>
          <w:rFonts w:hint="eastAsia" w:ascii="仿宋_GB2312" w:hAnsi="仿宋_GB2312" w:eastAsia="仿宋_GB2312" w:cs="仿宋_GB2312"/>
          <w:sz w:val="32"/>
          <w:szCs w:val="32"/>
          <w:lang w:val="en-US" w:eastAsia="zh-CN"/>
          <w14:ligatures w14:val="none"/>
        </w:rPr>
        <w:t>红线控制范围内，经城乡规划行政主管部门批准可以按规划建设绿化设施，市政公用地上、地下管（杆）线，道路交通安全设施。不得建设与道路功能无关的管（杆）线、配电设施、通信设施、环卫设施、道路交通安全设施等。禁止在红线控制范围内进行挖取沙土等改变地形地貌活动</w:t>
      </w:r>
      <w:r>
        <w:rPr>
          <w:rFonts w:hint="eastAsia" w:hAnsi="仿宋_GB2312" w:cs="仿宋_GB2312"/>
          <w:sz w:val="32"/>
          <w:szCs w:val="32"/>
          <w:lang w:val="en-US" w:eastAsia="zh-CN"/>
          <w14:ligatures w14:val="none"/>
        </w:rPr>
        <w:t>。</w:t>
      </w:r>
    </w:p>
    <w:p w14:paraId="7C0E977A">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r>
        <w:rPr>
          <w:rFonts w:hint="eastAsia" w:ascii="楷体_GB2312" w:eastAsia="楷体_GB2312" w:cs="Times New Roman"/>
          <w:bCs/>
          <w:sz w:val="32"/>
          <w:szCs w:val="32"/>
          <w:lang w:val="en-US" w:eastAsia="zh-CN"/>
        </w:rPr>
        <w:t>绿线管控</w:t>
      </w:r>
      <w:bookmarkEnd w:id="214"/>
      <w:bookmarkEnd w:id="215"/>
    </w:p>
    <w:p w14:paraId="54D640D4">
      <w:pPr>
        <w:ind w:firstLine="560"/>
        <w:rPr>
          <w:rFonts w:hint="eastAsia" w:ascii="仿宋_GB2312" w:hAnsi="仿宋_GB2312" w:eastAsia="仿宋_GB2312" w:cs="仿宋_GB2312"/>
          <w:b/>
          <w:bCs/>
          <w:u w:val="single"/>
        </w:rPr>
      </w:pPr>
      <w:r>
        <w:rPr>
          <w:rFonts w:hint="eastAsia" w:ascii="仿宋_GB2312" w:hAnsi="仿宋_GB2312" w:eastAsia="仿宋_GB2312" w:cs="仿宋_GB2312"/>
          <w:sz w:val="32"/>
          <w:szCs w:val="32"/>
          <w:u w:val="single"/>
        </w:rPr>
        <w:t>将公园绿地、防护绿地和广场等用地划入镇区绿线管控范围，总面积</w:t>
      </w:r>
      <w:r>
        <w:rPr>
          <w:rFonts w:hint="eastAsia" w:ascii="仿宋_GB2312" w:hAnsi="仿宋_GB2312" w:cs="仿宋_GB2312"/>
          <w:sz w:val="32"/>
          <w:szCs w:val="32"/>
          <w:u w:val="single"/>
          <w:lang w:val="en-US" w:eastAsia="zh-CN"/>
        </w:rPr>
        <w:t>4.39</w:t>
      </w:r>
      <w:r>
        <w:rPr>
          <w:rFonts w:hint="eastAsia" w:ascii="仿宋_GB2312" w:hAnsi="仿宋_GB2312" w:eastAsia="仿宋_GB2312" w:cs="仿宋_GB2312"/>
          <w:sz w:val="32"/>
          <w:szCs w:val="32"/>
          <w:u w:val="single"/>
        </w:rPr>
        <w:t>公顷。城市绿线内所有建设活动均应符合相关管理要求。</w:t>
      </w:r>
      <w:r>
        <w:rPr>
          <w:rFonts w:hint="eastAsia" w:ascii="仿宋_GB2312" w:hAnsi="仿宋_GB2312" w:eastAsia="仿宋_GB2312" w:cs="仿宋_GB2312"/>
          <w:sz w:val="32"/>
          <w:szCs w:val="32"/>
        </w:rPr>
        <w:t>在总规模不减少的前提下，城市绿线的具体边界、定位可在详细规划编制和实施中落实。城市绿线内的用地，不得改作他用，不得违反法律法规、强制性标准以及批准的规划进行开发建设；在城市绿线范围内，不符合规划要求的建筑物、构筑物</w:t>
      </w:r>
      <w:r>
        <w:rPr>
          <w:rFonts w:hint="eastAsia" w:ascii="仿宋_GB2312" w:hAnsi="仿宋_GB2312" w:cs="仿宋_GB2312"/>
          <w:sz w:val="32"/>
          <w:szCs w:val="32"/>
          <w:lang w:eastAsia="zh-CN"/>
        </w:rPr>
        <w:t>及其他</w:t>
      </w:r>
      <w:r>
        <w:rPr>
          <w:rFonts w:hint="eastAsia" w:ascii="仿宋_GB2312" w:hAnsi="仿宋_GB2312" w:eastAsia="仿宋_GB2312" w:cs="仿宋_GB2312"/>
          <w:sz w:val="32"/>
          <w:szCs w:val="32"/>
        </w:rPr>
        <w:t>设施应当限期迁出。绿线内可兼容设施道路、市政管线等线状交通、线状市政基础设施；因重大市政交通基础设施建设等公共利益确需调整绿线的，应保证绿线结构系统性；因建设</w:t>
      </w:r>
      <w:r>
        <w:rPr>
          <w:rFonts w:hint="eastAsia" w:ascii="仿宋_GB2312" w:hAnsi="仿宋_GB2312" w:cs="仿宋_GB2312"/>
          <w:sz w:val="32"/>
          <w:szCs w:val="32"/>
          <w:lang w:eastAsia="zh-CN"/>
        </w:rPr>
        <w:t>或者其他</w:t>
      </w:r>
      <w:r>
        <w:rPr>
          <w:rFonts w:hint="eastAsia" w:ascii="仿宋_GB2312" w:hAnsi="仿宋_GB2312" w:eastAsia="仿宋_GB2312" w:cs="仿宋_GB2312"/>
          <w:sz w:val="32"/>
          <w:szCs w:val="32"/>
        </w:rPr>
        <w:t>特殊情况，需要临时占用城市绿线内用地的，必须依法办理相关审批手续。城市绿线的调整应符合国家有关规定</w:t>
      </w:r>
      <w:r>
        <w:rPr>
          <w:rFonts w:hint="eastAsia" w:ascii="仿宋_GB2312" w:hAnsi="仿宋_GB2312" w:eastAsia="仿宋_GB2312" w:cs="仿宋_GB2312"/>
          <w:b w:val="0"/>
          <w:bCs w:val="0"/>
          <w:u w:val="none"/>
        </w:rPr>
        <w:t>。</w:t>
      </w:r>
    </w:p>
    <w:p w14:paraId="1A4FB9B6">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r>
        <w:rPr>
          <w:rFonts w:hint="eastAsia" w:ascii="楷体_GB2312" w:eastAsia="楷体_GB2312" w:cs="Times New Roman"/>
          <w:bCs/>
          <w:sz w:val="32"/>
          <w:szCs w:val="32"/>
          <w:lang w:val="en-US" w:eastAsia="zh-CN"/>
        </w:rPr>
        <w:t>黄线管控</w:t>
      </w:r>
      <w:bookmarkEnd w:id="216"/>
      <w:bookmarkEnd w:id="217"/>
    </w:p>
    <w:p w14:paraId="33F642C0">
      <w:pPr>
        <w:ind w:firstLine="560"/>
        <w:rPr>
          <w:rFonts w:hint="eastAsia" w:ascii="仿宋_GB2312" w:hAnsi="仿宋_GB2312" w:eastAsia="仿宋_GB2312" w:cs="仿宋_GB2312"/>
          <w:b w:val="0"/>
          <w:bCs w:val="0"/>
          <w:u w:val="none"/>
        </w:rPr>
      </w:pPr>
      <w:r>
        <w:rPr>
          <w:rFonts w:hint="eastAsia" w:ascii="仿宋_GB2312" w:hAnsi="仿宋_GB2312" w:eastAsia="仿宋_GB2312" w:cs="仿宋_GB2312"/>
          <w:sz w:val="32"/>
          <w:szCs w:val="32"/>
          <w:u w:val="single"/>
        </w:rPr>
        <w:t>将重大基础设施用地划入镇区黄线管控范围，主要包括公共交通设施、通信设施、</w:t>
      </w:r>
      <w:r>
        <w:rPr>
          <w:rFonts w:hint="eastAsia" w:ascii="仿宋_GB2312" w:hAnsi="仿宋_GB2312" w:cs="仿宋_GB2312"/>
          <w:sz w:val="32"/>
          <w:szCs w:val="32"/>
          <w:u w:val="single"/>
          <w:lang w:val="en-US" w:eastAsia="zh-CN"/>
        </w:rPr>
        <w:t>消防设施等</w:t>
      </w:r>
      <w:r>
        <w:rPr>
          <w:rFonts w:hint="eastAsia" w:ascii="仿宋_GB2312" w:hAnsi="仿宋_GB2312" w:eastAsia="仿宋_GB2312" w:cs="仿宋_GB2312"/>
          <w:sz w:val="32"/>
          <w:szCs w:val="32"/>
          <w:u w:val="single"/>
        </w:rPr>
        <w:t>，总面积</w:t>
      </w:r>
      <w:r>
        <w:rPr>
          <w:rFonts w:hint="eastAsia" w:ascii="仿宋_GB2312" w:hAnsi="仿宋_GB2312" w:cs="仿宋_GB2312"/>
          <w:sz w:val="32"/>
          <w:szCs w:val="32"/>
          <w:u w:val="single"/>
          <w:lang w:val="en-US" w:eastAsia="zh-CN"/>
        </w:rPr>
        <w:t>2.94</w:t>
      </w:r>
      <w:r>
        <w:rPr>
          <w:rFonts w:hint="eastAsia" w:ascii="仿宋_GB2312" w:hAnsi="仿宋_GB2312" w:eastAsia="仿宋_GB2312" w:cs="仿宋_GB2312"/>
          <w:sz w:val="32"/>
          <w:szCs w:val="32"/>
          <w:u w:val="single"/>
        </w:rPr>
        <w:t>公顷。</w:t>
      </w:r>
      <w:r>
        <w:rPr>
          <w:rFonts w:hint="eastAsia" w:ascii="仿宋_GB2312" w:hAnsi="仿宋_GB2312" w:eastAsia="仿宋_GB2312" w:cs="仿宋_GB2312"/>
          <w:sz w:val="32"/>
          <w:szCs w:val="32"/>
        </w:rPr>
        <w:t>在总规模不减少的前提下，城市黄线的具体边界、定位可在详细规划编制和实施中落实。规划划定的城市黄线严格按照相关法律法规进行管控，城市黄线一经批准，不得擅自调整，因城市发展和城市功能、布局变化等，需要调整城市黄线的，应进行规划论证，并保证基础设施的系统性和服务能力不降低。城市黄线的调整应符合国家有关规定</w:t>
      </w:r>
      <w:r>
        <w:rPr>
          <w:rFonts w:hint="eastAsia" w:ascii="仿宋_GB2312" w:hAnsi="仿宋_GB2312" w:eastAsia="仿宋_GB2312" w:cs="仿宋_GB2312"/>
          <w:b w:val="0"/>
          <w:bCs w:val="0"/>
          <w:u w:val="none"/>
        </w:rPr>
        <w:t>。</w:t>
      </w:r>
    </w:p>
    <w:p w14:paraId="791EBABE">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r>
        <w:rPr>
          <w:rFonts w:hint="eastAsia" w:ascii="楷体_GB2312" w:eastAsia="楷体_GB2312" w:cs="Times New Roman"/>
          <w:bCs/>
          <w:sz w:val="32"/>
          <w:szCs w:val="32"/>
          <w:lang w:val="en-US" w:eastAsia="zh-CN"/>
        </w:rPr>
        <w:t>蓝线管控</w:t>
      </w:r>
    </w:p>
    <w:p w14:paraId="442B7C92">
      <w:pPr>
        <w:ind w:firstLine="56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黑马河镇区不涉及蓝线。</w:t>
      </w:r>
    </w:p>
    <w:p w14:paraId="5F848E39">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r>
        <w:rPr>
          <w:rFonts w:hint="eastAsia" w:ascii="楷体_GB2312" w:eastAsia="楷体_GB2312" w:cs="Times New Roman"/>
          <w:bCs/>
          <w:sz w:val="32"/>
          <w:szCs w:val="32"/>
          <w:lang w:val="en-US" w:eastAsia="zh-CN"/>
        </w:rPr>
        <w:t>紫线管控</w:t>
      </w:r>
    </w:p>
    <w:p w14:paraId="19F37EB4">
      <w:pPr>
        <w:ind w:firstLine="560"/>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黑马河镇区不涉及紫线。</w:t>
      </w:r>
    </w:p>
    <w:p w14:paraId="3BACF67B">
      <w:pPr>
        <w:rPr>
          <w:rFonts w:hint="eastAsia" w:ascii="仿宋_GB2312" w:hAnsi="仿宋_GB2312" w:eastAsia="仿宋_GB2312" w:cs="仿宋_GB2312"/>
          <w:b w:val="0"/>
          <w:bCs w:val="0"/>
          <w:u w:val="none"/>
        </w:rPr>
      </w:pPr>
      <w:r>
        <w:rPr>
          <w:rFonts w:hint="eastAsia" w:ascii="仿宋_GB2312" w:hAnsi="仿宋_GB2312" w:eastAsia="仿宋_GB2312" w:cs="仿宋_GB2312"/>
          <w:b w:val="0"/>
          <w:bCs w:val="0"/>
          <w:u w:val="none"/>
        </w:rPr>
        <w:br w:type="page"/>
      </w:r>
    </w:p>
    <w:p w14:paraId="4E5C6946">
      <w:pPr>
        <w:pStyle w:val="2"/>
        <w:ind w:left="-140"/>
        <w:rPr>
          <w:rFonts w:hint="eastAsia" w:ascii="方正小标宋简体" w:hAnsi="方正小标宋简体" w:eastAsia="方正小标宋简体" w:cs="方正小标宋简体"/>
          <w:b w:val="0"/>
          <w:bCs w:val="0"/>
          <w:lang w:val="en-US" w:eastAsia="zh-CN"/>
        </w:rPr>
      </w:pPr>
      <w:bookmarkStart w:id="218" w:name="_Toc10920"/>
      <w:bookmarkStart w:id="219" w:name="_Toc21832"/>
      <w:r>
        <w:rPr>
          <w:rFonts w:hint="eastAsia" w:ascii="方正小标宋简体" w:hAnsi="方正小标宋简体" w:eastAsia="方正小标宋简体" w:cs="方正小标宋简体"/>
          <w:b w:val="0"/>
          <w:bCs w:val="0"/>
          <w:lang w:val="en-US" w:eastAsia="zh-CN"/>
        </w:rPr>
        <w:t>历史文化与景观风貌</w:t>
      </w:r>
      <w:bookmarkEnd w:id="218"/>
      <w:bookmarkEnd w:id="219"/>
    </w:p>
    <w:p w14:paraId="7708C0A6">
      <w:pPr>
        <w:pStyle w:val="3"/>
        <w:numPr>
          <w:ilvl w:val="0"/>
          <w:numId w:val="15"/>
        </w:numPr>
      </w:pPr>
      <w:bookmarkStart w:id="220" w:name="_Toc23836"/>
      <w:bookmarkStart w:id="221" w:name="_Toc24198"/>
      <w:r>
        <w:rPr>
          <w:rFonts w:hint="eastAsia" w:ascii="Arial" w:hAnsi="Arial" w:eastAsia="黑体" w:cs="Times New Roman"/>
          <w:b w:val="0"/>
          <w:lang w:val="zh-CN"/>
        </w:rPr>
        <w:t>整体保护文化遗产，传承历史文化价值</w:t>
      </w:r>
      <w:bookmarkEnd w:id="220"/>
      <w:bookmarkEnd w:id="221"/>
    </w:p>
    <w:p w14:paraId="27E9FAB7">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222" w:name="_Toc32702"/>
      <w:bookmarkStart w:id="223" w:name="_Toc132547353"/>
      <w:r>
        <w:rPr>
          <w:rFonts w:hint="eastAsia" w:ascii="楷体_GB2312" w:eastAsia="楷体_GB2312" w:cs="Times New Roman"/>
          <w:bCs/>
          <w:sz w:val="32"/>
          <w:szCs w:val="32"/>
          <w:lang w:val="en-US" w:eastAsia="zh-CN"/>
        </w:rPr>
        <w:t>健全历史文化资源保护体系</w:t>
      </w:r>
      <w:bookmarkEnd w:id="222"/>
      <w:bookmarkEnd w:id="223"/>
    </w:p>
    <w:p w14:paraId="4BE9781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u w:val="none"/>
        </w:rPr>
      </w:pPr>
      <w:bookmarkStart w:id="224" w:name="_Toc4088"/>
      <w:bookmarkStart w:id="225" w:name="_Toc132547354"/>
      <w:r>
        <w:rPr>
          <w:rFonts w:hint="eastAsia" w:ascii="楷体_GB2312" w:hAnsi="楷体_GB2312" w:eastAsia="楷体_GB2312" w:cs="楷体_GB2312"/>
          <w:sz w:val="32"/>
          <w:szCs w:val="32"/>
          <w:u w:val="none"/>
        </w:rPr>
        <w:t>强化青海湖等自然遗产保护。</w:t>
      </w:r>
      <w:r>
        <w:rPr>
          <w:rFonts w:hint="eastAsia" w:ascii="仿宋_GB2312" w:hAnsi="仿宋_GB2312" w:eastAsia="仿宋_GB2312" w:cs="仿宋_GB2312"/>
          <w:sz w:val="32"/>
          <w:szCs w:val="32"/>
          <w:u w:val="none"/>
        </w:rPr>
        <w:t>加强列入世界自然遗产预备名录的青海湖的全面保护与利用，对自然保护区、风景名胜区等各类自然遗产实施严格保护和管控，保护和恢复自然与人文景观的原真性，加强对景物、水体、植被、野生动物和各项设施的保护，适度有序开展游览或者进行科学、文化活动，相关开发活动应当与周围景观和环境相协调，不得破坏自然遗产整体风貌。</w:t>
      </w:r>
    </w:p>
    <w:p w14:paraId="3ADD042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u w:val="none"/>
          <w:lang w:val="en-US" w:eastAsia="zh-CN"/>
        </w:rPr>
      </w:pPr>
      <w:r>
        <w:rPr>
          <w:rFonts w:hint="eastAsia" w:ascii="楷体_GB2312" w:hAnsi="楷体_GB2312" w:eastAsia="楷体_GB2312" w:cs="楷体_GB2312"/>
          <w:sz w:val="32"/>
          <w:szCs w:val="32"/>
          <w:u w:val="none"/>
          <w:lang w:val="en-US" w:eastAsia="zh-CN"/>
        </w:rPr>
        <w:t>融入全县历史文化保护格局。</w:t>
      </w:r>
      <w:r>
        <w:rPr>
          <w:rFonts w:hint="eastAsia" w:ascii="仿宋_GB2312" w:hAnsi="仿宋_GB2312" w:eastAsia="仿宋_GB2312" w:cs="仿宋_GB2312"/>
          <w:sz w:val="32"/>
          <w:szCs w:val="32"/>
          <w:u w:val="none"/>
          <w:lang w:val="en-US" w:eastAsia="zh-CN"/>
        </w:rPr>
        <w:t>依托青海湖旅游专线公路，以生态人文景观廊道，统筹沿线历史文化资源保护与利用</w:t>
      </w:r>
      <w:r>
        <w:rPr>
          <w:rFonts w:hint="eastAsia" w:ascii="仿宋_GB2312" w:hAnsi="仿宋_GB2312" w:cs="仿宋_GB2312"/>
          <w:sz w:val="32"/>
          <w:szCs w:val="32"/>
          <w:u w:val="none"/>
          <w:lang w:val="en-US" w:eastAsia="zh-CN"/>
        </w:rPr>
        <w:t>。黑马河镇</w:t>
      </w:r>
      <w:r>
        <w:rPr>
          <w:rFonts w:hint="eastAsia" w:ascii="仿宋_GB2312" w:hAnsi="仿宋_GB2312" w:eastAsia="仿宋_GB2312" w:cs="仿宋_GB2312"/>
          <w:sz w:val="32"/>
          <w:szCs w:val="32"/>
          <w:u w:val="none"/>
          <w:lang w:val="en-US" w:eastAsia="zh-CN"/>
        </w:rPr>
        <w:t>位于</w:t>
      </w:r>
      <w:r>
        <w:rPr>
          <w:rFonts w:hint="eastAsia"/>
        </w:rPr>
        <w:t>传统民俗文化体验片区</w:t>
      </w:r>
      <w:r>
        <w:rPr>
          <w:rFonts w:hint="eastAsia" w:ascii="仿宋_GB2312" w:hAnsi="仿宋_GB2312" w:eastAsia="仿宋_GB2312" w:cs="仿宋_GB2312"/>
          <w:sz w:val="32"/>
          <w:szCs w:val="32"/>
          <w:u w:val="none"/>
          <w:lang w:val="en-US" w:eastAsia="zh-CN"/>
        </w:rPr>
        <w:t>，按照主导文化类型加强区域文化资源挖掘和文化生态整体保护；系统保护文物保护单位、历史建筑、非物质文化遗产、地下文物埋藏区等在内的历史文化资源，促进历史遗存活化利用。</w:t>
      </w:r>
    </w:p>
    <w:p w14:paraId="163DA338">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划定历史文化保护线</w:t>
      </w:r>
    </w:p>
    <w:p w14:paraId="04D0B05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u w:val="none"/>
          <w:lang w:val="en-US" w:eastAsia="zh-CN"/>
        </w:rPr>
      </w:pPr>
      <w:r>
        <w:rPr>
          <w:rFonts w:hint="eastAsia" w:ascii="楷体_GB2312" w:hAnsi="楷体_GB2312" w:eastAsia="楷体_GB2312" w:cs="楷体_GB2312"/>
          <w:sz w:val="32"/>
          <w:szCs w:val="32"/>
          <w:u w:val="none"/>
          <w:lang w:val="en-US" w:eastAsia="zh-CN"/>
        </w:rPr>
        <w:t>有序划定历史文化保护线。</w:t>
      </w:r>
      <w:r>
        <w:rPr>
          <w:rFonts w:hint="eastAsia" w:ascii="仿宋_GB2312" w:hAnsi="仿宋_GB2312" w:cs="仿宋_GB2312"/>
          <w:sz w:val="32"/>
          <w:szCs w:val="32"/>
          <w:u w:val="none"/>
          <w:lang w:val="en-US" w:eastAsia="zh-CN"/>
        </w:rPr>
        <w:t>划定黑马河</w:t>
      </w:r>
      <w:r>
        <w:rPr>
          <w:rFonts w:hint="eastAsia" w:ascii="楷体_GB2312" w:hAnsi="楷体_GB2312" w:eastAsia="楷体_GB2312" w:cs="楷体_GB2312"/>
          <w:sz w:val="32"/>
          <w:szCs w:val="32"/>
          <w:u w:val="none"/>
          <w:lang w:val="en-US" w:eastAsia="zh-CN"/>
        </w:rPr>
        <w:t>镇</w:t>
      </w:r>
      <w:r>
        <w:rPr>
          <w:rFonts w:hint="eastAsia" w:ascii="仿宋_GB2312" w:hAnsi="仿宋_GB2312" w:eastAsia="仿宋_GB2312" w:cs="仿宋_GB2312"/>
          <w:sz w:val="32"/>
          <w:szCs w:val="32"/>
          <w:u w:val="none"/>
          <w:lang w:val="en-US" w:eastAsia="zh-CN"/>
        </w:rPr>
        <w:t>历史文化保护线</w:t>
      </w:r>
      <w:r>
        <w:rPr>
          <w:rFonts w:hint="eastAsia" w:ascii="仿宋_GB2312" w:hAnsi="仿宋_GB2312" w:cs="仿宋_GB2312"/>
          <w:sz w:val="32"/>
          <w:szCs w:val="32"/>
          <w:u w:val="none"/>
          <w:lang w:val="en-US" w:eastAsia="zh-CN"/>
        </w:rPr>
        <w:t>面积为69.28公顷，主要为</w:t>
      </w:r>
      <w:r>
        <w:rPr>
          <w:rFonts w:hint="eastAsia" w:ascii="仿宋_GB2312" w:hAnsi="仿宋_GB2312" w:eastAsia="仿宋_GB2312" w:cs="仿宋_GB2312"/>
          <w:sz w:val="32"/>
          <w:szCs w:val="32"/>
          <w:u w:val="none"/>
          <w:lang w:val="en-US" w:eastAsia="zh-CN"/>
        </w:rPr>
        <w:t>省级文物保护单位湖李木沟岩画的保护范围和建设控制地带范围边界，按相应法律法规和批复的保护规划进行保护管理。</w:t>
      </w:r>
    </w:p>
    <w:p w14:paraId="37BD0627">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r>
        <w:rPr>
          <w:rFonts w:hint="eastAsia" w:ascii="楷体_GB2312" w:eastAsia="楷体_GB2312" w:cs="Times New Roman"/>
          <w:bCs/>
          <w:sz w:val="32"/>
          <w:szCs w:val="32"/>
          <w:lang w:val="en-US" w:eastAsia="zh-CN"/>
        </w:rPr>
        <w:t>强化历史文化保护空间管控与利用</w:t>
      </w:r>
      <w:bookmarkEnd w:id="224"/>
      <w:bookmarkEnd w:id="225"/>
    </w:p>
    <w:p w14:paraId="3724FB4B">
      <w:pPr>
        <w:ind w:firstLine="560"/>
        <w:jc w:val="left"/>
        <w:rPr>
          <w:rFonts w:hint="eastAsia" w:ascii="仿宋_GB2312" w:hAnsi="仿宋_GB2312" w:eastAsia="仿宋_GB2312" w:cs="仿宋_GB2312"/>
        </w:rPr>
      </w:pPr>
      <w:r>
        <w:rPr>
          <w:rFonts w:hint="eastAsia" w:ascii="楷体_GB2312" w:hAnsi="楷体_GB2312" w:eastAsia="楷体_GB2312" w:cs="楷体_GB2312"/>
          <w:szCs w:val="32"/>
        </w:rPr>
        <w:t>线性生态人文景观廊道保护</w:t>
      </w:r>
      <w:r>
        <w:rPr>
          <w:rFonts w:hint="eastAsia" w:ascii="楷体_GB2312" w:hAnsi="楷体_GB2312" w:eastAsia="楷体_GB2312" w:cs="楷体_GB2312"/>
        </w:rPr>
        <w:t>。</w:t>
      </w:r>
      <w:r>
        <w:rPr>
          <w:rFonts w:hint="eastAsia" w:ascii="仿宋_GB2312" w:hAnsi="仿宋_GB2312" w:eastAsia="仿宋_GB2312" w:cs="仿宋_GB2312"/>
        </w:rPr>
        <w:t>青海丝绸之路南线遗产廊道是共和县对历史文化保护规划的布局之一</w:t>
      </w:r>
      <w:r>
        <w:rPr>
          <w:rFonts w:hint="eastAsia" w:ascii="仿宋_GB2312" w:hAnsi="仿宋_GB2312" w:eastAsia="仿宋_GB2312" w:cs="仿宋_GB2312"/>
          <w:lang w:eastAsia="zh-CN"/>
        </w:rPr>
        <w:t>，</w:t>
      </w:r>
      <w:r>
        <w:rPr>
          <w:rFonts w:hint="eastAsia" w:ascii="仿宋_GB2312" w:hAnsi="仿宋_GB2312" w:eastAsia="仿宋_GB2312" w:cs="仿宋_GB2312"/>
        </w:rPr>
        <w:t>位于黑马河镇东侧和北侧的</w:t>
      </w:r>
      <w:r>
        <w:rPr>
          <w:rFonts w:hint="eastAsia" w:ascii="仿宋_GB2312" w:hAnsi="仿宋_GB2312" w:eastAsia="仿宋_GB2312" w:cs="仿宋_GB2312"/>
          <w:lang w:eastAsia="zh-CN"/>
        </w:rPr>
        <w:t>青海湖旅游专线</w:t>
      </w:r>
      <w:r>
        <w:rPr>
          <w:rFonts w:hint="eastAsia" w:ascii="仿宋_GB2312" w:hAnsi="仿宋_GB2312" w:eastAsia="仿宋_GB2312" w:cs="仿宋_GB2312"/>
        </w:rPr>
        <w:t>沿线。</w:t>
      </w:r>
      <w:r>
        <w:rPr>
          <w:rFonts w:hint="eastAsia"/>
        </w:rPr>
        <w:t>加强沿线自然景观与文化遗产整体管控，保护并恢复廊道的整体历史风貌与结构；加强沿线城镇文化旅游协同发展，增强线路展示与宣传，贯通景观休闲系统</w:t>
      </w:r>
      <w:r>
        <w:rPr>
          <w:rFonts w:hint="eastAsia" w:ascii="仿宋_GB2312" w:hAnsi="仿宋_GB2312" w:eastAsia="仿宋_GB2312" w:cs="仿宋_GB2312"/>
        </w:rPr>
        <w:t>。</w:t>
      </w:r>
    </w:p>
    <w:p w14:paraId="577CFDF4">
      <w:pPr>
        <w:ind w:firstLine="560"/>
        <w:jc w:val="left"/>
        <w:rPr>
          <w:rFonts w:hint="eastAsia" w:ascii="仿宋_GB2312" w:hAnsi="仿宋_GB2312" w:eastAsia="仿宋_GB2312" w:cs="仿宋_GB2312"/>
        </w:rPr>
      </w:pPr>
      <w:r>
        <w:rPr>
          <w:rFonts w:hint="eastAsia" w:ascii="楷体_GB2312" w:hAnsi="楷体_GB2312" w:eastAsia="楷体_GB2312" w:cs="楷体_GB2312"/>
          <w:szCs w:val="32"/>
        </w:rPr>
        <w:t>文物保护单位保护</w:t>
      </w:r>
      <w:r>
        <w:rPr>
          <w:rFonts w:hint="eastAsia" w:ascii="楷体_GB2312" w:hAnsi="楷体_GB2312" w:eastAsia="楷体_GB2312" w:cs="楷体_GB2312"/>
        </w:rPr>
        <w:t>。</w:t>
      </w:r>
      <w:r>
        <w:rPr>
          <w:rFonts w:hint="eastAsia" w:ascii="仿宋_GB2312" w:hAnsi="仿宋_GB2312" w:eastAsia="仿宋_GB2312" w:cs="仿宋_GB2312"/>
        </w:rPr>
        <w:t>包括省级重点文物保护单位1处，为胡李木沟岩画。</w:t>
      </w:r>
      <w:r>
        <w:rPr>
          <w:rFonts w:hint="eastAsia"/>
          <w:u w:val="single"/>
        </w:rPr>
        <w:t>严格遵照文物保护相关法律法规进行保护，不允许改变文物的原有状况、面貌及环境。</w:t>
      </w:r>
      <w:r>
        <w:rPr>
          <w:rFonts w:hint="eastAsia"/>
        </w:rPr>
        <w:t>如需进行必要的修缮，应在专家指导下遵循“不改变原状”的原则，做到“修旧如旧”，并严格按审核手续进行。县文物主管部门应及时公布尚未核定公布为文物保护单位的不可移动文物，不可移动文物应按照原址保护、整体保护、不改变文物原状的原则实施保护，并加强管理，继续予以登记并公布为文物保护单位。</w:t>
      </w:r>
    </w:p>
    <w:p w14:paraId="6D9BC010">
      <w:pPr>
        <w:ind w:firstLine="560"/>
        <w:jc w:val="left"/>
        <w:rPr>
          <w:rFonts w:hint="eastAsia" w:ascii="仿宋_GB2312" w:hAnsi="仿宋_GB2312" w:eastAsia="仿宋_GB2312" w:cs="仿宋_GB2312"/>
        </w:rPr>
      </w:pPr>
      <w:r>
        <w:rPr>
          <w:rFonts w:hint="eastAsia" w:ascii="楷体" w:hAnsi="楷体" w:eastAsia="楷体"/>
          <w:szCs w:val="32"/>
        </w:rPr>
        <w:t>保护传承非物质文化遗产和传统文化</w:t>
      </w:r>
      <w:r>
        <w:rPr>
          <w:rFonts w:hint="eastAsia"/>
        </w:rPr>
        <w:t>。</w:t>
      </w:r>
      <w:r>
        <w:rPr>
          <w:rFonts w:hint="eastAsia" w:ascii="仿宋_GB2312" w:hAnsi="仿宋_GB2312" w:eastAsia="仿宋_GB2312" w:cs="仿宋_GB2312"/>
        </w:rPr>
        <w:t>全共和县共有重点保护非物质文化遗产29项，其中黑马河镇</w:t>
      </w:r>
      <w:r>
        <w:rPr>
          <w:rFonts w:hint="eastAsia" w:ascii="仿宋_GB2312" w:hAnsi="仿宋_GB2312" w:cs="仿宋_GB2312"/>
          <w:lang w:val="en-US" w:eastAsia="zh-CN"/>
        </w:rPr>
        <w:t>涉及</w:t>
      </w:r>
      <w:r>
        <w:rPr>
          <w:rFonts w:hint="eastAsia" w:ascii="仿宋_GB2312" w:hAnsi="仿宋_GB2312" w:eastAsia="仿宋_GB2312" w:cs="仿宋_GB2312"/>
        </w:rPr>
        <w:t>17项，包括省级非物质文化遗产1项，为青海湖的传说；州级非物质文化遗产5项，为藏族颂词、藏族拉伊、环湖地区藏族婚俗、羊骨节游戏和共和射箭；其余11项均为县级非物质保护遗产。</w:t>
      </w:r>
      <w:r>
        <w:rPr>
          <w:rFonts w:hint="eastAsia"/>
          <w:lang w:val="en-US" w:eastAsia="zh-CN"/>
        </w:rPr>
        <w:t>黑马河</w:t>
      </w:r>
      <w:r>
        <w:rPr>
          <w:rFonts w:hint="eastAsia"/>
        </w:rPr>
        <w:t>镇应加强本地独具特色的民俗节庆活动、民间口头文学、地方特产、特色美食、传统手工技能和表演艺术的保护。积极利用旅游文化建设保护和推广当地非物质文化遗产，保护、培养非物质文化遗产的传承人。</w:t>
      </w:r>
    </w:p>
    <w:p w14:paraId="2D79E120">
      <w:pPr>
        <w:pStyle w:val="3"/>
        <w:numPr>
          <w:ilvl w:val="0"/>
          <w:numId w:val="10"/>
        </w:numPr>
      </w:pPr>
      <w:bookmarkStart w:id="226" w:name="_Toc7060"/>
      <w:bookmarkStart w:id="227" w:name="_Toc11209"/>
      <w:r>
        <w:rPr>
          <w:rFonts w:hint="eastAsia"/>
          <w:lang w:val="en-US" w:eastAsia="zh-CN"/>
        </w:rPr>
        <w:t>美丽城镇建设与</w:t>
      </w:r>
      <w:r>
        <w:rPr>
          <w:rFonts w:hint="eastAsia"/>
        </w:rPr>
        <w:t>风貌</w:t>
      </w:r>
      <w:r>
        <w:rPr>
          <w:rFonts w:hint="eastAsia"/>
          <w:lang w:val="en-US" w:eastAsia="zh-CN"/>
        </w:rPr>
        <w:t>引导</w:t>
      </w:r>
      <w:bookmarkEnd w:id="226"/>
      <w:bookmarkEnd w:id="227"/>
    </w:p>
    <w:p w14:paraId="4932E87D">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r>
        <w:rPr>
          <w:rFonts w:hint="eastAsia" w:ascii="楷体_GB2312" w:eastAsia="楷体_GB2312" w:cs="Times New Roman"/>
          <w:bCs/>
          <w:sz w:val="32"/>
          <w:szCs w:val="32"/>
          <w:lang w:val="en-US" w:eastAsia="zh-CN"/>
        </w:rPr>
        <w:t>构建美丽城镇景观</w:t>
      </w:r>
    </w:p>
    <w:p w14:paraId="0DF86F1B">
      <w:pPr>
        <w:ind w:firstLine="560"/>
        <w:jc w:val="left"/>
        <w:rPr>
          <w:rFonts w:hint="eastAsia" w:ascii="仿宋_GB2312" w:hAnsi="仿宋_GB2312" w:eastAsia="仿宋_GB2312" w:cs="仿宋_GB2312"/>
        </w:rPr>
      </w:pPr>
      <w:r>
        <w:rPr>
          <w:rFonts w:hint="eastAsia" w:ascii="仿宋_GB2312" w:hAnsi="仿宋_GB2312" w:eastAsia="仿宋_GB2312" w:cs="仿宋_GB2312"/>
          <w:szCs w:val="32"/>
        </w:rPr>
        <w:t>以全面促进共和县高原美丽城镇建设，提升城镇功能品质，创造良好的生产生活环境为规划目标，</w:t>
      </w:r>
      <w:r>
        <w:rPr>
          <w:rFonts w:hint="eastAsia" w:ascii="仿宋_GB2312" w:hAnsi="仿宋_GB2312" w:eastAsia="仿宋_GB2312" w:cs="仿宋_GB2312"/>
        </w:rPr>
        <w:t>形成“水润绕城、绿草围城”的天蓝、地绿、水秀的魅力黑马河，打造宜居、闲适、恬静的</w:t>
      </w:r>
      <w:r>
        <w:rPr>
          <w:rFonts w:hint="eastAsia" w:ascii="仿宋_GB2312" w:hAnsi="仿宋_GB2312" w:eastAsia="仿宋_GB2312" w:cs="仿宋_GB2312"/>
          <w:lang w:val="en-US" w:eastAsia="zh-CN"/>
        </w:rPr>
        <w:t>黑马河乡镇</w:t>
      </w:r>
      <w:r>
        <w:rPr>
          <w:rFonts w:hint="eastAsia" w:ascii="仿宋_GB2312" w:hAnsi="仿宋_GB2312" w:eastAsia="仿宋_GB2312" w:cs="仿宋_GB2312"/>
        </w:rPr>
        <w:t>总体风貌。依托青海湖观日出等资源，培育环湖旅游的文化旅游型城镇。</w:t>
      </w:r>
    </w:p>
    <w:p w14:paraId="0FDDF568">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r>
        <w:rPr>
          <w:rFonts w:hint="eastAsia" w:ascii="楷体_GB2312" w:eastAsia="楷体_GB2312" w:cs="Times New Roman"/>
          <w:bCs/>
          <w:sz w:val="32"/>
          <w:szCs w:val="32"/>
          <w:lang w:val="en-US" w:eastAsia="zh-CN"/>
        </w:rPr>
        <w:t>城乡特色风貌引导与管控</w:t>
      </w:r>
    </w:p>
    <w:p w14:paraId="0AC40565">
      <w:pPr>
        <w:ind w:firstLine="560"/>
        <w:jc w:val="left"/>
        <w:rPr>
          <w:rFonts w:hint="eastAsia" w:ascii="仿宋_GB2312" w:hAnsi="仿宋_GB2312" w:eastAsia="仿宋_GB2312" w:cs="仿宋_GB2312"/>
          <w:sz w:val="32"/>
          <w:szCs w:val="32"/>
        </w:rPr>
      </w:pPr>
      <w:r>
        <w:rPr>
          <w:rFonts w:hint="eastAsia" w:ascii="楷体" w:hAnsi="楷体" w:eastAsia="楷体"/>
          <w:szCs w:val="32"/>
        </w:rPr>
        <w:t>强化</w:t>
      </w:r>
      <w:r>
        <w:rPr>
          <w:rFonts w:hint="eastAsia" w:ascii="楷体" w:hAnsi="楷体" w:eastAsia="楷体"/>
          <w:szCs w:val="32"/>
          <w:lang w:val="en-US" w:eastAsia="zh-CN"/>
        </w:rPr>
        <w:t>镇区</w:t>
      </w:r>
      <w:r>
        <w:rPr>
          <w:rFonts w:hint="eastAsia" w:ascii="楷体" w:hAnsi="楷体" w:eastAsia="楷体"/>
          <w:szCs w:val="32"/>
        </w:rPr>
        <w:t>核心引领，统领景观风貌</w:t>
      </w:r>
      <w:r>
        <w:rPr>
          <w:rFonts w:hint="eastAsia"/>
        </w:rPr>
        <w:t>。</w:t>
      </w:r>
      <w:r>
        <w:rPr>
          <w:rFonts w:hint="eastAsia"/>
          <w:lang w:val="en-US" w:eastAsia="zh-CN"/>
        </w:rPr>
        <w:t>镇区</w:t>
      </w:r>
      <w:r>
        <w:rPr>
          <w:rFonts w:hint="eastAsia"/>
        </w:rPr>
        <w:t>应明确风貌管控范围、结构、风貌廊道、风貌节点、城市天际线等内容，在总体上要突出</w:t>
      </w:r>
      <w:r>
        <w:rPr>
          <w:rFonts w:hint="eastAsia"/>
          <w:lang w:val="en-US" w:eastAsia="zh-CN"/>
        </w:rPr>
        <w:t>黑马河镇</w:t>
      </w:r>
      <w:r>
        <w:rPr>
          <w:rFonts w:hint="eastAsia"/>
        </w:rPr>
        <w:t>风貌特色元素，加强风貌协调性和可识别性。</w:t>
      </w:r>
      <w:r>
        <w:rPr>
          <w:rFonts w:hint="eastAsia"/>
          <w:lang w:val="en-US" w:eastAsia="zh-CN"/>
        </w:rPr>
        <w:t>镇区</w:t>
      </w:r>
      <w:r>
        <w:rPr>
          <w:rFonts w:hint="eastAsia" w:ascii="仿宋_GB2312" w:hAnsi="仿宋_GB2312" w:eastAsia="仿宋_GB2312" w:cs="仿宋_GB2312"/>
          <w:sz w:val="32"/>
          <w:szCs w:val="32"/>
        </w:rPr>
        <w:t>突出“藏风新韵、古今交融”，建筑风格以新藏式为主，依托</w:t>
      </w:r>
      <w:r>
        <w:rPr>
          <w:rFonts w:hint="eastAsia" w:ascii="仿宋_GB2312" w:hAnsi="仿宋_GB2312" w:cs="仿宋_GB2312"/>
          <w:sz w:val="32"/>
          <w:szCs w:val="32"/>
          <w:lang w:val="en-US" w:eastAsia="zh-CN"/>
        </w:rPr>
        <w:t>黑马河</w:t>
      </w:r>
      <w:r>
        <w:rPr>
          <w:rFonts w:hint="eastAsia" w:ascii="仿宋_GB2312" w:hAnsi="仿宋_GB2312" w:eastAsia="仿宋_GB2312" w:cs="仿宋_GB2312"/>
          <w:sz w:val="32"/>
          <w:szCs w:val="32"/>
        </w:rPr>
        <w:t>镇得天独厚的生态本底和</w:t>
      </w:r>
      <w:r>
        <w:rPr>
          <w:rFonts w:hint="eastAsia" w:ascii="仿宋_GB2312" w:hAnsi="仿宋_GB2312" w:cs="仿宋_GB2312"/>
          <w:sz w:val="32"/>
          <w:szCs w:val="32"/>
          <w:lang w:val="en-US" w:eastAsia="zh-CN"/>
        </w:rPr>
        <w:t>文化底蕴</w:t>
      </w:r>
      <w:r>
        <w:rPr>
          <w:rFonts w:hint="eastAsia" w:ascii="仿宋_GB2312" w:hAnsi="仿宋_GB2312" w:eastAsia="仿宋_GB2312" w:cs="仿宋_GB2312"/>
          <w:sz w:val="32"/>
          <w:szCs w:val="32"/>
        </w:rPr>
        <w:t>，抽象、简化藏式元素，活化利用</w:t>
      </w:r>
      <w:r>
        <w:rPr>
          <w:rFonts w:hint="eastAsia" w:ascii="仿宋_GB2312" w:hAnsi="仿宋_GB2312" w:cs="仿宋_GB2312"/>
          <w:sz w:val="32"/>
          <w:szCs w:val="32"/>
          <w:lang w:val="en-US" w:eastAsia="zh-CN"/>
        </w:rPr>
        <w:t>民俗</w:t>
      </w:r>
      <w:r>
        <w:rPr>
          <w:rFonts w:hint="eastAsia" w:ascii="仿宋_GB2312" w:hAnsi="仿宋_GB2312" w:eastAsia="仿宋_GB2312" w:cs="仿宋_GB2312"/>
          <w:sz w:val="32"/>
          <w:szCs w:val="32"/>
        </w:rPr>
        <w:t>文化相关元素，弱化符号化的装饰，采用传统肌理演绎形式，包括围合式、簇群式、行列式，鼓励丰富多样的建筑组合形式</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rPr>
        <w:t>营造生态格局优越、地域文化突出的新藏式小镇整体风貌</w:t>
      </w:r>
      <w:r>
        <w:rPr>
          <w:rFonts w:hint="eastAsia" w:ascii="仿宋_GB2312" w:hAnsi="仿宋_GB2312" w:cs="黑体"/>
        </w:rPr>
        <w:t>。</w:t>
      </w:r>
    </w:p>
    <w:p w14:paraId="6AE3A567">
      <w:pPr>
        <w:ind w:firstLine="560"/>
        <w:jc w:val="left"/>
        <w:rPr>
          <w:rFonts w:hint="eastAsia" w:ascii="仿宋_GB2312" w:hAnsi="仿宋_GB2312" w:eastAsia="仿宋_GB2312" w:cs="仿宋_GB2312"/>
        </w:rPr>
      </w:pPr>
      <w:r>
        <w:rPr>
          <w:rFonts w:hint="eastAsia" w:ascii="楷体_GB2312" w:hAnsi="楷体_GB2312" w:eastAsia="楷体_GB2312" w:cs="楷体_GB2312"/>
          <w:szCs w:val="32"/>
        </w:rPr>
        <w:t>打造魅力景观带，展现独特资源禀赋</w:t>
      </w:r>
      <w:r>
        <w:rPr>
          <w:rFonts w:hint="eastAsia" w:ascii="楷体_GB2312" w:hAnsi="楷体_GB2312" w:eastAsia="楷体_GB2312" w:cs="楷体_GB2312"/>
        </w:rPr>
        <w:t>。</w:t>
      </w:r>
      <w:r>
        <w:rPr>
          <w:rFonts w:hint="eastAsia" w:ascii="仿宋_GB2312" w:hAnsi="仿宋_GB2312" w:eastAsia="仿宋_GB2312" w:cs="仿宋_GB2312"/>
        </w:rPr>
        <w:t>依托青海湖彰显雄奇天湖景观特色，严格保护青海湖及周边湿地景观资源，提升环湖公路沿线城镇与乡村风貌，在重要入口、观湖等节点处提升景观昭示，注重第五立面风貌管控，严格控制新建建筑形态与风貌。维护生物多样性，丰富景观要素。</w:t>
      </w:r>
    </w:p>
    <w:p w14:paraId="377A9C55">
      <w:pPr>
        <w:ind w:firstLine="560"/>
        <w:jc w:val="left"/>
        <w:rPr>
          <w:rFonts w:hint="eastAsia" w:ascii="仿宋_GB2312" w:hAnsi="仿宋_GB2312" w:eastAsia="仿宋_GB2312" w:cs="仿宋_GB2312"/>
        </w:rPr>
      </w:pPr>
      <w:r>
        <w:rPr>
          <w:rFonts w:hint="eastAsia" w:ascii="楷体_GB2312" w:hAnsi="楷体_GB2312" w:eastAsia="楷体_GB2312" w:cs="楷体_GB2312"/>
          <w:szCs w:val="32"/>
        </w:rPr>
        <w:t>突出规划先行，强化风貌引导</w:t>
      </w:r>
      <w:r>
        <w:rPr>
          <w:rFonts w:hint="eastAsia" w:ascii="楷体_GB2312" w:hAnsi="楷体_GB2312" w:eastAsia="楷体_GB2312" w:cs="楷体_GB2312"/>
          <w:szCs w:val="32"/>
          <w:lang w:eastAsia="zh-CN"/>
        </w:rPr>
        <w:t>。</w:t>
      </w:r>
      <w:r>
        <w:rPr>
          <w:rFonts w:hint="eastAsia" w:ascii="仿宋_GB2312" w:hAnsi="仿宋_GB2312" w:eastAsia="仿宋_GB2312" w:cs="仿宋_GB2312"/>
        </w:rPr>
        <w:t>要把规划编制作为乡村建设的基础性工作，遵循上位规划原则，顺应村庄发展规律。严格审批把关，强化风貌管控，保证村内及镇区的风貌统一，着力改善村庄公共空间，促进人与自然和谐共生，村庄形态与自然环境相得益彰。</w:t>
      </w:r>
    </w:p>
    <w:p w14:paraId="611F2830">
      <w:pPr>
        <w:ind w:firstLine="560"/>
        <w:jc w:val="left"/>
        <w:rPr>
          <w:rFonts w:hint="eastAsia" w:ascii="仿宋_GB2312" w:hAnsi="仿宋_GB2312" w:eastAsia="仿宋_GB2312" w:cs="仿宋_GB2312"/>
        </w:rPr>
      </w:pPr>
      <w:r>
        <w:rPr>
          <w:rFonts w:hint="eastAsia" w:ascii="楷体_GB2312" w:hAnsi="楷体_GB2312" w:eastAsia="楷体_GB2312" w:cs="楷体_GB2312"/>
          <w:szCs w:val="32"/>
          <w:lang w:val="en-US" w:eastAsia="zh-CN"/>
        </w:rPr>
        <w:t>建筑体量与风格。</w:t>
      </w:r>
      <w:r>
        <w:rPr>
          <w:rFonts w:hint="eastAsia" w:ascii="仿宋_GB2312" w:hAnsi="仿宋_GB2312" w:eastAsia="仿宋_GB2312" w:cs="仿宋_GB2312"/>
        </w:rPr>
        <w:t>公共建筑以藏式传统公共建筑基本特征为基础，适度展示时代精神。</w:t>
      </w:r>
      <w:r>
        <w:rPr>
          <w:rFonts w:hint="eastAsia" w:ascii="仿宋_GB2312" w:hAnsi="仿宋_GB2312" w:cs="仿宋_GB2312"/>
          <w:lang w:val="en-US" w:eastAsia="zh-CN"/>
        </w:rPr>
        <w:t>建筑朝向</w:t>
      </w:r>
      <w:r>
        <w:rPr>
          <w:rFonts w:hint="eastAsia" w:ascii="仿宋_GB2312" w:hAnsi="仿宋_GB2312" w:eastAsia="仿宋_GB2312" w:cs="仿宋_GB2312"/>
        </w:rPr>
        <w:t>延续现有肌理，以南北向为主。临街商业建筑层数一般应设置为1至2层。重要的公共建筑及标志性建筑不得超过4层。居住建筑以1-2层为宜。临街建筑总体风格为典型的藏式风格，色彩以藏民族传统的白色、土黄色和红色为主。规划建筑主体色为灰色和白色，辅助色为土黄色，用于建筑外墙面，点缀色为藏红色和灰色，用于女儿墙、窗框窗楣等建筑细部装饰。</w:t>
      </w:r>
    </w:p>
    <w:p w14:paraId="17DF5638">
      <w:pPr>
        <w:widowControl/>
        <w:spacing w:line="240" w:lineRule="auto"/>
        <w:ind w:firstLine="0" w:firstLineChars="0"/>
        <w:jc w:val="left"/>
      </w:pPr>
      <w:r>
        <w:br w:type="page"/>
      </w:r>
    </w:p>
    <w:p w14:paraId="26A6D0AA">
      <w:pPr>
        <w:pStyle w:val="2"/>
        <w:ind w:left="-140"/>
        <w:rPr>
          <w:rFonts w:hint="eastAsia" w:ascii="方正小标宋简体" w:hAnsi="方正小标宋简体" w:eastAsia="方正小标宋简体" w:cs="方正小标宋简体"/>
          <w:b w:val="0"/>
          <w:bCs w:val="0"/>
          <w:lang w:val="en-US" w:eastAsia="zh-CN"/>
        </w:rPr>
      </w:pPr>
      <w:bookmarkStart w:id="228" w:name="_Toc9596"/>
      <w:bookmarkStart w:id="229" w:name="_Toc7267"/>
      <w:r>
        <w:rPr>
          <w:rFonts w:hint="eastAsia" w:ascii="方正小标宋简体" w:hAnsi="方正小标宋简体" w:eastAsia="方正小标宋简体" w:cs="方正小标宋简体"/>
          <w:b w:val="0"/>
          <w:bCs w:val="0"/>
          <w:lang w:val="en-US" w:eastAsia="zh-CN"/>
        </w:rPr>
        <w:t>统筹设施空间，保障重大基础设施建设</w:t>
      </w:r>
      <w:bookmarkEnd w:id="228"/>
      <w:bookmarkEnd w:id="229"/>
    </w:p>
    <w:p w14:paraId="25C466A8">
      <w:pPr>
        <w:pStyle w:val="3"/>
        <w:numPr>
          <w:ilvl w:val="0"/>
          <w:numId w:val="16"/>
        </w:numPr>
      </w:pPr>
      <w:bookmarkStart w:id="230" w:name="_Toc32416"/>
      <w:bookmarkStart w:id="231" w:name="_Toc27718"/>
      <w:r>
        <w:rPr>
          <w:rFonts w:hint="eastAsia"/>
        </w:rPr>
        <w:t>优化综合（立体）交通和物流网络布局</w:t>
      </w:r>
      <w:bookmarkEnd w:id="230"/>
      <w:bookmarkEnd w:id="231"/>
    </w:p>
    <w:p w14:paraId="11C35ADD">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232" w:name="_Toc15541"/>
      <w:r>
        <w:rPr>
          <w:rFonts w:hint="eastAsia" w:ascii="楷体_GB2312" w:eastAsia="楷体_GB2312" w:cs="Times New Roman"/>
          <w:bCs/>
          <w:sz w:val="32"/>
          <w:szCs w:val="32"/>
          <w:lang w:val="en-US" w:eastAsia="zh-CN"/>
        </w:rPr>
        <w:t>构建综合交通体系</w:t>
      </w:r>
      <w:bookmarkEnd w:id="232"/>
    </w:p>
    <w:p w14:paraId="01115EBE">
      <w:pPr>
        <w:ind w:firstLine="560"/>
        <w:rPr>
          <w:rFonts w:hint="eastAsia" w:ascii="仿宋_GB2312" w:hAnsi="仿宋_GB2312" w:eastAsia="仿宋_GB2312" w:cs="仿宋_GB2312"/>
        </w:rPr>
      </w:pPr>
      <w:r>
        <w:rPr>
          <w:rFonts w:hint="eastAsia" w:ascii="楷体" w:hAnsi="楷体" w:eastAsia="楷体"/>
          <w:szCs w:val="32"/>
        </w:rPr>
        <w:t>加快构建综合交通运输体系</w:t>
      </w:r>
      <w:r>
        <w:rPr>
          <w:rFonts w:hint="eastAsia" w:ascii="楷体" w:hAnsi="楷体" w:eastAsia="楷体"/>
          <w:szCs w:val="32"/>
          <w:lang w:eastAsia="zh-CN"/>
        </w:rPr>
        <w:t>。</w:t>
      </w:r>
      <w:r>
        <w:rPr>
          <w:rFonts w:hint="eastAsia" w:ascii="仿宋_GB2312" w:hAnsi="仿宋_GB2312" w:eastAsia="仿宋_GB2312" w:cs="仿宋_GB2312"/>
        </w:rPr>
        <w:t>加强交通运输体系建设与管理，提高各种对外交通运输整体联运效能，形成铁路、公路等各种运输方式协调发展的综合交通运输体系</w:t>
      </w:r>
      <w:r>
        <w:rPr>
          <w:rFonts w:hint="eastAsia" w:ascii="仿宋_GB2312" w:hAnsi="仿宋_GB2312" w:cs="仿宋_GB2312"/>
          <w:lang w:eastAsia="zh-CN"/>
        </w:rPr>
        <w:t>，</w:t>
      </w:r>
      <w:r>
        <w:rPr>
          <w:rFonts w:hint="eastAsia" w:ascii="仿宋_GB2312" w:hAnsi="仿宋_GB2312" w:eastAsia="仿宋_GB2312" w:cs="仿宋_GB2312"/>
        </w:rPr>
        <w:t>与全县共同打造泛共和盆地城镇区交通极核。</w:t>
      </w:r>
    </w:p>
    <w:p w14:paraId="0BA31338">
      <w:pPr>
        <w:ind w:firstLine="560"/>
        <w:rPr>
          <w:rFonts w:hint="eastAsia" w:ascii="仿宋_GB2312" w:hAnsi="仿宋_GB2312" w:eastAsia="仿宋_GB2312" w:cs="仿宋_GB2312"/>
        </w:rPr>
      </w:pPr>
      <w:r>
        <w:rPr>
          <w:rFonts w:hint="eastAsia" w:ascii="楷体" w:hAnsi="楷体" w:eastAsia="楷体"/>
          <w:szCs w:val="32"/>
        </w:rPr>
        <w:t>实现绿色集约的高质量城乡交通服务。</w:t>
      </w:r>
      <w:r>
        <w:rPr>
          <w:rFonts w:hint="eastAsia" w:ascii="仿宋_GB2312" w:hAnsi="仿宋_GB2312" w:eastAsia="仿宋_GB2312" w:cs="仿宋_GB2312"/>
        </w:rPr>
        <w:t>进一步加快公路网建设，实现过境通道高速化、区域干线快速化、城乡交通一体化的跨越式发展目标。远期，与全县共同实现全部乡镇通高速或一级路的目标。镇域交通设施规模合理适度，城乡公交服务水平显著提升，乡村公路覆盖全面、服务通畅，农牧民出行便捷性、舒适性明显改善。</w:t>
      </w:r>
    </w:p>
    <w:p w14:paraId="525BAEDC">
      <w:pPr>
        <w:ind w:firstLine="560"/>
        <w:rPr>
          <w:rFonts w:hint="default" w:ascii="仿宋_GB2312" w:hAnsi="仿宋_GB2312" w:eastAsia="仿宋_GB2312" w:cs="仿宋_GB2312"/>
          <w:lang w:val="en-US" w:eastAsia="zh-CN"/>
        </w:rPr>
      </w:pPr>
      <w:r>
        <w:rPr>
          <w:rFonts w:hint="eastAsia" w:ascii="楷体" w:hAnsi="楷体" w:eastAsia="楷体"/>
          <w:szCs w:val="32"/>
        </w:rPr>
        <w:t>构建现代综合交通体系</w:t>
      </w:r>
      <w:r>
        <w:rPr>
          <w:rFonts w:hint="eastAsia"/>
        </w:rPr>
        <w:t>。</w:t>
      </w:r>
      <w:r>
        <w:rPr>
          <w:rFonts w:hint="eastAsia" w:ascii="仿宋_GB2312" w:hAnsi="仿宋_GB2312" w:eastAsia="仿宋_GB2312" w:cs="仿宋_GB2312"/>
        </w:rPr>
        <w:t>落实上位</w:t>
      </w:r>
      <w:r>
        <w:rPr>
          <w:rFonts w:hint="eastAsia" w:ascii="仿宋_GB2312" w:hAnsi="仿宋_GB2312" w:eastAsia="仿宋_GB2312" w:cs="仿宋_GB2312"/>
          <w:lang w:val="en-US" w:eastAsia="zh-CN"/>
        </w:rPr>
        <w:t>规划</w:t>
      </w:r>
      <w:r>
        <w:rPr>
          <w:rFonts w:hint="eastAsia" w:ascii="仿宋_GB2312" w:hAnsi="仿宋_GB2312" w:eastAsia="仿宋_GB2312" w:cs="仿宋_GB2312"/>
        </w:rPr>
        <w:t>交通空间布局和控制要求，依托</w:t>
      </w:r>
      <w:r>
        <w:rPr>
          <w:rFonts w:hint="eastAsia" w:ascii="仿宋_GB2312" w:hAnsi="仿宋_GB2312" w:eastAsia="仿宋_GB2312" w:cs="仿宋_GB2312"/>
          <w:lang w:eastAsia="zh-CN"/>
        </w:rPr>
        <w:t>青海湖旅游专线（</w:t>
      </w:r>
      <w:r>
        <w:rPr>
          <w:rFonts w:hint="eastAsia" w:ascii="仿宋_GB2312" w:hAnsi="仿宋_GB2312" w:eastAsia="仿宋_GB2312" w:cs="仿宋_GB2312"/>
        </w:rPr>
        <w:t>国道</w:t>
      </w:r>
      <w:r>
        <w:rPr>
          <w:rFonts w:hint="eastAsia" w:ascii="仿宋_GB2312" w:hAnsi="仿宋_GB2312" w:eastAsia="仿宋_GB2312" w:cs="仿宋_GB2312"/>
          <w:lang w:eastAsia="zh-CN"/>
        </w:rPr>
        <w:t>G109）</w:t>
      </w:r>
      <w:r>
        <w:rPr>
          <w:rFonts w:hint="eastAsia" w:ascii="仿宋_GB2312" w:hAnsi="仿宋_GB2312" w:eastAsia="仿宋_GB2312" w:cs="仿宋_GB2312"/>
          <w:lang w:val="en-US" w:eastAsia="zh-CN"/>
        </w:rPr>
        <w:t>、</w:t>
      </w:r>
      <w:r>
        <w:rPr>
          <w:rFonts w:hint="eastAsia" w:ascii="仿宋_GB2312" w:hAnsi="仿宋_GB2312" w:eastAsia="仿宋_GB2312" w:cs="仿宋_GB2312"/>
        </w:rPr>
        <w:t>省道S20</w:t>
      </w:r>
      <w:r>
        <w:rPr>
          <w:rFonts w:hint="eastAsia" w:ascii="仿宋_GB2312" w:hAnsi="仿宋_GB2312" w:cs="仿宋_GB2312"/>
          <w:lang w:val="en-US" w:eastAsia="zh-CN"/>
        </w:rPr>
        <w:t>8</w:t>
      </w:r>
      <w:r>
        <w:rPr>
          <w:rFonts w:hint="eastAsia" w:ascii="仿宋_GB2312" w:hAnsi="仿宋_GB2312" w:eastAsia="仿宋_GB2312" w:cs="仿宋_GB2312"/>
          <w:lang w:val="en-US" w:eastAsia="zh-CN"/>
        </w:rPr>
        <w:t>与青海湖农村旅游专线（江西沟镇元者村至黑马河镇正却乎村）</w:t>
      </w:r>
      <w:r>
        <w:rPr>
          <w:rFonts w:hint="eastAsia" w:ascii="仿宋_GB2312" w:hAnsi="仿宋_GB2312" w:eastAsia="仿宋_GB2312" w:cs="仿宋_GB2312"/>
        </w:rPr>
        <w:t>积极打造</w:t>
      </w:r>
      <w:r>
        <w:rPr>
          <w:rFonts w:hint="eastAsia" w:ascii="仿宋_GB2312" w:hAnsi="仿宋_GB2312" w:eastAsia="仿宋_GB2312" w:cs="仿宋_GB2312"/>
          <w:lang w:val="en-US" w:eastAsia="zh-CN"/>
        </w:rPr>
        <w:t>黑马河</w:t>
      </w:r>
      <w:r>
        <w:rPr>
          <w:rFonts w:hint="eastAsia" w:ascii="仿宋_GB2312" w:hAnsi="仿宋_GB2312" w:eastAsia="仿宋_GB2312" w:cs="仿宋_GB2312"/>
        </w:rPr>
        <w:t>环湖生态旅游路线，融入县域道路格局，提升道路互联互通能力，促进城乡均衡发展，彰显黑马河镇城乡品质。</w:t>
      </w:r>
      <w:r>
        <w:rPr>
          <w:rFonts w:hint="eastAsia" w:ascii="仿宋_GB2312" w:hAnsi="仿宋_GB2312" w:eastAsia="仿宋_GB2312" w:cs="仿宋_GB2312"/>
          <w:sz w:val="32"/>
          <w:szCs w:val="32"/>
          <w:lang w:val="zh-CN"/>
        </w:rPr>
        <w:t>加快推进</w:t>
      </w:r>
      <w:r>
        <w:rPr>
          <w:rFonts w:hint="eastAsia" w:ascii="仿宋_GB2312" w:hAnsi="仿宋_GB2312" w:cs="仿宋_GB2312"/>
          <w:sz w:val="32"/>
          <w:szCs w:val="32"/>
          <w:lang w:val="en-US" w:eastAsia="zh-CN"/>
        </w:rPr>
        <w:t>黑马河镇</w:t>
      </w:r>
      <w:r>
        <w:rPr>
          <w:rFonts w:hint="eastAsia" w:ascii="仿宋_GB2312" w:hAnsi="仿宋_GB2312" w:eastAsia="仿宋_GB2312" w:cs="仿宋_GB2312"/>
          <w:sz w:val="32"/>
          <w:szCs w:val="32"/>
          <w:lang w:val="en-US" w:eastAsia="zh-CN"/>
        </w:rPr>
        <w:t>低空飞行项目建设</w:t>
      </w:r>
      <w:r>
        <w:rPr>
          <w:rFonts w:hint="eastAsia" w:ascii="仿宋_GB2312" w:hAnsi="仿宋_GB2312" w:eastAsia="仿宋_GB2312" w:cs="仿宋_GB2312"/>
          <w:sz w:val="32"/>
          <w:szCs w:val="32"/>
          <w:lang w:val="zh-CN"/>
        </w:rPr>
        <w:t>前期工作，积极配合共和</w:t>
      </w:r>
      <w:r>
        <w:rPr>
          <w:rFonts w:hint="eastAsia" w:ascii="仿宋_GB2312" w:hAnsi="仿宋_GB2312" w:eastAsia="仿宋_GB2312" w:cs="仿宋_GB2312"/>
          <w:sz w:val="32"/>
          <w:szCs w:val="32"/>
          <w:lang w:val="en-US" w:eastAsia="zh-CN"/>
        </w:rPr>
        <w:t>发展低空经济</w:t>
      </w:r>
      <w:r>
        <w:rPr>
          <w:rFonts w:hint="eastAsia" w:ascii="仿宋_GB2312" w:hAnsi="仿宋_GB2312" w:eastAsia="仿宋_GB2312" w:cs="仿宋_GB2312"/>
          <w:sz w:val="32"/>
          <w:szCs w:val="32"/>
          <w:lang w:val="zh-CN"/>
        </w:rPr>
        <w:t>。</w:t>
      </w:r>
      <w:r>
        <w:rPr>
          <w:rFonts w:hint="eastAsia" w:ascii="仿宋_GB2312" w:hAnsi="仿宋_GB2312" w:cs="仿宋_GB2312"/>
          <w:lang w:val="en-US" w:eastAsia="zh-CN"/>
        </w:rPr>
        <w:t>规划近期建设省道S22，过境黑马河镇域西南侧。</w:t>
      </w:r>
    </w:p>
    <w:p w14:paraId="627D1CFF">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233" w:name="_Toc229"/>
      <w:r>
        <w:rPr>
          <w:rFonts w:hint="eastAsia" w:ascii="楷体_GB2312" w:eastAsia="楷体_GB2312" w:cs="Times New Roman"/>
          <w:bCs/>
          <w:sz w:val="32"/>
          <w:szCs w:val="32"/>
          <w:lang w:val="en-US" w:eastAsia="zh-CN"/>
        </w:rPr>
        <w:t>预控铁路廊道实现跨越式发展</w:t>
      </w:r>
      <w:bookmarkEnd w:id="233"/>
    </w:p>
    <w:p w14:paraId="64611C41">
      <w:pPr>
        <w:pStyle w:val="16"/>
        <w:ind w:firstLine="640"/>
        <w:rPr>
          <w:rFonts w:hint="default" w:ascii="仿宋_GB2312" w:hAnsi="仿宋_GB2312" w:eastAsia="仿宋_GB2312" w:cs="仿宋_GB2312"/>
          <w:lang w:val="en-US" w:eastAsia="zh-CN"/>
        </w:rPr>
      </w:pPr>
      <w:r>
        <w:rPr>
          <w:rFonts w:hint="eastAsia"/>
          <w:bCs/>
        </w:rPr>
        <w:t>借力省会西宁，加快推进铁路建设，衔接区域大通道，融入区域铁路网。</w:t>
      </w:r>
      <w:r>
        <w:rPr>
          <w:rFonts w:hint="eastAsia"/>
        </w:rPr>
        <w:t>通过铁路干线，串联重要城镇节点和旅游景区，提升客运出行效率，引导大宗物资运输实现“公转铁”，加快推进“西宁</w:t>
      </w:r>
      <w:r>
        <w:t>-</w:t>
      </w:r>
      <w:r>
        <w:rPr>
          <w:rFonts w:hint="eastAsia"/>
        </w:rPr>
        <w:t>共和</w:t>
      </w:r>
      <w:r>
        <w:t>-</w:t>
      </w:r>
      <w:r>
        <w:rPr>
          <w:rFonts w:hint="eastAsia"/>
        </w:rPr>
        <w:t>青海湖</w:t>
      </w:r>
      <w:r>
        <w:t>-</w:t>
      </w:r>
      <w:r>
        <w:rPr>
          <w:rFonts w:hint="eastAsia"/>
        </w:rPr>
        <w:t>茶卡”城际铁路</w:t>
      </w:r>
      <w:r>
        <w:rPr>
          <w:rFonts w:hint="eastAsia" w:ascii="仿宋_GB2312" w:hAnsi="仿宋_GB2312"/>
          <w:szCs w:val="32"/>
        </w:rPr>
        <w:t>，</w:t>
      </w:r>
      <w:bookmarkStart w:id="234" w:name="_Hlk132127416"/>
      <w:r>
        <w:rPr>
          <w:rFonts w:hint="eastAsia" w:ascii="仿宋_GB2312" w:hAnsi="仿宋_GB2312"/>
          <w:szCs w:val="32"/>
        </w:rPr>
        <w:t>与西宁大环线铁路</w:t>
      </w:r>
      <w:bookmarkEnd w:id="234"/>
      <w:r>
        <w:rPr>
          <w:rFonts w:hint="eastAsia" w:ascii="仿宋_GB2312" w:hAnsi="仿宋_GB2312"/>
          <w:szCs w:val="32"/>
        </w:rPr>
        <w:t>衔接。</w:t>
      </w:r>
      <w:r>
        <w:rPr>
          <w:rFonts w:hint="eastAsia" w:ascii="仿宋_GB2312" w:hAnsi="仿宋_GB2312" w:eastAsia="仿宋_GB2312" w:cs="仿宋_GB2312"/>
        </w:rPr>
        <w:t>以西宁</w:t>
      </w:r>
      <w:r>
        <w:rPr>
          <w:rFonts w:hint="eastAsia" w:ascii="仿宋_GB2312" w:hAnsi="仿宋_GB2312" w:cs="仿宋_GB2312"/>
          <w:lang w:val="en-US" w:eastAsia="zh-CN"/>
        </w:rPr>
        <w:t>至</w:t>
      </w:r>
      <w:r>
        <w:rPr>
          <w:rFonts w:hint="eastAsia" w:ascii="仿宋_GB2312" w:hAnsi="仿宋_GB2312" w:eastAsia="仿宋_GB2312" w:cs="仿宋_GB2312"/>
        </w:rPr>
        <w:t>茶卡城际黑马河站为核心，构建高效便捷的交通联系体系。</w:t>
      </w:r>
    </w:p>
    <w:p w14:paraId="0C39B6CE">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235" w:name="_Toc7132"/>
      <w:r>
        <w:rPr>
          <w:rFonts w:hint="eastAsia" w:ascii="楷体_GB2312" w:eastAsia="楷体_GB2312" w:cs="Times New Roman"/>
          <w:bCs/>
          <w:sz w:val="32"/>
          <w:szCs w:val="32"/>
          <w:lang w:val="en-US" w:eastAsia="zh-CN"/>
        </w:rPr>
        <w:t>提质增效建设高标准公路网络</w:t>
      </w:r>
      <w:bookmarkEnd w:id="235"/>
    </w:p>
    <w:p w14:paraId="743D54A6">
      <w:pPr>
        <w:ind w:firstLine="560"/>
        <w:rPr>
          <w:rFonts w:hint="eastAsia" w:ascii="仿宋_GB2312" w:hAnsi="仿宋_GB2312" w:eastAsia="仿宋_GB2312" w:cs="仿宋_GB2312"/>
        </w:rPr>
      </w:pPr>
      <w:r>
        <w:rPr>
          <w:rFonts w:hint="eastAsia"/>
        </w:rPr>
        <w:t>构筑完善的高等级公路骨架网，至规划期末，</w:t>
      </w:r>
      <w:r>
        <w:rPr>
          <w:rFonts w:hint="eastAsia" w:ascii="仿宋_GB2312" w:hAnsi="仿宋_GB2312" w:eastAsia="仿宋_GB2312" w:cs="仿宋_GB2312"/>
        </w:rPr>
        <w:t>镇域规划形成“</w:t>
      </w:r>
      <w:r>
        <w:rPr>
          <w:rFonts w:hint="eastAsia" w:ascii="仿宋_GB2312" w:hAnsi="仿宋_GB2312" w:cs="仿宋_GB2312"/>
          <w:lang w:val="en-US" w:eastAsia="zh-CN"/>
        </w:rPr>
        <w:t>三</w:t>
      </w:r>
      <w:r>
        <w:rPr>
          <w:rFonts w:hint="eastAsia" w:ascii="仿宋_GB2312" w:hAnsi="仿宋_GB2312" w:eastAsia="仿宋_GB2312" w:cs="仿宋_GB2312"/>
        </w:rPr>
        <w:t>横</w:t>
      </w:r>
      <w:r>
        <w:rPr>
          <w:rFonts w:hint="eastAsia" w:ascii="仿宋_GB2312" w:hAnsi="仿宋_GB2312" w:cs="仿宋_GB2312"/>
          <w:lang w:val="en-US" w:eastAsia="zh-CN"/>
        </w:rPr>
        <w:t>两</w:t>
      </w:r>
      <w:r>
        <w:rPr>
          <w:rFonts w:hint="eastAsia" w:ascii="仿宋_GB2312" w:hAnsi="仿宋_GB2312" w:eastAsia="仿宋_GB2312" w:cs="仿宋_GB2312"/>
        </w:rPr>
        <w:t>纵”的对外交通格局</w:t>
      </w:r>
      <w:r>
        <w:rPr>
          <w:rFonts w:hint="eastAsia"/>
        </w:rPr>
        <w:t>，实现高等级公路互联互通、覆盖成网</w:t>
      </w:r>
      <w:r>
        <w:rPr>
          <w:rFonts w:hint="eastAsia"/>
          <w:lang w:eastAsia="zh-CN"/>
        </w:rPr>
        <w:t>。</w:t>
      </w:r>
    </w:p>
    <w:p w14:paraId="42F8266D">
      <w:pPr>
        <w:pStyle w:val="16"/>
        <w:ind w:firstLine="640"/>
        <w:rPr>
          <w:rFonts w:hint="eastAsia" w:ascii="仿宋_GB2312" w:hAnsi="仿宋_GB2312" w:eastAsia="仿宋_GB2312" w:cs="仿宋_GB2312"/>
        </w:rPr>
      </w:pPr>
      <w:r>
        <w:rPr>
          <w:rFonts w:hint="eastAsia" w:ascii="仿宋_GB2312" w:hAnsi="仿宋_GB2312" w:eastAsia="仿宋_GB2312" w:cs="仿宋_GB2312"/>
          <w:szCs w:val="32"/>
        </w:rPr>
        <w:t>以优化路网结构和提高服务水平为重点，推进普通国、省干线公路升级改造。至规划期末，普通国、省干线全部达到二级公路及以上技术标准，与高速公路、一级公路共同支撑县域乡镇1.5小时交通便捷可达</w:t>
      </w:r>
      <w:r>
        <w:rPr>
          <w:rFonts w:hint="eastAsia" w:ascii="仿宋_GB2312" w:hAnsi="仿宋_GB2312" w:eastAsia="仿宋_GB2312" w:cs="仿宋_GB2312"/>
        </w:rPr>
        <w:t>。</w:t>
      </w:r>
    </w:p>
    <w:p w14:paraId="7BF427D5">
      <w:pPr>
        <w:pStyle w:val="16"/>
        <w:ind w:firstLine="640"/>
        <w:rPr>
          <w:rFonts w:hint="eastAsia" w:ascii="仿宋_GB2312" w:hAnsi="仿宋_GB2312" w:eastAsia="仿宋_GB2312" w:cs="仿宋_GB2312"/>
        </w:rPr>
      </w:pPr>
      <w:r>
        <w:rPr>
          <w:rFonts w:hint="eastAsia" w:ascii="仿宋_GB2312" w:hAnsi="仿宋_GB2312" w:eastAsia="仿宋_GB2312" w:cs="仿宋_GB2312"/>
        </w:rPr>
        <w:t>延伸拓展农村公路网。推进“四好农村路”建设，实现全县各行政村通双车道四级公路比例达100%，推进较大人口规模的自然村通双车道硬化公路，提升农村公路覆盖广度和深度。</w:t>
      </w:r>
    </w:p>
    <w:p w14:paraId="77D88FEC">
      <w:pPr>
        <w:pStyle w:val="16"/>
        <w:ind w:firstLine="640"/>
      </w:pPr>
      <w:bookmarkStart w:id="236" w:name="_Hlk164960543"/>
      <w:r>
        <w:rPr>
          <w:rFonts w:hint="eastAsia"/>
        </w:rPr>
        <w:t>其中，公路建筑控制区的范围，从公路用地外缘起向外的距离标准为：国道不少于20米；省道不少于15米；属于高速公路的，公路建筑控制区的范围从公路用地外缘起向外的距离标准不少于30米。</w:t>
      </w:r>
    </w:p>
    <w:bookmarkEnd w:id="236"/>
    <w:p w14:paraId="7A909495">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237" w:name="_Toc12203"/>
      <w:bookmarkStart w:id="238" w:name="_Toc11350"/>
      <w:bookmarkStart w:id="239" w:name="_Toc150271690"/>
      <w:r>
        <w:rPr>
          <w:rFonts w:hint="eastAsia" w:ascii="楷体_GB2312" w:eastAsia="楷体_GB2312" w:cs="Times New Roman"/>
          <w:bCs/>
          <w:sz w:val="32"/>
          <w:szCs w:val="32"/>
          <w:lang w:val="en-US" w:eastAsia="zh-CN"/>
        </w:rPr>
        <w:t>突出特色打造高品质旅游交通</w:t>
      </w:r>
      <w:bookmarkEnd w:id="237"/>
      <w:bookmarkEnd w:id="238"/>
      <w:bookmarkEnd w:id="239"/>
    </w:p>
    <w:p w14:paraId="14075034">
      <w:pPr>
        <w:ind w:firstLine="560"/>
        <w:rPr>
          <w:rFonts w:hint="eastAsia" w:ascii="仿宋_GB2312" w:hAnsi="仿宋_GB2312" w:eastAsia="仿宋_GB2312" w:cs="仿宋_GB2312"/>
          <w:lang w:eastAsia="zh-CN"/>
        </w:rPr>
      </w:pPr>
      <w:r>
        <w:rPr>
          <w:rFonts w:hint="eastAsia" w:ascii="楷体_GB2312" w:hAnsi="楷体_GB2312" w:eastAsia="楷体_GB2312" w:cs="楷体_GB2312"/>
          <w:szCs w:val="32"/>
        </w:rPr>
        <w:t>突出特色，打造高品质</w:t>
      </w:r>
      <w:r>
        <w:rPr>
          <w:rFonts w:hint="eastAsia" w:ascii="楷体_GB2312" w:hAnsi="楷体_GB2312" w:eastAsia="楷体_GB2312" w:cs="楷体_GB2312"/>
          <w:szCs w:val="32"/>
          <w:lang w:val="en-US" w:eastAsia="zh-CN"/>
        </w:rPr>
        <w:t>旅游交通</w:t>
      </w:r>
      <w:r>
        <w:rPr>
          <w:rFonts w:hint="eastAsia" w:ascii="楷体_GB2312" w:hAnsi="楷体_GB2312" w:eastAsia="楷体_GB2312" w:cs="楷体_GB2312"/>
        </w:rPr>
        <w:t>。</w:t>
      </w:r>
      <w:r>
        <w:rPr>
          <w:rFonts w:hint="eastAsia" w:ascii="仿宋_GB2312" w:hAnsi="仿宋_GB2312" w:eastAsia="仿宋_GB2312" w:cs="仿宋_GB2312"/>
        </w:rPr>
        <w:t>镇域内合理设置自驾服务设施：自驾租赁维修点、加油站、电动车充电桩与自驾服务站</w:t>
      </w:r>
      <w:r>
        <w:rPr>
          <w:rFonts w:hint="eastAsia" w:ascii="仿宋_GB2312" w:hAnsi="仿宋_GB2312" w:cs="仿宋_GB2312"/>
          <w:lang w:eastAsia="zh-CN"/>
        </w:rPr>
        <w:t>；</w:t>
      </w:r>
      <w:r>
        <w:rPr>
          <w:rFonts w:hint="eastAsia" w:ascii="仿宋_GB2312" w:hAnsi="仿宋_GB2312" w:eastAsia="仿宋_GB2312" w:cs="仿宋_GB2312"/>
        </w:rPr>
        <w:t>开设西宁机场/火车站——黑马河旅游大巴专线，根据旺季淡季设计班次</w:t>
      </w:r>
      <w:r>
        <w:rPr>
          <w:rFonts w:hint="eastAsia" w:ascii="仿宋_GB2312" w:hAnsi="仿宋_GB2312" w:cs="仿宋_GB2312"/>
          <w:lang w:eastAsia="zh-CN"/>
        </w:rPr>
        <w:t>；</w:t>
      </w:r>
      <w:r>
        <w:rPr>
          <w:rFonts w:hint="eastAsia" w:ascii="仿宋_GB2312" w:hAnsi="仿宋_GB2312" w:eastAsia="仿宋_GB2312" w:cs="仿宋_GB2312"/>
        </w:rPr>
        <w:t>开设青海湖机场——黑马河旅游大巴专线，根据旺季淡季设计班次</w:t>
      </w:r>
      <w:r>
        <w:rPr>
          <w:rFonts w:hint="eastAsia" w:ascii="仿宋_GB2312" w:hAnsi="仿宋_GB2312" w:cs="仿宋_GB2312"/>
          <w:lang w:eastAsia="zh-CN"/>
        </w:rPr>
        <w:t>；</w:t>
      </w:r>
      <w:r>
        <w:rPr>
          <w:rFonts w:hint="eastAsia" w:ascii="仿宋_GB2312" w:hAnsi="仿宋_GB2312" w:eastAsia="仿宋_GB2312" w:cs="仿宋_GB2312"/>
        </w:rPr>
        <w:t>在镇域内合理设置骑行服务设施</w:t>
      </w:r>
      <w:r>
        <w:rPr>
          <w:rFonts w:hint="eastAsia" w:ascii="仿宋_GB2312" w:hAnsi="仿宋_GB2312" w:cs="仿宋_GB2312"/>
          <w:lang w:eastAsia="zh-CN"/>
        </w:rPr>
        <w:t>，</w:t>
      </w:r>
      <w:r>
        <w:rPr>
          <w:rFonts w:hint="eastAsia" w:ascii="仿宋_GB2312" w:hAnsi="仿宋_GB2312" w:cs="仿宋_GB2312"/>
          <w:lang w:val="en-US" w:eastAsia="zh-CN"/>
        </w:rPr>
        <w:t>如</w:t>
      </w:r>
      <w:r>
        <w:rPr>
          <w:rFonts w:hint="eastAsia" w:ascii="仿宋_GB2312" w:hAnsi="仿宋_GB2312" w:eastAsia="仿宋_GB2312" w:cs="仿宋_GB2312"/>
        </w:rPr>
        <w:t>自行车租赁维修点与骑友服务站，营造</w:t>
      </w:r>
      <w:r>
        <w:rPr>
          <w:rFonts w:hint="eastAsia" w:ascii="仿宋_GB2312" w:hAnsi="仿宋_GB2312" w:cs="仿宋_GB2312"/>
          <w:lang w:val="en-US" w:eastAsia="zh-CN"/>
        </w:rPr>
        <w:t>绿色健康出行</w:t>
      </w:r>
      <w:r>
        <w:rPr>
          <w:rFonts w:hint="eastAsia" w:ascii="仿宋_GB2312" w:hAnsi="仿宋_GB2312" w:eastAsia="仿宋_GB2312" w:cs="仿宋_GB2312"/>
        </w:rPr>
        <w:t>氛围</w:t>
      </w:r>
      <w:r>
        <w:rPr>
          <w:rFonts w:hint="eastAsia" w:ascii="仿宋_GB2312" w:hAnsi="仿宋_GB2312" w:eastAsia="仿宋_GB2312" w:cs="仿宋_GB2312"/>
          <w:lang w:eastAsia="zh-CN"/>
        </w:rPr>
        <w:t>。</w:t>
      </w:r>
    </w:p>
    <w:p w14:paraId="0E1A7FA6">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r>
        <w:rPr>
          <w:rFonts w:hint="eastAsia" w:ascii="楷体_GB2312" w:hAnsi="Times New Roman" w:eastAsia="楷体_GB2312" w:cs="Times New Roman"/>
          <w:bCs/>
          <w:sz w:val="32"/>
          <w:szCs w:val="32"/>
        </w:rPr>
        <w:t>多式协同完善现代化物流体系</w:t>
      </w:r>
    </w:p>
    <w:p w14:paraId="52205152">
      <w:pPr>
        <w:pStyle w:val="16"/>
        <w:ind w:firstLine="640"/>
        <w:rPr>
          <w:rFonts w:hint="eastAsia" w:ascii="仿宋_GB2312" w:hAnsi="仿宋_GB2312" w:eastAsia="仿宋_GB2312" w:cs="仿宋_GB2312"/>
          <w:szCs w:val="32"/>
        </w:rPr>
      </w:pPr>
      <w:r>
        <w:rPr>
          <w:rFonts w:hint="eastAsia" w:ascii="楷体_GB2312" w:hAnsi="楷体_GB2312" w:eastAsia="楷体_GB2312" w:cs="楷体_GB2312"/>
          <w:szCs w:val="32"/>
        </w:rPr>
        <w:t>构建完善的物流运输网络。</w:t>
      </w:r>
      <w:r>
        <w:rPr>
          <w:rFonts w:hint="eastAsia" w:ascii="仿宋_GB2312" w:hAnsi="仿宋_GB2312" w:eastAsia="仿宋_GB2312" w:cs="仿宋_GB2312"/>
          <w:szCs w:val="32"/>
        </w:rPr>
        <w:t>结合</w:t>
      </w:r>
      <w:r>
        <w:rPr>
          <w:rFonts w:hint="eastAsia" w:ascii="仿宋_GB2312" w:hAnsi="仿宋_GB2312" w:cs="仿宋_GB2312"/>
          <w:szCs w:val="32"/>
          <w:lang w:val="en-US" w:eastAsia="zh-CN"/>
        </w:rPr>
        <w:t>县域</w:t>
      </w:r>
      <w:r>
        <w:rPr>
          <w:rFonts w:hint="eastAsia" w:ascii="仿宋_GB2312" w:hAnsi="仿宋_GB2312" w:eastAsia="仿宋_GB2312" w:cs="仿宋_GB2312"/>
          <w:szCs w:val="32"/>
        </w:rPr>
        <w:t>城镇物流体系</w:t>
      </w:r>
      <w:r>
        <w:rPr>
          <w:rFonts w:hint="eastAsia" w:ascii="仿宋_GB2312" w:hAnsi="仿宋_GB2312" w:cs="仿宋_GB2312"/>
          <w:szCs w:val="32"/>
          <w:lang w:val="en-US" w:eastAsia="zh-CN"/>
        </w:rPr>
        <w:t>规划，在镇区</w:t>
      </w:r>
      <w:r>
        <w:rPr>
          <w:rFonts w:hint="eastAsia" w:ascii="仿宋_GB2312" w:hAnsi="仿宋_GB2312" w:eastAsia="仿宋_GB2312" w:cs="仿宋_GB2312"/>
          <w:szCs w:val="32"/>
        </w:rPr>
        <w:t>设置一处物流集散点。依托覆盖</w:t>
      </w:r>
      <w:r>
        <w:rPr>
          <w:rFonts w:hint="eastAsia" w:ascii="仿宋_GB2312" w:hAnsi="仿宋_GB2312" w:cs="仿宋_GB2312"/>
          <w:szCs w:val="32"/>
          <w:lang w:eastAsia="zh-CN"/>
        </w:rPr>
        <w:t>镇</w:t>
      </w:r>
      <w:r>
        <w:rPr>
          <w:rFonts w:hint="eastAsia" w:ascii="仿宋_GB2312" w:hAnsi="仿宋_GB2312" w:eastAsia="仿宋_GB2312" w:cs="仿宋_GB2312"/>
          <w:szCs w:val="32"/>
        </w:rPr>
        <w:t>域的综合立体交通网，构建</w:t>
      </w:r>
      <w:r>
        <w:rPr>
          <w:rFonts w:hint="eastAsia" w:ascii="仿宋_GB2312" w:hAnsi="仿宋_GB2312" w:cs="仿宋_GB2312"/>
          <w:szCs w:val="32"/>
          <w:lang w:val="en-US" w:eastAsia="zh-CN"/>
        </w:rPr>
        <w:t>公路为主</w:t>
      </w:r>
      <w:r>
        <w:rPr>
          <w:rFonts w:hint="eastAsia" w:ascii="仿宋_GB2312" w:hAnsi="仿宋_GB2312" w:eastAsia="仿宋_GB2312" w:cs="仿宋_GB2312"/>
          <w:szCs w:val="32"/>
        </w:rPr>
        <w:t>的物流运输网络。</w:t>
      </w:r>
    </w:p>
    <w:p w14:paraId="22845206">
      <w:pPr>
        <w:rPr>
          <w:rFonts w:hint="default" w:ascii="仿宋_GB2312" w:hAnsi="仿宋_GB2312" w:eastAsia="仿宋_GB2312" w:cs="仿宋_GB2312"/>
          <w:szCs w:val="32"/>
          <w:lang w:val="en-US" w:eastAsia="zh-CN"/>
        </w:rPr>
      </w:pPr>
      <w:r>
        <w:rPr>
          <w:rFonts w:hint="eastAsia" w:ascii="楷体_GB2312" w:hAnsi="楷体_GB2312" w:eastAsia="楷体_GB2312" w:cs="楷体_GB2312"/>
          <w:szCs w:val="32"/>
        </w:rPr>
        <w:t>完善乡村物流配送网络。</w:t>
      </w:r>
      <w:r>
        <w:rPr>
          <w:rFonts w:hint="eastAsia" w:ascii="仿宋_GB2312" w:hAnsi="仿宋_GB2312" w:eastAsia="仿宋_GB2312" w:cs="仿宋_GB2312"/>
          <w:szCs w:val="32"/>
        </w:rPr>
        <w:t>加快推进农村生产生活资料配送网络建设，完善乡</w:t>
      </w:r>
      <w:r>
        <w:rPr>
          <w:rFonts w:hint="eastAsia" w:ascii="仿宋_GB2312" w:hAnsi="仿宋_GB2312" w:cs="仿宋_GB2312"/>
          <w:szCs w:val="32"/>
          <w:lang w:eastAsia="zh-CN"/>
        </w:rPr>
        <w:t>（</w:t>
      </w:r>
      <w:r>
        <w:rPr>
          <w:rFonts w:hint="eastAsia" w:ascii="仿宋_GB2312" w:hAnsi="仿宋_GB2312" w:cs="仿宋_GB2312"/>
          <w:szCs w:val="32"/>
          <w:lang w:val="en-US" w:eastAsia="zh-CN"/>
        </w:rPr>
        <w:t>镇</w:t>
      </w:r>
      <w:r>
        <w:rPr>
          <w:rFonts w:hint="eastAsia" w:ascii="仿宋_GB2312" w:hAnsi="仿宋_GB2312" w:cs="仿宋_GB2312"/>
          <w:szCs w:val="32"/>
          <w:lang w:eastAsia="zh-CN"/>
        </w:rPr>
        <w:t>）</w:t>
      </w:r>
      <w:r>
        <w:rPr>
          <w:rFonts w:hint="eastAsia" w:ascii="仿宋_GB2312" w:hAnsi="仿宋_GB2312" w:eastAsia="仿宋_GB2312" w:cs="仿宋_GB2312"/>
          <w:szCs w:val="32"/>
        </w:rPr>
        <w:t>、村</w:t>
      </w:r>
      <w:r>
        <w:rPr>
          <w:rFonts w:hint="eastAsia" w:ascii="仿宋_GB2312" w:hAnsi="仿宋_GB2312" w:cs="仿宋_GB2312"/>
          <w:szCs w:val="32"/>
          <w:lang w:val="en-US" w:eastAsia="zh-CN"/>
        </w:rPr>
        <w:t>两</w:t>
      </w:r>
      <w:r>
        <w:rPr>
          <w:rFonts w:hint="eastAsia" w:ascii="仿宋_GB2312" w:hAnsi="仿宋_GB2312" w:eastAsia="仿宋_GB2312" w:cs="仿宋_GB2312"/>
          <w:szCs w:val="32"/>
        </w:rPr>
        <w:t>级农村物流配送体系，有效解决乡村物流“最后一公里”问题。鼓励邮政和快递服务网点合作，推动客运班线代运货邮小件，实现优势互补，拓展服务范围。</w:t>
      </w:r>
      <w:r>
        <w:rPr>
          <w:rFonts w:hint="eastAsia" w:ascii="仿宋_GB2312" w:hAnsi="仿宋_GB2312" w:cs="仿宋_GB2312"/>
          <w:szCs w:val="32"/>
          <w:lang w:val="en-US" w:eastAsia="zh-CN"/>
        </w:rPr>
        <w:t>预留低空经济发展用地，推动低空经济产业链的集聚与发展。</w:t>
      </w:r>
    </w:p>
    <w:p w14:paraId="022C4BDA">
      <w:pPr>
        <w:pStyle w:val="3"/>
        <w:tabs>
          <w:tab w:val="left" w:pos="353"/>
        </w:tabs>
        <w:spacing w:before="156" w:beforeLines="50" w:after="156" w:afterLines="50" w:line="520" w:lineRule="exact"/>
      </w:pPr>
      <w:bookmarkStart w:id="240" w:name="_Toc8294"/>
      <w:bookmarkStart w:id="241" w:name="_Toc12506"/>
      <w:r>
        <w:rPr>
          <w:rFonts w:hint="eastAsia" w:ascii="Arial" w:hAnsi="Arial" w:eastAsia="黑体" w:cs="Times New Roman"/>
          <w:b w:val="0"/>
          <w:lang w:val="en-US" w:eastAsia="zh-CN"/>
        </w:rPr>
        <w:t>构建安全可靠水利基础设施网络</w:t>
      </w:r>
      <w:bookmarkEnd w:id="240"/>
      <w:bookmarkEnd w:id="241"/>
    </w:p>
    <w:p w14:paraId="136517A6">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242" w:name="_Toc20284"/>
      <w:bookmarkStart w:id="243" w:name="_Toc16898"/>
      <w:r>
        <w:rPr>
          <w:rFonts w:hint="eastAsia" w:ascii="楷体_GB2312" w:hAnsi="Times New Roman" w:eastAsia="楷体_GB2312" w:cs="Times New Roman"/>
          <w:bCs/>
          <w:sz w:val="32"/>
          <w:szCs w:val="32"/>
        </w:rPr>
        <w:t>镇村水利工程</w:t>
      </w:r>
      <w:bookmarkEnd w:id="242"/>
      <w:bookmarkEnd w:id="243"/>
    </w:p>
    <w:p w14:paraId="61F94441">
      <w:pPr>
        <w:ind w:firstLine="560"/>
        <w:rPr>
          <w:rFonts w:hint="eastAsia"/>
        </w:rPr>
      </w:pPr>
      <w:r>
        <w:rPr>
          <w:rFonts w:hint="eastAsia"/>
        </w:rPr>
        <w:t>保障农牧区民生水利工程</w:t>
      </w:r>
      <w:r>
        <w:t>用地需求</w:t>
      </w:r>
      <w:r>
        <w:rPr>
          <w:rFonts w:hint="eastAsia"/>
        </w:rPr>
        <w:t>，提高农村供水保障水平。支撑共和县农村供水保障工程建设，加快农村牧区供水提档升级，在节约集约、合理控制农村供水项目用地规模的基础上，充分保障农村饮水安全工程建设用地。</w:t>
      </w:r>
    </w:p>
    <w:p w14:paraId="4DB9797A">
      <w:pPr>
        <w:ind w:firstLine="560"/>
        <w:rPr>
          <w:rFonts w:hint="eastAsia" w:ascii="仿宋_GB2312" w:hAnsi="仿宋_GB2312" w:eastAsia="仿宋_GB2312" w:cs="仿宋_GB2312"/>
        </w:rPr>
      </w:pPr>
      <w:r>
        <w:rPr>
          <w:rFonts w:hint="eastAsia" w:ascii="仿宋_GB2312" w:hAnsi="仿宋_GB2312" w:eastAsia="仿宋_GB2312" w:cs="仿宋_GB2312"/>
        </w:rPr>
        <w:t>黑马河镇属于环湖片区，应以生态保护与自然修复并举，巩固和扩大生态保护建设成果，结合生态移民搬迁、牧民定居，实施人畜饮水标准化建设，提高饮水安全保障程度；不断完善防洪减灾体系，确保防洪安全。加快推进布哈河引调水、环湖五镇供水等重点水源和骨干工程建设，建立稳定可靠、配置高效的水资源配置体系，提高乡村居民供水保障能力。</w:t>
      </w:r>
    </w:p>
    <w:p w14:paraId="5841EFEC">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244" w:name="_Toc25052"/>
      <w:r>
        <w:rPr>
          <w:rFonts w:hint="eastAsia" w:ascii="楷体_GB2312" w:hAnsi="Times New Roman" w:eastAsia="楷体_GB2312" w:cs="Times New Roman"/>
          <w:bCs/>
          <w:sz w:val="32"/>
          <w:szCs w:val="32"/>
        </w:rPr>
        <w:t>流域综合治理工程</w:t>
      </w:r>
      <w:bookmarkEnd w:id="244"/>
    </w:p>
    <w:p w14:paraId="1F69597B">
      <w:pPr>
        <w:ind w:firstLine="560"/>
        <w:rPr>
          <w:rFonts w:hint="eastAsia" w:ascii="仿宋_GB2312" w:hAnsi="仿宋_GB2312" w:eastAsia="仿宋_GB2312" w:cs="仿宋_GB2312"/>
        </w:rPr>
      </w:pPr>
      <w:r>
        <w:rPr>
          <w:rFonts w:hint="eastAsia" w:ascii="仿宋_GB2312" w:hAnsi="仿宋_GB2312" w:eastAsia="仿宋_GB2312" w:cs="仿宋_GB2312"/>
        </w:rPr>
        <w:t>统筹推进小流域综合治理，以小流域为单元，完善流域水土流失综合防护体系，开展生态清洁小流域建设，重点保障</w:t>
      </w:r>
      <w:r>
        <w:rPr>
          <w:rFonts w:hint="eastAsia"/>
          <w:bCs/>
          <w:lang w:val="en-US" w:eastAsia="zh-CN"/>
        </w:rPr>
        <w:t>黑马河、智海确河、然却乎沟、切如沟等</w:t>
      </w:r>
      <w:r>
        <w:rPr>
          <w:rFonts w:hint="eastAsia" w:ascii="仿宋_GB2312" w:hAnsi="仿宋_GB2312" w:eastAsia="仿宋_GB2312" w:cs="仿宋_GB2312"/>
        </w:rPr>
        <w:t>小流域生态治理综合工程。构建城镇及其周边小流域生态优美、生活宜居的生态环境。</w:t>
      </w:r>
    </w:p>
    <w:p w14:paraId="45D3508F">
      <w:pPr>
        <w:pStyle w:val="3"/>
        <w:tabs>
          <w:tab w:val="left" w:pos="353"/>
        </w:tabs>
        <w:spacing w:before="156" w:beforeLines="50" w:after="156" w:afterLines="50" w:line="520" w:lineRule="exact"/>
        <w:rPr>
          <w:rFonts w:hint="default" w:ascii="黑体" w:hAnsi="黑体"/>
          <w:szCs w:val="36"/>
          <w:lang w:val="en-US" w:eastAsia="zh-CN"/>
        </w:rPr>
      </w:pPr>
      <w:bookmarkStart w:id="245" w:name="_Toc29614"/>
      <w:bookmarkStart w:id="246" w:name="_Toc1238"/>
      <w:r>
        <w:rPr>
          <w:rFonts w:hint="eastAsia" w:ascii="黑体" w:hAnsi="黑体"/>
          <w:szCs w:val="36"/>
          <w:lang w:val="en-US" w:eastAsia="zh-CN"/>
        </w:rPr>
        <w:t>能源利用规划</w:t>
      </w:r>
      <w:bookmarkEnd w:id="245"/>
      <w:bookmarkEnd w:id="246"/>
    </w:p>
    <w:p w14:paraId="40A1EC79">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247" w:name="_Toc21030"/>
      <w:bookmarkStart w:id="248" w:name="_Toc12398"/>
      <w:r>
        <w:rPr>
          <w:rFonts w:hint="eastAsia" w:ascii="楷体_GB2312" w:hAnsi="Times New Roman" w:eastAsia="楷体_GB2312" w:cs="Times New Roman"/>
          <w:bCs/>
          <w:sz w:val="32"/>
          <w:szCs w:val="32"/>
        </w:rPr>
        <w:t>能源</w:t>
      </w:r>
      <w:bookmarkEnd w:id="247"/>
      <w:r>
        <w:rPr>
          <w:rFonts w:hint="eastAsia" w:ascii="楷体_GB2312" w:hAnsi="Times New Roman" w:eastAsia="楷体_GB2312" w:cs="Times New Roman"/>
          <w:bCs/>
          <w:sz w:val="32"/>
          <w:szCs w:val="32"/>
          <w:lang w:val="en-US" w:eastAsia="zh-CN"/>
        </w:rPr>
        <w:t>利用</w:t>
      </w:r>
      <w:bookmarkEnd w:id="248"/>
    </w:p>
    <w:p w14:paraId="171844A7">
      <w:pPr>
        <w:ind w:firstLine="560"/>
        <w:rPr>
          <w:rFonts w:hint="eastAsia" w:ascii="仿宋_GB2312" w:hAnsi="仿宋_GB2312" w:eastAsia="仿宋_GB2312" w:cs="仿宋_GB2312"/>
        </w:rPr>
      </w:pPr>
      <w:r>
        <w:rPr>
          <w:rFonts w:hint="eastAsia" w:ascii="仿宋_GB2312" w:hAnsi="仿宋_GB2312" w:eastAsia="仿宋_GB2312" w:cs="仿宋_GB2312"/>
        </w:rPr>
        <w:t>大力倡导绿色价值观，坚持节约优先理念，树立节约集约循环利用的资源观，加快推动生产方式、生活方式绿色化。</w:t>
      </w:r>
    </w:p>
    <w:p w14:paraId="2419BBB0">
      <w:pPr>
        <w:ind w:firstLine="560"/>
        <w:rPr>
          <w:rFonts w:hint="eastAsia" w:ascii="仿宋_GB2312" w:hAnsi="仿宋_GB2312" w:eastAsia="仿宋_GB2312" w:cs="仿宋_GB2312"/>
        </w:rPr>
      </w:pPr>
      <w:r>
        <w:rPr>
          <w:rFonts w:hint="eastAsia" w:ascii="仿宋_GB2312" w:hAnsi="仿宋_GB2312" w:eastAsia="仿宋_GB2312" w:cs="仿宋_GB2312"/>
        </w:rPr>
        <w:t>探索“清洁能源+生态+畜牧业+惠民+旅游”发展模式，重点开展清洁能源与改善生态环境、清洁能源与精准扶贫和清洁能源发电区域全覆盖的示范工作，实现清洁能源高效应用，打造清洁能源可持续利用示范样板。完善清洁能源可持续利用服务体系推动清洁能源产业科技服务平台建设，建设清洁能源智能化服务体系。清洁能源市场化、产业化，黑马河镇采取清洁供暖工程和电采暖工程。</w:t>
      </w:r>
    </w:p>
    <w:p w14:paraId="0587CE5A">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能源用地</w:t>
      </w:r>
      <w:r>
        <w:rPr>
          <w:rFonts w:hint="eastAsia" w:ascii="楷体_GB2312" w:hAnsi="Times New Roman" w:eastAsia="楷体_GB2312" w:cs="Times New Roman"/>
          <w:bCs/>
          <w:sz w:val="32"/>
          <w:szCs w:val="32"/>
          <w:lang w:val="en-US" w:eastAsia="zh-CN"/>
        </w:rPr>
        <w:t>引导与管控</w:t>
      </w:r>
    </w:p>
    <w:p w14:paraId="22B6E9CB">
      <w:pPr>
        <w:widowControl w:val="0"/>
        <w:spacing w:after="120" w:line="600" w:lineRule="exact"/>
        <w:ind w:firstLine="64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综合太阳能资源分布、风能资源分布、生态保护红线分布、耕地和永久基本农田分布、草地资源分布及沙地裸土地裸岩石硕地分布、沙地禁封区分布等因素，并结合共和县清洁能源发展规划可利用清洁能源用地。</w:t>
      </w:r>
    </w:p>
    <w:p w14:paraId="6DDFE387">
      <w:pPr>
        <w:ind w:firstLine="560"/>
        <w:rPr>
          <w:rFonts w:hint="eastAsia" w:ascii="仿宋_GB2312" w:hAnsi="仿宋_GB2312" w:eastAsia="仿宋_GB2312" w:cs="仿宋_GB2312"/>
        </w:rPr>
      </w:pPr>
      <w:r>
        <w:rPr>
          <w:rFonts w:hint="eastAsia" w:ascii="仿宋_GB2312" w:hAnsi="仿宋_GB2312" w:eastAsia="仿宋_GB2312" w:cs="仿宋_GB2312"/>
          <w:kern w:val="2"/>
          <w:sz w:val="32"/>
          <w:szCs w:val="32"/>
          <w:lang w:val="en-US" w:eastAsia="zh-CN" w:bidi="ar-SA"/>
        </w:rPr>
        <w:t>新能源项目选址应当避让耕地、生态保护红线、历史文化保护线、特殊自然景观价值和文化标识区域、天然林地、国家沙化土地封禁保护区（光伏发电项目输出线路允许穿越国家沙化土地封禁保护区）等；涉及自然保护地的，还应当符合自然保护地相关法规和政策要求。新建、扩建光伏发电项目，一律不得占用永久基本农田、基本草原、Ⅰ级保护林地。清洁能源用地引导线以外不宜布局集中分布的风电、光电项目，新能源项目立项、勘察设计阶段，可根据实际情况修改控制引导线边界。项目落地原则上按照优先发展区、引导发展区、控制引导区的优先顺序进行选址。项目永久性建(构)筑、光伏(风电)阵列基座和硬化土地等改变原土地形态的用地部分配置年度新增建设用地计划指标，并依法按建设用地办理手续</w:t>
      </w:r>
      <w:r>
        <w:rPr>
          <w:rFonts w:hint="eastAsia" w:ascii="仿宋_GB2312" w:hAnsi="仿宋_GB2312" w:cs="仿宋_GB2312"/>
          <w:kern w:val="2"/>
          <w:sz w:val="32"/>
          <w:szCs w:val="32"/>
          <w:lang w:val="en-US" w:eastAsia="zh-CN" w:bidi="ar-SA"/>
        </w:rPr>
        <w:t>。</w:t>
      </w:r>
    </w:p>
    <w:p w14:paraId="2974918F">
      <w:pPr>
        <w:pStyle w:val="3"/>
        <w:tabs>
          <w:tab w:val="left" w:pos="353"/>
        </w:tabs>
        <w:spacing w:before="156" w:beforeLines="50" w:after="156" w:afterLines="50" w:line="520" w:lineRule="exact"/>
        <w:rPr>
          <w:rFonts w:hint="eastAsia" w:ascii="黑体" w:hAnsi="黑体"/>
          <w:szCs w:val="36"/>
          <w:lang w:val="en-US" w:eastAsia="zh-CN"/>
        </w:rPr>
      </w:pPr>
      <w:bookmarkStart w:id="249" w:name="_Toc20347"/>
      <w:bookmarkStart w:id="250" w:name="_Toc10341"/>
      <w:r>
        <w:rPr>
          <w:rFonts w:hint="eastAsia" w:ascii="Arial" w:hAnsi="Arial" w:eastAsia="黑体" w:cs="Times New Roman"/>
          <w:b w:val="0"/>
          <w:lang w:val="en-US" w:eastAsia="zh-CN"/>
        </w:rPr>
        <w:t>系统布局新型基础设施</w:t>
      </w:r>
      <w:bookmarkEnd w:id="249"/>
      <w:bookmarkEnd w:id="250"/>
    </w:p>
    <w:p w14:paraId="18C59521">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251" w:name="_Toc27097"/>
      <w:bookmarkStart w:id="252" w:name="_Toc5955"/>
      <w:r>
        <w:rPr>
          <w:rFonts w:hint="eastAsia" w:ascii="楷体_GB2312" w:eastAsia="楷体_GB2312" w:cs="Times New Roman"/>
          <w:bCs/>
          <w:sz w:val="32"/>
          <w:szCs w:val="32"/>
          <w:lang w:eastAsia="zh-CN"/>
        </w:rPr>
        <w:t>给</w:t>
      </w:r>
      <w:r>
        <w:rPr>
          <w:rFonts w:hint="eastAsia" w:ascii="楷体_GB2312" w:hAnsi="Times New Roman" w:eastAsia="楷体_GB2312" w:cs="Times New Roman"/>
          <w:bCs/>
          <w:sz w:val="32"/>
          <w:szCs w:val="32"/>
          <w:lang w:eastAsia="zh-CN"/>
        </w:rPr>
        <w:t>水</w:t>
      </w:r>
      <w:r>
        <w:rPr>
          <w:rFonts w:hint="eastAsia" w:ascii="楷体_GB2312" w:hAnsi="Times New Roman" w:eastAsia="楷体_GB2312" w:cs="Times New Roman"/>
          <w:bCs/>
          <w:sz w:val="32"/>
          <w:szCs w:val="32"/>
        </w:rPr>
        <w:t>工程</w:t>
      </w:r>
      <w:bookmarkEnd w:id="251"/>
      <w:bookmarkEnd w:id="252"/>
    </w:p>
    <w:p w14:paraId="057AD8E8">
      <w:pPr>
        <w:ind w:firstLine="560"/>
        <w:rPr>
          <w:rFonts w:hint="default" w:ascii="仿宋_GB2312" w:hAnsi="仿宋_GB2312" w:eastAsia="仿宋_GB2312" w:cs="仿宋_GB2312"/>
          <w:lang w:val="en-US" w:eastAsia="zh-CN"/>
        </w:rPr>
      </w:pPr>
      <w:r>
        <w:rPr>
          <w:rFonts w:hint="eastAsia" w:ascii="楷体_GB2312" w:hAnsi="楷体_GB2312" w:eastAsia="楷体_GB2312" w:cs="楷体_GB2312"/>
          <w:szCs w:val="32"/>
        </w:rPr>
        <w:t>多水源保障供水安全。</w:t>
      </w:r>
      <w:r>
        <w:rPr>
          <w:rFonts w:hint="eastAsia" w:ascii="仿宋_GB2312" w:hAnsi="仿宋_GB2312" w:eastAsia="仿宋_GB2312" w:cs="仿宋_GB2312"/>
        </w:rPr>
        <w:t>镇域用水以地下水为主的方式供水。镇域供水系统按适度集中供水原则，近期充分利用现状供水设施，逐步创造条件实行区域</w:t>
      </w:r>
      <w:r>
        <w:rPr>
          <w:rFonts w:hint="eastAsia" w:ascii="仿宋_GB2312" w:hAnsi="仿宋_GB2312" w:eastAsia="仿宋_GB2312" w:cs="仿宋_GB2312"/>
          <w:lang w:eastAsia="zh-CN"/>
        </w:rPr>
        <w:t>供水</w:t>
      </w:r>
      <w:r>
        <w:rPr>
          <w:rFonts w:hint="eastAsia" w:ascii="仿宋_GB2312" w:hAnsi="仿宋_GB2312" w:eastAsia="仿宋_GB2312" w:cs="仿宋_GB2312"/>
        </w:rPr>
        <w:t>管网联网，实现区域供水。</w:t>
      </w:r>
      <w:r>
        <w:rPr>
          <w:rFonts w:hint="eastAsia" w:ascii="仿宋_GB2312" w:hAnsi="仿宋_GB2312" w:cs="仿宋_GB2312"/>
          <w:lang w:val="en-US" w:eastAsia="zh-CN"/>
        </w:rPr>
        <w:t>远期通过布哈河引水，推进环湖五镇供水骨干工程，建立稳定可靠、配置高效的水资源配置体系，提高乡村供水保障能力。</w:t>
      </w:r>
    </w:p>
    <w:p w14:paraId="2E6CE9A9">
      <w:pPr>
        <w:ind w:firstLine="560"/>
        <w:rPr>
          <w:rFonts w:hint="default" w:ascii="仿宋_GB2312" w:hAnsi="仿宋_GB2312" w:eastAsia="仿宋_GB2312" w:cs="仿宋_GB2312"/>
          <w:lang w:val="en-US" w:eastAsia="zh-CN"/>
        </w:rPr>
      </w:pPr>
      <w:r>
        <w:rPr>
          <w:rFonts w:hint="eastAsia" w:ascii="楷体_GB2312" w:hAnsi="楷体_GB2312" w:eastAsia="楷体_GB2312" w:cs="楷体_GB2312"/>
          <w:szCs w:val="32"/>
        </w:rPr>
        <w:t>保障城乡供水基础设施建设。</w:t>
      </w:r>
      <w:r>
        <w:rPr>
          <w:rFonts w:hint="eastAsia"/>
          <w:bCs/>
        </w:rPr>
        <w:t>提升</w:t>
      </w:r>
      <w:r>
        <w:rPr>
          <w:rFonts w:hint="eastAsia"/>
          <w:bCs/>
          <w:lang w:val="en-US" w:eastAsia="zh-CN"/>
        </w:rPr>
        <w:t>镇</w:t>
      </w:r>
      <w:r>
        <w:rPr>
          <w:rFonts w:hint="eastAsia"/>
          <w:bCs/>
        </w:rPr>
        <w:t>区供水服务保障水平，保障水厂扩建用地；巩固完善乡镇供水工程，保障乡镇供水工程新增建设用地需求</w:t>
      </w:r>
      <w:r>
        <w:rPr>
          <w:rFonts w:hint="eastAsia"/>
          <w:bCs/>
          <w:lang w:eastAsia="zh-CN"/>
        </w:rPr>
        <w:t>。</w:t>
      </w:r>
      <w:r>
        <w:rPr>
          <w:rFonts w:hint="eastAsia" w:ascii="仿宋_GB2312" w:hAnsi="仿宋_GB2312" w:eastAsia="仿宋_GB2312" w:cs="仿宋_GB2312"/>
          <w:szCs w:val="32"/>
        </w:rPr>
        <w:t>村庄按照实际需求设置小型给水设施，相邻较近的村庄可以共建供水设施</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保障供水保证率在规划目标年达92%以上。</w:t>
      </w:r>
    </w:p>
    <w:p w14:paraId="163A0B91">
      <w:pPr>
        <w:ind w:firstLine="560"/>
        <w:rPr>
          <w:rFonts w:hint="eastAsia" w:ascii="仿宋_GB2312" w:hAnsi="仿宋_GB2312" w:eastAsia="仿宋_GB2312" w:cs="仿宋_GB2312"/>
        </w:rPr>
      </w:pPr>
      <w:r>
        <w:rPr>
          <w:rFonts w:hint="eastAsia" w:ascii="楷体_GB2312" w:hAnsi="楷体_GB2312" w:eastAsia="楷体_GB2312" w:cs="楷体_GB2312"/>
          <w:szCs w:val="32"/>
          <w:lang w:val="en-US" w:eastAsia="zh-CN"/>
        </w:rPr>
        <w:t>水源保护。</w:t>
      </w:r>
      <w:r>
        <w:rPr>
          <w:rFonts w:hint="eastAsia" w:ascii="仿宋_GB2312" w:hAnsi="仿宋_GB2312" w:eastAsia="仿宋_GB2312" w:cs="仿宋_GB2312"/>
        </w:rPr>
        <w:t>对于以地下水为水源的供水工程，水井周围30米范围内，不得修建渗水厕所渗水坑，不得堆放垃圾、</w:t>
      </w:r>
      <w:r>
        <w:rPr>
          <w:rFonts w:hint="eastAsia" w:ascii="仿宋_GB2312" w:hAnsi="仿宋_GB2312" w:eastAsia="仿宋_GB2312" w:cs="仿宋_GB2312"/>
          <w:lang w:eastAsia="zh-CN"/>
        </w:rPr>
        <w:t>粪</w:t>
      </w:r>
      <w:r>
        <w:rPr>
          <w:rFonts w:hint="eastAsia" w:ascii="仿宋_GB2312" w:hAnsi="仿宋_GB2312" w:eastAsia="仿宋_GB2312" w:cs="仿宋_GB2312"/>
        </w:rPr>
        <w:t>便、废渣或铺设污水管道，应保持良好的卫生状况，并应建立卫生检查制度</w:t>
      </w:r>
      <w:r>
        <w:rPr>
          <w:rFonts w:hint="eastAsia" w:ascii="仿宋_GB2312" w:hAnsi="仿宋_GB2312" w:cs="仿宋_GB2312"/>
          <w:lang w:eastAsia="zh-CN"/>
        </w:rPr>
        <w:t>，</w:t>
      </w:r>
      <w:r>
        <w:rPr>
          <w:rFonts w:hint="eastAsia"/>
          <w:bCs/>
        </w:rPr>
        <w:t>确保饮用水水源地水质稳定达标</w:t>
      </w:r>
      <w:r>
        <w:rPr>
          <w:rFonts w:hint="eastAsia" w:ascii="仿宋_GB2312" w:hAnsi="仿宋_GB2312" w:eastAsia="仿宋_GB2312" w:cs="仿宋_GB2312"/>
        </w:rPr>
        <w:t>。</w:t>
      </w:r>
    </w:p>
    <w:p w14:paraId="63C13F38">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eastAsia="zh-CN"/>
        </w:rPr>
      </w:pPr>
      <w:bookmarkStart w:id="253" w:name="_Toc1994"/>
      <w:bookmarkStart w:id="254" w:name="_Toc3980"/>
      <w:r>
        <w:rPr>
          <w:rFonts w:hint="eastAsia" w:ascii="楷体_GB2312" w:eastAsia="楷体_GB2312" w:cs="Times New Roman"/>
          <w:bCs/>
          <w:sz w:val="32"/>
          <w:szCs w:val="32"/>
          <w:lang w:eastAsia="zh-CN"/>
        </w:rPr>
        <w:t>排水工程</w:t>
      </w:r>
      <w:bookmarkEnd w:id="253"/>
      <w:bookmarkEnd w:id="254"/>
    </w:p>
    <w:p w14:paraId="5D345997">
      <w:pPr>
        <w:ind w:firstLine="560"/>
        <w:rPr>
          <w:rFonts w:hint="eastAsia" w:ascii="仿宋_GB2312" w:hAnsi="仿宋_GB2312" w:eastAsia="仿宋_GB2312" w:cs="仿宋_GB2312"/>
        </w:rPr>
      </w:pPr>
      <w:r>
        <w:rPr>
          <w:rFonts w:hint="eastAsia" w:ascii="楷体_GB2312" w:hAnsi="楷体_GB2312" w:eastAsia="楷体_GB2312" w:cs="楷体_GB2312"/>
          <w:szCs w:val="32"/>
        </w:rPr>
        <w:t>保障城乡污水处理设施建设</w:t>
      </w:r>
      <w:r>
        <w:rPr>
          <w:rFonts w:hint="eastAsia" w:ascii="楷体_GB2312" w:hAnsi="楷体_GB2312" w:eastAsia="楷体_GB2312" w:cs="楷体_GB2312"/>
          <w:bCs/>
        </w:rPr>
        <w:t>。</w:t>
      </w:r>
      <w:r>
        <w:rPr>
          <w:rFonts w:hint="eastAsia"/>
          <w:bCs/>
        </w:rPr>
        <w:t>保障</w:t>
      </w:r>
      <w:r>
        <w:rPr>
          <w:rFonts w:hint="eastAsia"/>
          <w:bCs/>
          <w:lang w:val="en-US" w:eastAsia="zh-CN"/>
        </w:rPr>
        <w:t>黑马河镇区</w:t>
      </w:r>
      <w:r>
        <w:rPr>
          <w:rFonts w:hint="eastAsia"/>
          <w:bCs/>
        </w:rPr>
        <w:t>污水处理设施新增建设用地需求（含污泥无害化处理设施、尾水深度净化及再生利用设施用地）。推进</w:t>
      </w:r>
      <w:r>
        <w:rPr>
          <w:rFonts w:hint="eastAsia"/>
          <w:bCs/>
          <w:lang w:val="en-US" w:eastAsia="zh-CN"/>
        </w:rPr>
        <w:t>镇域</w:t>
      </w:r>
      <w:r>
        <w:rPr>
          <w:rFonts w:hint="eastAsia"/>
          <w:bCs/>
        </w:rPr>
        <w:t>污水处理设施全覆盖，保障环湖地区</w:t>
      </w:r>
      <w:r>
        <w:rPr>
          <w:rFonts w:hint="eastAsia"/>
          <w:bCs/>
          <w:lang w:val="en-US" w:eastAsia="zh-CN"/>
        </w:rPr>
        <w:t>村庄</w:t>
      </w:r>
      <w:r>
        <w:rPr>
          <w:rFonts w:hint="eastAsia"/>
          <w:bCs/>
        </w:rPr>
        <w:t>污水处理</w:t>
      </w:r>
      <w:r>
        <w:rPr>
          <w:rFonts w:hint="eastAsia"/>
          <w:bCs/>
          <w:lang w:val="en-US" w:eastAsia="zh-CN"/>
        </w:rPr>
        <w:t>设施</w:t>
      </w:r>
      <w:r>
        <w:rPr>
          <w:rFonts w:hint="eastAsia"/>
          <w:bCs/>
        </w:rPr>
        <w:t>用地；梯次推进农村牧区生活污水治理，实施农村生活污水治理项目，推进美丽乡村建设。</w:t>
      </w:r>
    </w:p>
    <w:p w14:paraId="5BF75BE6">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eastAsia="zh-CN"/>
        </w:rPr>
      </w:pPr>
      <w:bookmarkStart w:id="255" w:name="_Toc31810"/>
      <w:bookmarkStart w:id="256" w:name="_Toc11258"/>
      <w:r>
        <w:rPr>
          <w:rFonts w:hint="eastAsia" w:ascii="楷体_GB2312" w:eastAsia="楷体_GB2312" w:cs="Times New Roman"/>
          <w:bCs/>
          <w:sz w:val="32"/>
          <w:szCs w:val="32"/>
          <w:lang w:eastAsia="zh-CN"/>
        </w:rPr>
        <w:t>供电工程</w:t>
      </w:r>
      <w:bookmarkEnd w:id="255"/>
      <w:bookmarkEnd w:id="256"/>
    </w:p>
    <w:p w14:paraId="38534629">
      <w:pPr>
        <w:ind w:firstLine="560"/>
        <w:rPr>
          <w:rFonts w:hint="eastAsia" w:ascii="仿宋_GB2312" w:hAnsi="仿宋_GB2312" w:eastAsia="仿宋_GB2312" w:cs="仿宋_GB2312"/>
        </w:rPr>
      </w:pPr>
      <w:r>
        <w:rPr>
          <w:rFonts w:hint="eastAsia" w:ascii="楷体_GB2312" w:hAnsi="楷体_GB2312" w:eastAsia="楷体_GB2312" w:cs="楷体_GB2312"/>
          <w:szCs w:val="32"/>
        </w:rPr>
        <w:t>升级改造电力设施，大幅提高供电安全保障能力</w:t>
      </w:r>
      <w:r>
        <w:rPr>
          <w:rFonts w:hint="eastAsia" w:ascii="楷体_GB2312" w:hAnsi="楷体_GB2312" w:eastAsia="楷体_GB2312" w:cs="楷体_GB2312"/>
        </w:rPr>
        <w:t>。</w:t>
      </w:r>
      <w:r>
        <w:rPr>
          <w:rFonts w:hint="eastAsia" w:ascii="仿宋_GB2312" w:hAnsi="仿宋_GB2312" w:eastAsia="仿宋_GB2312" w:cs="仿宋_GB2312"/>
        </w:rPr>
        <w:t>考虑黑马河旅游产业快速发展</w:t>
      </w:r>
      <w:r>
        <w:rPr>
          <w:rFonts w:hint="eastAsia" w:ascii="仿宋_GB2312" w:hAnsi="仿宋_GB2312" w:eastAsia="仿宋_GB2312" w:cs="仿宋_GB2312"/>
          <w:lang w:val="en-US" w:eastAsia="zh-CN"/>
        </w:rPr>
        <w:t>问题</w:t>
      </w:r>
      <w:r>
        <w:rPr>
          <w:rFonts w:hint="eastAsia" w:ascii="仿宋_GB2312" w:hAnsi="仿宋_GB2312" w:eastAsia="仿宋_GB2312" w:cs="仿宋_GB2312"/>
        </w:rPr>
        <w:t>，以及清洁能源的普及，规划拟对镇区现状35</w:t>
      </w:r>
      <w:r>
        <w:rPr>
          <w:rFonts w:hint="eastAsia" w:ascii="仿宋_GB2312" w:hAnsi="仿宋_GB2312" w:eastAsia="仿宋_GB2312" w:cs="仿宋_GB2312"/>
          <w:lang w:eastAsia="zh-CN"/>
        </w:rPr>
        <w:t>千伏</w:t>
      </w:r>
      <w:r>
        <w:rPr>
          <w:rFonts w:hint="eastAsia" w:ascii="仿宋_GB2312" w:hAnsi="仿宋_GB2312" w:eastAsia="仿宋_GB2312" w:cs="仿宋_GB2312"/>
        </w:rPr>
        <w:t>变电站进行</w:t>
      </w:r>
      <w:r>
        <w:rPr>
          <w:rFonts w:hint="eastAsia" w:ascii="仿宋_GB2312" w:hAnsi="仿宋_GB2312" w:cs="仿宋_GB2312"/>
          <w:lang w:val="en-US" w:eastAsia="zh-CN"/>
        </w:rPr>
        <w:t>近期</w:t>
      </w:r>
      <w:r>
        <w:rPr>
          <w:rFonts w:hint="eastAsia" w:ascii="仿宋_GB2312" w:hAnsi="仿宋_GB2312" w:eastAsia="仿宋_GB2312" w:cs="仿宋_GB2312"/>
        </w:rPr>
        <w:t>保留</w:t>
      </w:r>
      <w:r>
        <w:rPr>
          <w:rFonts w:hint="eastAsia" w:ascii="仿宋_GB2312" w:hAnsi="仿宋_GB2312" w:cs="仿宋_GB2312"/>
          <w:lang w:eastAsia="zh-CN"/>
        </w:rPr>
        <w:t>，</w:t>
      </w:r>
      <w:r>
        <w:rPr>
          <w:rFonts w:hint="eastAsia" w:ascii="仿宋_GB2312" w:hAnsi="仿宋_GB2312" w:cs="仿宋_GB2312"/>
          <w:lang w:val="en-US" w:eastAsia="zh-CN"/>
        </w:rPr>
        <w:t>远期拆除</w:t>
      </w:r>
      <w:r>
        <w:rPr>
          <w:rFonts w:hint="eastAsia" w:ascii="仿宋_GB2312" w:hAnsi="仿宋_GB2312" w:eastAsia="仿宋_GB2312" w:cs="仿宋_GB2312"/>
        </w:rPr>
        <w:t>，并在镇区外新建110</w:t>
      </w:r>
      <w:r>
        <w:rPr>
          <w:rFonts w:hint="eastAsia" w:ascii="仿宋_GB2312" w:hAnsi="仿宋_GB2312" w:eastAsia="仿宋_GB2312" w:cs="仿宋_GB2312"/>
          <w:lang w:eastAsia="zh-CN"/>
        </w:rPr>
        <w:t>千伏</w:t>
      </w:r>
      <w:r>
        <w:rPr>
          <w:rFonts w:hint="eastAsia" w:ascii="仿宋_GB2312" w:hAnsi="仿宋_GB2312" w:eastAsia="仿宋_GB2312" w:cs="仿宋_GB2312"/>
        </w:rPr>
        <w:t>变电站一座</w:t>
      </w:r>
      <w:r>
        <w:rPr>
          <w:rFonts w:hint="eastAsia" w:ascii="仿宋_GB2312" w:hAnsi="仿宋_GB2312" w:cs="仿宋_GB2312"/>
          <w:lang w:eastAsia="zh-CN"/>
        </w:rPr>
        <w:t>，</w:t>
      </w:r>
      <w:r>
        <w:rPr>
          <w:rFonts w:hint="eastAsia" w:ascii="仿宋_GB2312" w:hAnsi="仿宋_GB2312" w:cs="仿宋_GB2312"/>
          <w:lang w:val="en-US" w:eastAsia="zh-CN"/>
        </w:rPr>
        <w:t>新增建设用地面积1公顷</w:t>
      </w:r>
      <w:r>
        <w:rPr>
          <w:rFonts w:hint="eastAsia" w:ascii="仿宋_GB2312" w:hAnsi="仿宋_GB2312" w:eastAsia="仿宋_GB2312" w:cs="仿宋_GB2312"/>
        </w:rPr>
        <w:t>。</w:t>
      </w:r>
    </w:p>
    <w:p w14:paraId="21144CB1">
      <w:pPr>
        <w:ind w:firstLine="560"/>
        <w:rPr>
          <w:rFonts w:hint="eastAsia" w:ascii="仿宋_GB2312" w:hAnsi="仿宋_GB2312" w:eastAsia="仿宋_GB2312" w:cs="仿宋_GB2312"/>
        </w:rPr>
      </w:pPr>
      <w:r>
        <w:rPr>
          <w:rFonts w:hint="eastAsia" w:ascii="楷体_GB2312" w:hAnsi="楷体_GB2312" w:eastAsia="楷体_GB2312" w:cs="楷体_GB2312"/>
          <w:szCs w:val="32"/>
        </w:rPr>
        <w:t>加强重大电力廊道的控制与保护，保障电力运行的安全韧性</w:t>
      </w:r>
      <w:r>
        <w:rPr>
          <w:rFonts w:hint="eastAsia" w:ascii="楷体_GB2312" w:hAnsi="楷体_GB2312" w:eastAsia="楷体_GB2312" w:cs="楷体_GB2312"/>
        </w:rPr>
        <w:t>。</w:t>
      </w:r>
      <w:r>
        <w:rPr>
          <w:rFonts w:hint="eastAsia"/>
        </w:rPr>
        <w:t>高压廊道保护与管控符合相关规范要求，在高压廊道内，不得新建建筑物、构筑物。</w:t>
      </w:r>
      <w:r>
        <w:rPr>
          <w:rFonts w:hint="eastAsia" w:ascii="仿宋_GB2312" w:hAnsi="仿宋_GB2312" w:eastAsia="仿宋_GB2312" w:cs="仿宋_GB2312"/>
        </w:rPr>
        <w:t>110千伏线路高压线走廊宽度15-25米；35千伏线路高压线走廊宽度15-20米。</w:t>
      </w:r>
    </w:p>
    <w:p w14:paraId="13C19AFA">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eastAsia="zh-CN"/>
        </w:rPr>
      </w:pPr>
      <w:bookmarkStart w:id="257" w:name="_Toc24501"/>
      <w:bookmarkStart w:id="258" w:name="_Toc30308"/>
      <w:r>
        <w:rPr>
          <w:rFonts w:hint="eastAsia" w:ascii="楷体_GB2312" w:eastAsia="楷体_GB2312" w:cs="Times New Roman"/>
          <w:bCs/>
          <w:sz w:val="32"/>
          <w:szCs w:val="32"/>
          <w:lang w:eastAsia="zh-CN"/>
        </w:rPr>
        <w:t>燃气工程</w:t>
      </w:r>
      <w:bookmarkEnd w:id="257"/>
      <w:bookmarkEnd w:id="258"/>
    </w:p>
    <w:p w14:paraId="578C387F">
      <w:pPr>
        <w:ind w:firstLine="560"/>
        <w:rPr>
          <w:rFonts w:hint="default" w:ascii="仿宋_GB2312" w:hAnsi="仿宋_GB2312" w:eastAsia="仿宋_GB2312" w:cs="仿宋_GB2312"/>
          <w:lang w:val="en-US" w:eastAsia="zh-CN"/>
        </w:rPr>
      </w:pPr>
      <w:r>
        <w:rPr>
          <w:rFonts w:hint="eastAsia" w:ascii="楷体_GB2312" w:hAnsi="楷体_GB2312" w:eastAsia="楷体_GB2312" w:cs="楷体_GB2312"/>
          <w:szCs w:val="32"/>
        </w:rPr>
        <w:t>加强天然气设施的建设，提高城乡供气可靠性。</w:t>
      </w:r>
      <w:r>
        <w:rPr>
          <w:rFonts w:hint="eastAsia" w:ascii="仿宋_GB2312" w:hAnsi="仿宋_GB2312" w:eastAsia="仿宋_GB2312" w:cs="仿宋_GB2312"/>
        </w:rPr>
        <w:t>积极调整能源结构，逐步推广以电代薪，增加电力、液化气、优质煤的供应以减少对薪柴的依赖，推广节能炉具，提高能源利用率。至2035年，</w:t>
      </w:r>
      <w:r>
        <w:rPr>
          <w:rFonts w:hint="eastAsia" w:ascii="仿宋_GB2312" w:hAnsi="仿宋_GB2312" w:eastAsia="仿宋_GB2312" w:cs="仿宋_GB2312"/>
          <w:lang w:val="en-US" w:eastAsia="zh-CN"/>
        </w:rPr>
        <w:t>黑马河</w:t>
      </w:r>
      <w:r>
        <w:rPr>
          <w:rFonts w:hint="eastAsia" w:ascii="仿宋_GB2312" w:hAnsi="仿宋_GB2312" w:eastAsia="仿宋_GB2312" w:cs="仿宋_GB2312"/>
        </w:rPr>
        <w:t>镇集中建设区管道天然气气化率为</w:t>
      </w:r>
      <w:r>
        <w:rPr>
          <w:rFonts w:hint="eastAsia" w:ascii="仿宋_GB2312" w:hAnsi="仿宋_GB2312" w:cs="仿宋_GB2312"/>
          <w:lang w:val="en-US" w:eastAsia="zh-CN"/>
        </w:rPr>
        <w:t>9</w:t>
      </w:r>
      <w:r>
        <w:rPr>
          <w:rFonts w:hint="eastAsia" w:ascii="仿宋_GB2312" w:hAnsi="仿宋_GB2312" w:eastAsia="仿宋_GB2312" w:cs="仿宋_GB2312"/>
        </w:rPr>
        <w:t>0%；城镇管网可以延伸到的农村以管道天然气为主，</w:t>
      </w:r>
      <w:r>
        <w:rPr>
          <w:rFonts w:hint="eastAsia" w:ascii="仿宋_GB2312" w:hAnsi="仿宋_GB2312" w:eastAsia="仿宋_GB2312" w:cs="仿宋_GB2312"/>
          <w:lang w:eastAsia="zh-CN"/>
        </w:rPr>
        <w:t>其他以</w:t>
      </w:r>
      <w:r>
        <w:rPr>
          <w:rFonts w:hint="eastAsia" w:ascii="仿宋_GB2312" w:hAnsi="仿宋_GB2312" w:eastAsia="仿宋_GB2312" w:cs="仿宋_GB2312"/>
        </w:rPr>
        <w:t>电力、液化石油气为主。</w:t>
      </w:r>
      <w:r>
        <w:rPr>
          <w:rFonts w:hint="eastAsia" w:ascii="仿宋_GB2312" w:hAnsi="仿宋_GB2312" w:cs="仿宋_GB2312"/>
          <w:lang w:val="en-US" w:eastAsia="zh-CN"/>
        </w:rPr>
        <w:t>规划在镇区西侧预留供</w:t>
      </w:r>
      <w:r>
        <w:rPr>
          <w:rFonts w:hint="eastAsia"/>
        </w:rPr>
        <w:t>燃气分输储配站</w:t>
      </w:r>
      <w:r>
        <w:rPr>
          <w:rFonts w:hint="eastAsia" w:ascii="仿宋_GB2312" w:hAnsi="仿宋_GB2312" w:cs="仿宋_GB2312"/>
          <w:lang w:val="en-US" w:eastAsia="zh-CN"/>
        </w:rPr>
        <w:t>，占地面积0.93公顷。</w:t>
      </w:r>
    </w:p>
    <w:p w14:paraId="6B3C4B90">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eastAsia="zh-CN"/>
        </w:rPr>
      </w:pPr>
      <w:bookmarkStart w:id="259" w:name="_Toc29368"/>
      <w:bookmarkStart w:id="260" w:name="_Toc19999"/>
      <w:r>
        <w:rPr>
          <w:rFonts w:hint="eastAsia" w:ascii="楷体_GB2312" w:eastAsia="楷体_GB2312" w:cs="Times New Roman"/>
          <w:bCs/>
          <w:sz w:val="32"/>
          <w:szCs w:val="32"/>
          <w:lang w:eastAsia="zh-CN"/>
        </w:rPr>
        <w:t>供热工程</w:t>
      </w:r>
      <w:bookmarkEnd w:id="259"/>
      <w:bookmarkEnd w:id="260"/>
    </w:p>
    <w:p w14:paraId="6E25FAFD">
      <w:pPr>
        <w:ind w:firstLine="560"/>
        <w:rPr>
          <w:rFonts w:hint="eastAsia" w:ascii="仿宋_GB2312" w:hAnsi="仿宋_GB2312" w:eastAsia="仿宋_GB2312" w:cs="仿宋_GB2312"/>
        </w:rPr>
      </w:pPr>
      <w:r>
        <w:rPr>
          <w:rFonts w:hint="eastAsia" w:ascii="楷体_GB2312" w:hAnsi="楷体_GB2312" w:eastAsia="楷体_GB2312" w:cs="楷体_GB2312"/>
          <w:szCs w:val="32"/>
        </w:rPr>
        <w:t>大力提升供暖清洁率，保障城乡居民温暖过冬。</w:t>
      </w:r>
      <w:r>
        <w:rPr>
          <w:rFonts w:hint="eastAsia" w:ascii="仿宋_GB2312" w:hAnsi="仿宋_GB2312" w:eastAsia="仿宋_GB2312" w:cs="仿宋_GB2312"/>
        </w:rPr>
        <w:t>近期，城镇新建建筑中绿色建筑占比达到100%，新建城镇居住建筑全部执行75%及以上节能设计标准、新建公共建筑全部执行72%节能设计标准。至规划末期，清洁取暖率达到100%。</w:t>
      </w:r>
    </w:p>
    <w:p w14:paraId="760E4A36">
      <w:pPr>
        <w:ind w:firstLine="560"/>
        <w:rPr>
          <w:rFonts w:hint="eastAsia" w:ascii="仿宋_GB2312" w:hAnsi="仿宋_GB2312" w:eastAsia="仿宋_GB2312" w:cs="仿宋_GB2312"/>
          <w:lang w:eastAsia="zh-CN"/>
        </w:rPr>
      </w:pPr>
      <w:r>
        <w:rPr>
          <w:rFonts w:hint="eastAsia" w:ascii="楷体_GB2312" w:hAnsi="楷体_GB2312" w:eastAsia="楷体_GB2312" w:cs="楷体_GB2312"/>
          <w:szCs w:val="32"/>
        </w:rPr>
        <w:t>因地制宜选择方式多样清洁供暖模式。</w:t>
      </w:r>
      <w:r>
        <w:rPr>
          <w:rFonts w:hint="eastAsia" w:ascii="仿宋_GB2312" w:hAnsi="仿宋_GB2312" w:eastAsia="仿宋_GB2312" w:cs="仿宋_GB2312"/>
        </w:rPr>
        <w:t>考虑黑马河镇旅游旺季在夏季，采暖季仅有极少数游客的现实情况，同时考虑环保因素，在保证采暖功效的同时实现节能环保的目的，镇区供暖</w:t>
      </w:r>
      <w:r>
        <w:rPr>
          <w:rFonts w:hint="eastAsia" w:ascii="仿宋_GB2312" w:hAnsi="仿宋_GB2312" w:cs="仿宋_GB2312"/>
          <w:lang w:val="en-US" w:eastAsia="zh-CN"/>
        </w:rPr>
        <w:t>采用燃气</w:t>
      </w:r>
      <w:r>
        <w:rPr>
          <w:rFonts w:hint="eastAsia" w:ascii="仿宋_GB2312" w:hAnsi="仿宋_GB2312" w:eastAsia="仿宋_GB2312" w:cs="仿宋_GB2312"/>
        </w:rPr>
        <w:t>锅炉房</w:t>
      </w:r>
      <w:r>
        <w:rPr>
          <w:rFonts w:hint="eastAsia" w:ascii="仿宋_GB2312" w:hAnsi="仿宋_GB2312" w:cs="仿宋_GB2312"/>
          <w:lang w:val="en-US" w:eastAsia="zh-CN"/>
        </w:rPr>
        <w:t>集中供暖</w:t>
      </w:r>
      <w:r>
        <w:rPr>
          <w:rFonts w:hint="eastAsia" w:ascii="仿宋_GB2312" w:hAnsi="仿宋_GB2312" w:eastAsia="仿宋_GB2312" w:cs="仿宋_GB2312"/>
        </w:rPr>
        <w:t>，农村牧区应通过推广普及电力、太阳能等清洁取暖方式，逐步将农村地区散烧煤、粪区域全部改为清洁取暖。近期保障</w:t>
      </w:r>
      <w:r>
        <w:rPr>
          <w:rFonts w:hint="eastAsia" w:ascii="仿宋_GB2312" w:hAnsi="仿宋_GB2312" w:cs="仿宋_GB2312"/>
          <w:lang w:val="en-US" w:eastAsia="zh-CN"/>
        </w:rPr>
        <w:t>镇区</w:t>
      </w:r>
      <w:r>
        <w:rPr>
          <w:rFonts w:hint="eastAsia" w:ascii="仿宋_GB2312" w:hAnsi="仿宋_GB2312" w:eastAsia="仿宋_GB2312" w:cs="仿宋_GB2312"/>
        </w:rPr>
        <w:t>供热设施建设需求，</w:t>
      </w:r>
      <w:r>
        <w:rPr>
          <w:rFonts w:hint="eastAsia" w:ascii="仿宋_GB2312" w:hAnsi="仿宋_GB2312" w:cs="仿宋_GB2312"/>
          <w:lang w:val="en-US" w:eastAsia="zh-CN"/>
        </w:rPr>
        <w:t>规划</w:t>
      </w:r>
      <w:r>
        <w:rPr>
          <w:rFonts w:hint="eastAsia" w:ascii="仿宋_GB2312" w:hAnsi="仿宋_GB2312" w:eastAsia="仿宋_GB2312" w:cs="仿宋_GB2312"/>
        </w:rPr>
        <w:t>新增</w:t>
      </w:r>
      <w:r>
        <w:rPr>
          <w:rFonts w:hint="eastAsia" w:ascii="仿宋_GB2312" w:hAnsi="仿宋_GB2312" w:cs="仿宋_GB2312"/>
          <w:lang w:val="en-US" w:eastAsia="zh-CN"/>
        </w:rPr>
        <w:t>一处供热用地，面积0.61公顷</w:t>
      </w:r>
      <w:r>
        <w:rPr>
          <w:rFonts w:hint="eastAsia" w:ascii="仿宋_GB2312" w:hAnsi="仿宋_GB2312" w:cs="仿宋_GB2312"/>
          <w:lang w:eastAsia="zh-CN"/>
        </w:rPr>
        <w:t>。</w:t>
      </w:r>
    </w:p>
    <w:p w14:paraId="6EE42E2C">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eastAsia="zh-CN"/>
        </w:rPr>
      </w:pPr>
      <w:bookmarkStart w:id="261" w:name="_Toc5864"/>
      <w:bookmarkStart w:id="262" w:name="_Toc4841"/>
      <w:r>
        <w:rPr>
          <w:rFonts w:hint="eastAsia" w:ascii="楷体_GB2312" w:eastAsia="楷体_GB2312" w:cs="Times New Roman"/>
          <w:bCs/>
          <w:sz w:val="32"/>
          <w:szCs w:val="32"/>
          <w:lang w:eastAsia="zh-CN"/>
        </w:rPr>
        <w:t>环卫工程</w:t>
      </w:r>
      <w:bookmarkEnd w:id="261"/>
      <w:bookmarkEnd w:id="262"/>
    </w:p>
    <w:p w14:paraId="08DC1BDA">
      <w:pPr>
        <w:ind w:firstLine="560"/>
        <w:rPr>
          <w:rFonts w:hint="default" w:ascii="仿宋_GB2312" w:hAnsi="仿宋_GB2312" w:eastAsia="仿宋_GB2312" w:cs="仿宋_GB2312"/>
          <w:lang w:val="en-US" w:eastAsia="zh-CN"/>
        </w:rPr>
      </w:pPr>
      <w:r>
        <w:rPr>
          <w:rFonts w:hint="eastAsia" w:ascii="楷体_GB2312" w:hAnsi="楷体_GB2312" w:eastAsia="楷体_GB2312" w:cs="楷体_GB2312"/>
          <w:szCs w:val="32"/>
        </w:rPr>
        <w:t>全面推进生活垃圾处理升级。</w:t>
      </w:r>
      <w:r>
        <w:rPr>
          <w:rFonts w:hint="eastAsia" w:ascii="仿宋_GB2312" w:hAnsi="仿宋_GB2312" w:eastAsia="仿宋_GB2312" w:cs="仿宋_GB2312"/>
        </w:rPr>
        <w:t>规划采用“户收集、</w:t>
      </w:r>
      <w:r>
        <w:rPr>
          <w:rFonts w:hint="eastAsia" w:ascii="仿宋_GB2312" w:hAnsi="仿宋_GB2312" w:cs="仿宋_GB2312"/>
          <w:lang w:val="en-US" w:eastAsia="zh-CN"/>
        </w:rPr>
        <w:t>村</w:t>
      </w:r>
      <w:r>
        <w:rPr>
          <w:rFonts w:hint="eastAsia" w:ascii="仿宋_GB2312" w:hAnsi="仿宋_GB2312" w:eastAsia="仿宋_GB2312" w:cs="仿宋_GB2312"/>
        </w:rPr>
        <w:t>转运、镇处理”的收集方式处理生活垃圾。生活垃圾推行袋装分类收集、机械化半机械化运输。通过垃圾转运车将生活垃圾直接送至垃圾</w:t>
      </w:r>
      <w:r>
        <w:rPr>
          <w:rFonts w:hint="eastAsia" w:ascii="仿宋_GB2312" w:hAnsi="仿宋_GB2312" w:eastAsia="仿宋_GB2312" w:cs="仿宋_GB2312"/>
          <w:lang w:eastAsia="zh-CN"/>
        </w:rPr>
        <w:t>处理厂</w:t>
      </w:r>
      <w:r>
        <w:rPr>
          <w:rFonts w:hint="eastAsia" w:ascii="仿宋_GB2312" w:hAnsi="仿宋_GB2312" w:eastAsia="仿宋_GB2312" w:cs="仿宋_GB2312"/>
        </w:rPr>
        <w:t>进行安全处理。科学合理硬化街道，搞好绿化、美化。加快镇区和各乡村垃圾转运站、公厕、废物箱等环卫设施的建设。镇区按规范要求建设公厕、果皮箱等环卫设施。在每个村庄设置一处垃圾收集点，收集点垃圾由镇上统一收集送至</w:t>
      </w:r>
      <w:r>
        <w:rPr>
          <w:rFonts w:hint="eastAsia" w:ascii="仿宋_GB2312" w:hAnsi="仿宋_GB2312" w:cs="仿宋_GB2312"/>
          <w:lang w:val="en-US" w:eastAsia="zh-CN"/>
        </w:rPr>
        <w:t>垃圾填埋场</w:t>
      </w:r>
      <w:r>
        <w:rPr>
          <w:rFonts w:hint="eastAsia" w:ascii="仿宋_GB2312" w:hAnsi="仿宋_GB2312" w:eastAsia="仿宋_GB2312" w:cs="仿宋_GB2312"/>
        </w:rPr>
        <w:t>处理。</w:t>
      </w:r>
      <w:r>
        <w:rPr>
          <w:rFonts w:hint="eastAsia" w:ascii="仿宋_GB2312" w:hAnsi="仿宋_GB2312" w:cs="仿宋_GB2312"/>
          <w:lang w:val="en-US" w:eastAsia="zh-CN"/>
        </w:rPr>
        <w:t>黑马河镇垃圾填埋场位于正却乎村，占地面积1.90公顷。</w:t>
      </w:r>
    </w:p>
    <w:p w14:paraId="1D4F876E">
      <w:pPr>
        <w:ind w:firstLine="560"/>
        <w:rPr>
          <w:rFonts w:hint="eastAsia" w:ascii="仿宋_GB2312" w:hAnsi="仿宋_GB2312" w:eastAsia="仿宋_GB2312" w:cs="仿宋_GB2312"/>
        </w:rPr>
      </w:pPr>
      <w:r>
        <w:rPr>
          <w:rFonts w:hint="eastAsia" w:ascii="楷体_GB2312" w:hAnsi="楷体_GB2312" w:eastAsia="楷体_GB2312" w:cs="楷体_GB2312"/>
          <w:szCs w:val="32"/>
          <w:lang w:val="en-US" w:eastAsia="zh-CN"/>
        </w:rPr>
        <w:t>推进厕所革命，普及农村卫生厕所。</w:t>
      </w:r>
      <w:r>
        <w:rPr>
          <w:rFonts w:hint="eastAsia" w:ascii="仿宋_GB2312" w:hAnsi="仿宋_GB2312" w:eastAsia="仿宋_GB2312" w:cs="仿宋_GB2312"/>
        </w:rPr>
        <w:t>规划期内贯彻落实国务院办公厅发布的《农村人居环境整治提升五年行动方案（2021－2025年）》中针对“厕所革命”</w:t>
      </w:r>
      <w:r>
        <w:rPr>
          <w:rFonts w:hint="eastAsia" w:ascii="仿宋_GB2312" w:hAnsi="仿宋_GB2312" w:eastAsia="仿宋_GB2312" w:cs="仿宋_GB2312"/>
          <w:lang w:eastAsia="zh-CN"/>
        </w:rPr>
        <w:t>提</w:t>
      </w:r>
      <w:r>
        <w:rPr>
          <w:rFonts w:hint="eastAsia" w:ascii="仿宋_GB2312" w:hAnsi="仿宋_GB2312" w:eastAsia="仿宋_GB2312" w:cs="仿宋_GB2312"/>
        </w:rPr>
        <w:t>出的重要要求：逐步普及农村卫生厕所；切实提高改厕质量；加强厕所粪污无害化处理与资源化利用。</w:t>
      </w:r>
    </w:p>
    <w:p w14:paraId="52E3BC93">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新基建工程</w:t>
      </w:r>
    </w:p>
    <w:p w14:paraId="0DB98F38">
      <w:pPr>
        <w:widowControl w:val="0"/>
        <w:spacing w:after="120" w:line="600" w:lineRule="exact"/>
        <w:ind w:firstLine="64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加快推进5G基站建设，镇区宏基站设置密度为7个基站/平方千米，基站站间距400-450米；农村宏基站设置密度为2个基站/平方千米，基站站间距750-700米。依托清洁能源发电优势，重点推进高压输配电设施建设。因地制宜建设充电场、充电桩等新能源汽车充电设施，多途径推进新基建工程建设。</w:t>
      </w:r>
    </w:p>
    <w:p w14:paraId="65CC3256">
      <w:pPr>
        <w:pStyle w:val="3"/>
        <w:numPr>
          <w:ilvl w:val="0"/>
          <w:numId w:val="10"/>
        </w:numPr>
      </w:pPr>
      <w:bookmarkStart w:id="263" w:name="_Toc31958"/>
      <w:bookmarkStart w:id="264" w:name="_Toc4381"/>
      <w:r>
        <w:rPr>
          <w:rFonts w:hint="eastAsia" w:ascii="Arial" w:hAnsi="Arial" w:eastAsia="黑体" w:cs="Times New Roman"/>
          <w:b w:val="0"/>
          <w:lang w:val="en-US" w:eastAsia="zh-CN"/>
        </w:rPr>
        <w:t>构建韧性安全的综合防灾体系</w:t>
      </w:r>
      <w:bookmarkEnd w:id="263"/>
      <w:bookmarkEnd w:id="264"/>
    </w:p>
    <w:p w14:paraId="1E3D64A7">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265" w:name="_Toc12001"/>
      <w:bookmarkStart w:id="266" w:name="_Toc28135"/>
      <w:r>
        <w:rPr>
          <w:rFonts w:hint="eastAsia" w:ascii="楷体_GB2312" w:hAnsi="Times New Roman" w:eastAsia="楷体_GB2312" w:cs="Times New Roman"/>
          <w:bCs/>
          <w:sz w:val="32"/>
          <w:szCs w:val="32"/>
        </w:rPr>
        <w:t>防灾减灾</w:t>
      </w:r>
      <w:bookmarkEnd w:id="265"/>
      <w:bookmarkEnd w:id="266"/>
      <w:r>
        <w:rPr>
          <w:rFonts w:hint="eastAsia" w:ascii="楷体_GB2312" w:eastAsia="楷体_GB2312" w:cs="Times New Roman"/>
          <w:bCs/>
          <w:sz w:val="32"/>
          <w:szCs w:val="32"/>
          <w:lang w:val="en-US" w:eastAsia="zh-CN"/>
        </w:rPr>
        <w:t>工程</w:t>
      </w:r>
    </w:p>
    <w:p w14:paraId="3EBC6C40">
      <w:pPr>
        <w:ind w:firstLine="560"/>
        <w:rPr>
          <w:rFonts w:hint="eastAsia" w:ascii="仿宋_GB2312" w:hAnsi="仿宋_GB2312" w:eastAsia="仿宋_GB2312" w:cs="仿宋_GB2312"/>
        </w:rPr>
      </w:pPr>
      <w:r>
        <w:rPr>
          <w:rFonts w:hint="eastAsia" w:ascii="仿宋_GB2312" w:hAnsi="仿宋_GB2312" w:cs="仿宋_GB2312"/>
          <w:szCs w:val="32"/>
          <w:lang w:val="en-US" w:eastAsia="zh-CN"/>
        </w:rPr>
        <w:t>黑马河镇位于地震灾害风险区</w:t>
      </w:r>
      <w:r>
        <w:rPr>
          <w:rFonts w:hint="eastAsia" w:ascii="仿宋_GB2312" w:hAnsi="仿宋_GB2312" w:eastAsia="仿宋_GB2312" w:cs="仿宋_GB2312"/>
          <w:szCs w:val="32"/>
        </w:rPr>
        <w:t>，城乡建设工程应充分考虑断裂带的地震危害性及对场地的影响，按照国家相关标准及抗震主管部门相关要求采取合理的避让或抗震措施</w:t>
      </w:r>
      <w:r>
        <w:rPr>
          <w:rFonts w:hint="eastAsia" w:ascii="仿宋_GB2312" w:hAnsi="仿宋_GB2312" w:eastAsia="仿宋_GB2312" w:cs="仿宋_GB2312"/>
        </w:rPr>
        <w:t>。</w:t>
      </w:r>
    </w:p>
    <w:p w14:paraId="13137B00">
      <w:pPr>
        <w:ind w:firstLine="560"/>
        <w:rPr>
          <w:rFonts w:hint="eastAsia" w:ascii="仿宋_GB2312" w:hAnsi="仿宋_GB2312" w:eastAsia="仿宋_GB2312" w:cs="仿宋_GB2312"/>
        </w:rPr>
      </w:pPr>
      <w:r>
        <w:rPr>
          <w:rFonts w:hint="eastAsia" w:ascii="仿宋_GB2312" w:hAnsi="仿宋_GB2312"/>
          <w:szCs w:val="32"/>
          <w:u w:val="none"/>
          <w:lang w:val="en-US" w:eastAsia="zh-CN"/>
        </w:rPr>
        <w:t>黑马河镇</w:t>
      </w:r>
      <w:r>
        <w:rPr>
          <w:rFonts w:hint="eastAsia" w:ascii="仿宋_GB2312" w:hAnsi="仿宋_GB2312"/>
          <w:szCs w:val="32"/>
          <w:u w:val="none"/>
        </w:rPr>
        <w:t>地震动峰值加速度</w:t>
      </w:r>
      <w:r>
        <w:rPr>
          <w:rFonts w:ascii="仿宋_GB2312" w:hAnsi="仿宋_GB2312"/>
          <w:szCs w:val="32"/>
          <w:u w:val="none"/>
        </w:rPr>
        <w:t>0.15g，</w:t>
      </w:r>
      <w:r>
        <w:rPr>
          <w:rFonts w:ascii="仿宋_GB2312" w:hAnsi="仿宋_GB2312"/>
          <w:szCs w:val="32"/>
          <w:u w:val="single"/>
        </w:rPr>
        <w:t>抗震设防基本烈度7度</w:t>
      </w:r>
      <w:r>
        <w:rPr>
          <w:rFonts w:hint="eastAsia"/>
          <w:bCs/>
          <w:u w:val="single"/>
        </w:rPr>
        <w:t>。</w:t>
      </w:r>
      <w:r>
        <w:rPr>
          <w:rFonts w:hint="eastAsia"/>
          <w:bCs/>
        </w:rPr>
        <w:t>新建、改建、扩建工程应严格按照标准设防，重大工程和可能因地震产生严重次生灾害的建设工程，应当按照有关规定开展地震安全性评价，并</w:t>
      </w:r>
      <w:r>
        <w:rPr>
          <w:rFonts w:hint="eastAsia"/>
          <w:bCs/>
          <w:lang w:eastAsia="zh-CN"/>
        </w:rPr>
        <w:t>按照</w:t>
      </w:r>
      <w:r>
        <w:rPr>
          <w:rFonts w:hint="eastAsia"/>
          <w:bCs/>
        </w:rPr>
        <w:t>地震安全性评价结果所确定的抗震设防要求进行抗震设计。学校、医院、体育场馆、文化场馆等大型公共建筑和重要生命线工程应当适当提高地震动峰值加速度取值，在建设工程中采取有效措施，增强抗震能力。建设项目必须满足相应的抗震设防要求。落实</w:t>
      </w:r>
      <w:r>
        <w:rPr>
          <w:rFonts w:hint="eastAsia"/>
        </w:rPr>
        <w:t>海南州</w:t>
      </w:r>
      <w:r>
        <w:rPr>
          <w:rFonts w:hint="eastAsia"/>
          <w:bCs/>
        </w:rPr>
        <w:t>测震站网规划，完善地震监测设施布局，加强地震监测设施和地震观测环境的保护</w:t>
      </w:r>
      <w:r>
        <w:rPr>
          <w:rFonts w:hint="eastAsia" w:ascii="仿宋_GB2312" w:hAnsi="仿宋_GB2312" w:eastAsia="仿宋_GB2312" w:cs="仿宋_GB2312"/>
        </w:rPr>
        <w:t>。</w:t>
      </w:r>
    </w:p>
    <w:p w14:paraId="3EC6F2B5">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267" w:name="_Toc1208"/>
      <w:r>
        <w:rPr>
          <w:rFonts w:hint="eastAsia" w:ascii="楷体_GB2312" w:eastAsia="楷体_GB2312" w:cs="Times New Roman"/>
          <w:bCs/>
          <w:sz w:val="32"/>
          <w:szCs w:val="32"/>
          <w:lang w:val="en-US" w:eastAsia="zh-CN"/>
        </w:rPr>
        <w:t>地质灾害防治</w:t>
      </w:r>
    </w:p>
    <w:p w14:paraId="53237FD9">
      <w:pPr>
        <w:widowControl w:val="0"/>
        <w:spacing w:after="120" w:line="600" w:lineRule="exact"/>
        <w:ind w:firstLine="64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黑马河镇处于地质灾害易发区，对地质灾害隐患点进行分类管控，综合采用工程治理、排危除险、避让搬迁、专业监测和监测预警等多种措施，对镇域内地质灾害实施综合防治。</w:t>
      </w:r>
    </w:p>
    <w:p w14:paraId="56698305">
      <w:pPr>
        <w:jc w:val="both"/>
      </w:pPr>
      <w:r>
        <w:rPr>
          <w:rFonts w:hint="eastAsia" w:ascii="仿宋_GB2312" w:hAnsi="仿宋_GB2312" w:eastAsia="仿宋_GB2312" w:cs="仿宋_GB2312"/>
          <w:kern w:val="2"/>
          <w:sz w:val="32"/>
          <w:szCs w:val="32"/>
          <w:lang w:val="en-US" w:eastAsia="zh-CN" w:bidi="ar-SA"/>
        </w:rPr>
        <w:t>严格落实地质灾害安全管控要求，</w:t>
      </w:r>
      <w:r>
        <w:rPr>
          <w:rFonts w:hint="eastAsia" w:ascii="仿宋_GB2312" w:hAnsi="仿宋_GB2312" w:eastAsia="仿宋_GB2312" w:cs="仿宋_GB2312"/>
          <w:kern w:val="2"/>
          <w:sz w:val="32"/>
          <w:szCs w:val="32"/>
          <w:u w:val="single"/>
          <w:lang w:val="en-US" w:eastAsia="zh-CN" w:bidi="ar-SA"/>
        </w:rPr>
        <w:t>地质灾害易发区内的开发建设，应当进行地质灾害危险性评估，并根据地质灾害危险性评估提出的预防治理措施，有序开展地质灾害工程治理或搬迁避让工作，对可能引发地质灾害的建设活动采取积极有效的防护治理措施，避免工程建设引发或遭受地质灾害的威胁。评估结果为不适宜的场地不得进行开发建设，地质灾害危险区内禁止从事容易诱发地质灾害的各种活动。</w:t>
      </w:r>
    </w:p>
    <w:p w14:paraId="006BD7F8">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268" w:name="_Toc26126"/>
      <w:r>
        <w:rPr>
          <w:rFonts w:hint="eastAsia" w:ascii="楷体_GB2312" w:eastAsia="楷体_GB2312" w:cs="Times New Roman"/>
          <w:bCs/>
          <w:sz w:val="32"/>
          <w:szCs w:val="32"/>
          <w:lang w:val="en-US" w:eastAsia="zh-CN"/>
        </w:rPr>
        <w:t>防洪排涝工程</w:t>
      </w:r>
      <w:bookmarkEnd w:id="268"/>
    </w:p>
    <w:p w14:paraId="67977A00">
      <w:pPr>
        <w:widowControl w:val="0"/>
        <w:spacing w:after="120" w:line="600" w:lineRule="exact"/>
        <w:ind w:firstLine="640"/>
        <w:jc w:val="both"/>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洪涝风险控制线。</w:t>
      </w:r>
      <w:r>
        <w:rPr>
          <w:rFonts w:hint="eastAsia" w:ascii="仿宋_GB2312" w:hAnsi="仿宋_GB2312" w:eastAsia="仿宋_GB2312" w:cs="仿宋_GB2312"/>
          <w:kern w:val="2"/>
          <w:sz w:val="32"/>
          <w:szCs w:val="32"/>
          <w:lang w:val="en-US" w:eastAsia="zh-CN" w:bidi="ar-SA"/>
        </w:rPr>
        <w:t>以水利部门依法划定的河湖管理范围为基础，将主要行洪排涝通道、河湖湿地等洪涝水行泄、调蓄的自然空间划入洪涝风险控制线，保障防洪排涝系统完整性和通达性，洪涝风险控制线总面积41.87平方千米。对洪涝风险控制线内的耕地，在不妨碍行洪、蓄洪和输水等功能的前提下，依法依规分类处理。城市建设和发展不得占用洪涝行泄空间；对妨碍行洪、影响河势稳定、危害水工程安全的已建项目，依法限期拆除并恢复原状。对桥梁、码头等审批类项目进行防洪影响评价，消除不利影响。</w:t>
      </w:r>
    </w:p>
    <w:p w14:paraId="6FCB6B34">
      <w:pPr>
        <w:pStyle w:val="16"/>
        <w:ind w:firstLine="640"/>
        <w:rPr>
          <w:rFonts w:hint="eastAsia"/>
          <w:bCs/>
          <w:u w:val="single"/>
        </w:rPr>
      </w:pPr>
      <w:r>
        <w:rPr>
          <w:rFonts w:hint="eastAsia" w:ascii="楷体_GB2312" w:hAnsi="楷体_GB2312" w:eastAsia="楷体_GB2312" w:cs="楷体_GB2312"/>
          <w:kern w:val="2"/>
          <w:sz w:val="32"/>
          <w:szCs w:val="32"/>
          <w:lang w:val="en-US" w:eastAsia="zh-CN" w:bidi="ar-SA"/>
        </w:rPr>
        <w:t>完善镇村防洪排涝体系。</w:t>
      </w:r>
      <w:r>
        <w:rPr>
          <w:rFonts w:hint="eastAsia" w:ascii="仿宋_GB2312" w:hAnsi="仿宋_GB2312" w:eastAsia="仿宋_GB2312" w:cs="仿宋_GB2312"/>
          <w:kern w:val="2"/>
          <w:sz w:val="32"/>
          <w:szCs w:val="32"/>
          <w:u w:val="single"/>
          <w:lang w:val="en-US" w:eastAsia="zh-CN" w:bidi="ar-SA"/>
        </w:rPr>
        <w:t>镇区防洪标准达到</w:t>
      </w:r>
      <w:r>
        <w:rPr>
          <w:rFonts w:hint="eastAsia" w:ascii="仿宋_GB2312" w:hAnsi="仿宋_GB2312" w:cs="仿宋_GB2312"/>
          <w:kern w:val="2"/>
          <w:sz w:val="32"/>
          <w:szCs w:val="32"/>
          <w:u w:val="single"/>
          <w:lang w:val="en-US" w:eastAsia="zh-CN" w:bidi="ar-SA"/>
        </w:rPr>
        <w:t>5</w:t>
      </w:r>
      <w:r>
        <w:rPr>
          <w:rFonts w:hint="eastAsia" w:ascii="仿宋_GB2312" w:hAnsi="仿宋_GB2312" w:eastAsia="仿宋_GB2312" w:cs="仿宋_GB2312"/>
          <w:kern w:val="2"/>
          <w:sz w:val="32"/>
          <w:szCs w:val="32"/>
          <w:u w:val="single"/>
          <w:lang w:val="en-US" w:eastAsia="zh-CN" w:bidi="ar-SA"/>
        </w:rPr>
        <w:t>0年一遇，农村10年一遇。</w:t>
      </w:r>
      <w:r>
        <w:rPr>
          <w:rFonts w:hint="eastAsia" w:ascii="仿宋_GB2312" w:hAnsi="仿宋_GB2312" w:eastAsia="仿宋_GB2312" w:cs="仿宋_GB2312"/>
          <w:kern w:val="2"/>
          <w:sz w:val="32"/>
          <w:szCs w:val="32"/>
          <w:lang w:val="en-US" w:eastAsia="zh-CN" w:bidi="ar-SA"/>
        </w:rPr>
        <w:t>完善重要河流防洪治理工程建设，加快推进</w:t>
      </w:r>
      <w:r>
        <w:rPr>
          <w:rFonts w:hint="eastAsia" w:ascii="仿宋_GB2312" w:hAnsi="仿宋_GB2312" w:cs="仿宋_GB2312"/>
          <w:kern w:val="2"/>
          <w:sz w:val="32"/>
          <w:szCs w:val="32"/>
          <w:lang w:val="en-US" w:eastAsia="zh-CN" w:bidi="ar-SA"/>
        </w:rPr>
        <w:t>黑马河、大喇嘛河、然却乎沟</w:t>
      </w:r>
      <w:r>
        <w:rPr>
          <w:rFonts w:hint="eastAsia" w:ascii="仿宋_GB2312" w:hAnsi="仿宋_GB2312" w:eastAsia="仿宋_GB2312" w:cs="仿宋_GB2312"/>
          <w:kern w:val="2"/>
          <w:sz w:val="32"/>
          <w:szCs w:val="32"/>
          <w:lang w:val="en-US" w:eastAsia="zh-CN" w:bidi="ar-SA"/>
        </w:rPr>
        <w:t>等重点河段防洪达标治理，全面推进中小河流治理工程。重点实施塔温梁、文巴渠等重点山洪沟治理工程措施，巩固提升山洪防治非工程措施。保障防洪堤、排洪沟（渠）等水工设施用地需求</w:t>
      </w:r>
      <w:r>
        <w:rPr>
          <w:rFonts w:hint="eastAsia" w:ascii="仿宋_GB2312" w:hAnsi="仿宋_GB2312" w:cs="仿宋_GB2312"/>
          <w:kern w:val="2"/>
          <w:sz w:val="32"/>
          <w:szCs w:val="32"/>
          <w:lang w:val="en-US" w:eastAsia="zh-CN" w:bidi="ar-SA"/>
        </w:rPr>
        <w:t>。</w:t>
      </w:r>
    </w:p>
    <w:p w14:paraId="42677BF8">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269" w:name="_Toc24071"/>
      <w:r>
        <w:rPr>
          <w:rFonts w:hint="eastAsia" w:ascii="楷体_GB2312" w:eastAsia="楷体_GB2312" w:cs="Times New Roman"/>
          <w:bCs/>
          <w:sz w:val="32"/>
          <w:szCs w:val="32"/>
          <w:lang w:val="en-US" w:eastAsia="zh-CN"/>
        </w:rPr>
        <w:t>消防</w:t>
      </w:r>
      <w:bookmarkEnd w:id="267"/>
      <w:r>
        <w:rPr>
          <w:rFonts w:hint="eastAsia" w:ascii="楷体_GB2312" w:eastAsia="楷体_GB2312" w:cs="Times New Roman"/>
          <w:bCs/>
          <w:sz w:val="32"/>
          <w:szCs w:val="32"/>
          <w:lang w:val="en-US" w:eastAsia="zh-CN"/>
        </w:rPr>
        <w:t>工程</w:t>
      </w:r>
      <w:bookmarkEnd w:id="269"/>
    </w:p>
    <w:p w14:paraId="75805B45">
      <w:pPr>
        <w:ind w:firstLine="560"/>
        <w:rPr>
          <w:rFonts w:hint="eastAsia" w:ascii="仿宋_GB2312" w:hAnsi="仿宋_GB2312" w:eastAsia="仿宋_GB2312" w:cs="仿宋_GB2312"/>
        </w:rPr>
      </w:pPr>
      <w:r>
        <w:rPr>
          <w:rFonts w:hint="eastAsia" w:ascii="楷体" w:hAnsi="楷体" w:eastAsia="楷体"/>
          <w:szCs w:val="32"/>
        </w:rPr>
        <w:t>完善消防力量建设</w:t>
      </w:r>
      <w:r>
        <w:rPr>
          <w:rFonts w:hint="eastAsia"/>
          <w:bCs/>
        </w:rPr>
        <w:t>。</w:t>
      </w:r>
      <w:r>
        <w:rPr>
          <w:rFonts w:hint="eastAsia" w:ascii="仿宋_GB2312" w:hAnsi="仿宋_GB2312" w:eastAsia="仿宋_GB2312" w:cs="仿宋_GB2312"/>
        </w:rPr>
        <w:t>乡镇形成以乡镇政府专职消防队伍为主要消防力量，以志愿消防队伍或企业兼职消防队伍为补充的消防体系，</w:t>
      </w:r>
      <w:r>
        <w:rPr>
          <w:rFonts w:hint="eastAsia" w:ascii="仿宋_GB2312" w:hAnsi="仿宋_GB2312" w:cs="仿宋_GB2312"/>
          <w:lang w:val="en-US" w:eastAsia="zh-CN"/>
        </w:rPr>
        <w:t>规划在镇区设置1处消防站，以</w:t>
      </w:r>
      <w:r>
        <w:rPr>
          <w:bCs/>
        </w:rPr>
        <w:t>专职消防队伍</w:t>
      </w:r>
      <w:r>
        <w:rPr>
          <w:rFonts w:hint="eastAsia"/>
          <w:bCs/>
          <w:lang w:val="en-US" w:eastAsia="zh-CN"/>
        </w:rPr>
        <w:t>为主要消防力量；在</w:t>
      </w:r>
      <w:r>
        <w:rPr>
          <w:rFonts w:hint="eastAsia" w:ascii="仿宋_GB2312" w:hAnsi="仿宋_GB2312" w:eastAsia="仿宋_GB2312" w:cs="仿宋_GB2312"/>
        </w:rPr>
        <w:t>农业牧区集中居民点内设置微型消防站，配备供紧急使用的灭火器材、前线救援器材和消防人员防护器材。规划在各村结合实际情况建设消防水池，消防水池的建设应满足防寒抗冻的要求。</w:t>
      </w:r>
    </w:p>
    <w:p w14:paraId="048518BF">
      <w:pPr>
        <w:ind w:firstLine="560"/>
        <w:rPr>
          <w:rFonts w:hint="eastAsia" w:ascii="仿宋_GB2312" w:hAnsi="仿宋_GB2312" w:eastAsia="仿宋_GB2312" w:cs="仿宋_GB2312"/>
        </w:rPr>
      </w:pPr>
      <w:r>
        <w:rPr>
          <w:rFonts w:hint="eastAsia" w:ascii="仿宋_GB2312" w:hAnsi="仿宋_GB2312" w:eastAsia="仿宋_GB2312" w:cs="仿宋_GB2312"/>
        </w:rPr>
        <w:t>消防设施：</w:t>
      </w:r>
      <w:r>
        <w:rPr>
          <w:rFonts w:hint="eastAsia" w:ascii="仿宋_GB2312" w:hAnsi="仿宋_GB2312" w:cs="仿宋_GB2312"/>
          <w:lang w:val="en-US" w:eastAsia="zh-CN"/>
        </w:rPr>
        <w:t>镇区建设1座消防站，负责镇区消防安全</w:t>
      </w:r>
      <w:r>
        <w:rPr>
          <w:rFonts w:hint="eastAsia" w:ascii="仿宋_GB2312" w:hAnsi="仿宋_GB2312" w:eastAsia="仿宋_GB2312" w:cs="仿宋_GB2312"/>
        </w:rPr>
        <w:t>，农业牧区集中居民点内结合村委会设置微型消防站，配备供紧急使用的灭火器材、前线救援器材和消防人员防护器材。</w:t>
      </w:r>
    </w:p>
    <w:p w14:paraId="619A5F8D">
      <w:pPr>
        <w:ind w:firstLine="560"/>
        <w:rPr>
          <w:rFonts w:hint="eastAsia" w:ascii="仿宋_GB2312" w:hAnsi="仿宋_GB2312" w:eastAsia="仿宋_GB2312" w:cs="仿宋_GB2312"/>
        </w:rPr>
      </w:pPr>
      <w:r>
        <w:rPr>
          <w:rFonts w:hint="eastAsia" w:ascii="仿宋_GB2312" w:hAnsi="仿宋_GB2312" w:eastAsia="仿宋_GB2312" w:cs="仿宋_GB2312"/>
        </w:rPr>
        <w:t>消防供水：镇区、</w:t>
      </w:r>
      <w:r>
        <w:rPr>
          <w:rFonts w:hint="eastAsia" w:ascii="仿宋_GB2312" w:hAnsi="仿宋_GB2312" w:cs="仿宋_GB2312"/>
          <w:lang w:val="en-US" w:eastAsia="zh-CN"/>
        </w:rPr>
        <w:t>环湖西路</w:t>
      </w:r>
      <w:r>
        <w:rPr>
          <w:rFonts w:hint="eastAsia" w:ascii="仿宋_GB2312" w:hAnsi="仿宋_GB2312" w:eastAsia="仿宋_GB2312" w:cs="仿宋_GB2312"/>
        </w:rPr>
        <w:t>消防供水以市政给水管网为主，给水管网管径不低于DN100，管网埋深位于冻土层以下。结合市政给水管网设置消火栓，间距不超过120米。其余各村结合实际情况建设消防水池，消防水池的建设应满足防寒抗冻的要求。</w:t>
      </w:r>
    </w:p>
    <w:p w14:paraId="0016C095">
      <w:pPr>
        <w:ind w:firstLine="560"/>
        <w:rPr>
          <w:rFonts w:hint="eastAsia" w:ascii="仿宋_GB2312" w:hAnsi="仿宋_GB2312" w:eastAsia="仿宋_GB2312" w:cs="仿宋_GB2312"/>
        </w:rPr>
      </w:pPr>
      <w:r>
        <w:rPr>
          <w:rFonts w:hint="eastAsia" w:ascii="仿宋_GB2312" w:hAnsi="仿宋_GB2312" w:eastAsia="仿宋_GB2312" w:cs="仿宋_GB2312"/>
        </w:rPr>
        <w:t>消防通道：消防车通道应符合消防车辆安全、快捷通行的要求。加强消防车通道建设，提高道路承载大型消防车的能力，确保消防车辆安全、快捷通行。</w:t>
      </w:r>
    </w:p>
    <w:p w14:paraId="078C4319">
      <w:pPr>
        <w:ind w:firstLine="560"/>
        <w:rPr>
          <w:rFonts w:hint="eastAsia" w:ascii="仿宋_GB2312" w:hAnsi="仿宋_GB2312" w:eastAsia="仿宋_GB2312" w:cs="仿宋_GB2312"/>
        </w:rPr>
      </w:pPr>
      <w:r>
        <w:rPr>
          <w:rFonts w:hint="eastAsia" w:ascii="仿宋_GB2312" w:hAnsi="仿宋_GB2312" w:eastAsia="仿宋_GB2312" w:cs="仿宋_GB2312"/>
        </w:rPr>
        <w:t>耐火等级：新建建筑应当达到一、二级耐火等级标准，控制三级建筑，严格限制四级建筑，不准易燃简易搭盖。</w:t>
      </w:r>
    </w:p>
    <w:p w14:paraId="55157429">
      <w:pPr>
        <w:ind w:firstLine="560"/>
        <w:rPr>
          <w:rFonts w:hint="eastAsia" w:ascii="仿宋_GB2312" w:hAnsi="仿宋_GB2312" w:eastAsia="仿宋_GB2312" w:cs="仿宋_GB2312"/>
        </w:rPr>
      </w:pPr>
      <w:r>
        <w:rPr>
          <w:rFonts w:hint="eastAsia" w:ascii="仿宋_GB2312" w:hAnsi="仿宋_GB2312" w:eastAsia="仿宋_GB2312" w:cs="仿宋_GB2312"/>
        </w:rPr>
        <w:t>消防科技赋能：通过物联网传感器、大数据与AI分析、消防机器人等技术创新与数字化手段，全面提升火灾预防、监测、救援和管理的效率，实现从"被动响应"到"主动防控"的转型，最终构建"人防+技防+智防"的全新体系。</w:t>
      </w:r>
    </w:p>
    <w:p w14:paraId="0EE13922">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270" w:name="_Toc24514"/>
      <w:bookmarkStart w:id="271" w:name="_Toc19121"/>
      <w:r>
        <w:rPr>
          <w:rFonts w:hint="eastAsia" w:ascii="楷体_GB2312" w:eastAsia="楷体_GB2312" w:cs="Times New Roman"/>
          <w:bCs/>
          <w:sz w:val="32"/>
          <w:szCs w:val="32"/>
          <w:lang w:val="en-US" w:eastAsia="zh-CN"/>
        </w:rPr>
        <w:t>气象灾害防治</w:t>
      </w:r>
      <w:bookmarkEnd w:id="270"/>
      <w:bookmarkEnd w:id="271"/>
    </w:p>
    <w:p w14:paraId="11D8E6C9">
      <w:pPr>
        <w:ind w:firstLine="560"/>
        <w:rPr>
          <w:rFonts w:hint="eastAsia" w:ascii="仿宋_GB2312" w:hAnsi="仿宋_GB2312" w:eastAsia="仿宋_GB2312" w:cs="仿宋_GB2312"/>
        </w:rPr>
      </w:pPr>
      <w:r>
        <w:rPr>
          <w:rFonts w:hint="eastAsia" w:ascii="仿宋_GB2312" w:hAnsi="仿宋_GB2312" w:eastAsia="仿宋_GB2312" w:cs="仿宋_GB2312"/>
        </w:rPr>
        <w:t>坚持“预防为主、防抗结合、以人为本、科学应对”的气象灾害防治原则。黑马河镇政府牵头，建立健全气象灾害防治小组，与共和县气象部门构建专项预防体系，构建乡镇暴雨、暴雪、冰雹及雷暴等极端天气预警体系，完善对极端天气的应急能力；建筑设计应确保建筑结构荷载能够抵御暴雨、冰雹等恶劣天气；通信、电力等设施，应安装避雷、防雷设施；合理安排气象防灾减灾设施用地等。</w:t>
      </w:r>
    </w:p>
    <w:p w14:paraId="3B7F01DC">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272" w:name="_Toc23115"/>
      <w:r>
        <w:rPr>
          <w:rFonts w:hint="eastAsia" w:ascii="楷体_GB2312" w:eastAsia="楷体_GB2312" w:cs="Times New Roman"/>
          <w:bCs/>
          <w:sz w:val="32"/>
          <w:szCs w:val="32"/>
          <w:lang w:val="en-US" w:eastAsia="zh-CN"/>
        </w:rPr>
        <w:t>应急救援体系</w:t>
      </w:r>
      <w:bookmarkEnd w:id="272"/>
    </w:p>
    <w:p w14:paraId="27DAD7E4">
      <w:pPr>
        <w:pStyle w:val="16"/>
        <w:ind w:firstLine="640"/>
        <w:rPr>
          <w:bCs/>
        </w:rPr>
      </w:pPr>
      <w:r>
        <w:rPr>
          <w:rFonts w:hint="eastAsia" w:ascii="楷体_GB2312" w:hAnsi="楷体_GB2312" w:eastAsia="楷体_GB2312" w:cs="楷体_GB2312"/>
          <w:szCs w:val="32"/>
        </w:rPr>
        <w:t>建立防灾减灾指挥机构。</w:t>
      </w:r>
      <w:r>
        <w:rPr>
          <w:bCs/>
        </w:rPr>
        <w:t>充分发挥</w:t>
      </w:r>
      <w:r>
        <w:rPr>
          <w:rFonts w:hint="eastAsia"/>
          <w:bCs/>
        </w:rPr>
        <w:t>政府防灾指挥职能，支持</w:t>
      </w:r>
      <w:r>
        <w:rPr>
          <w:rFonts w:hint="eastAsia"/>
          <w:bCs/>
          <w:lang w:val="en-US" w:eastAsia="zh-CN"/>
        </w:rPr>
        <w:t>黑马河镇</w:t>
      </w:r>
      <w:r>
        <w:rPr>
          <w:rFonts w:hint="eastAsia"/>
          <w:bCs/>
        </w:rPr>
        <w:t>应急指挥中心建设。建立涵盖</w:t>
      </w:r>
      <w:r>
        <w:rPr>
          <w:rFonts w:hint="eastAsia"/>
          <w:bCs/>
          <w:lang w:val="en-US" w:eastAsia="zh-CN"/>
        </w:rPr>
        <w:t>全镇</w:t>
      </w:r>
      <w:r>
        <w:rPr>
          <w:rFonts w:hint="eastAsia"/>
          <w:bCs/>
        </w:rPr>
        <w:t>的灾害应急指挥系统和防灾减灾救灾工作站，构建多元立体的信息报送体系。</w:t>
      </w:r>
    </w:p>
    <w:p w14:paraId="6809AF20">
      <w:pPr>
        <w:pStyle w:val="16"/>
        <w:ind w:firstLine="640"/>
        <w:rPr>
          <w:rFonts w:hint="eastAsia"/>
          <w:bCs/>
        </w:rPr>
      </w:pPr>
      <w:r>
        <w:rPr>
          <w:rFonts w:hint="eastAsia" w:ascii="楷体_GB2312" w:hAnsi="楷体_GB2312" w:eastAsia="楷体_GB2312" w:cs="楷体_GB2312"/>
          <w:szCs w:val="32"/>
        </w:rPr>
        <w:t>健全应急救援力量体系</w:t>
      </w:r>
      <w:r>
        <w:rPr>
          <w:rFonts w:hint="eastAsia" w:ascii="楷体_GB2312" w:hAnsi="楷体_GB2312" w:eastAsia="楷体_GB2312" w:cs="楷体_GB2312"/>
          <w:bCs/>
        </w:rPr>
        <w:t>。</w:t>
      </w:r>
      <w:r>
        <w:rPr>
          <w:rFonts w:hint="eastAsia"/>
          <w:bCs/>
        </w:rPr>
        <w:t>构建以专业应急救援力量为主、以社会应急力量为</w:t>
      </w:r>
      <w:r>
        <w:rPr>
          <w:rFonts w:hint="eastAsia"/>
          <w:bCs/>
          <w:lang w:eastAsia="zh-CN"/>
        </w:rPr>
        <w:t>辅</w:t>
      </w:r>
      <w:r>
        <w:rPr>
          <w:rFonts w:hint="eastAsia"/>
          <w:bCs/>
        </w:rPr>
        <w:t>，基层救援力量有效覆盖的应急救援力量体系。专业应急救援队伍依托</w:t>
      </w:r>
      <w:r>
        <w:rPr>
          <w:rFonts w:hint="eastAsia"/>
          <w:bCs/>
          <w:lang w:val="en-US" w:eastAsia="zh-CN"/>
        </w:rPr>
        <w:t>共和县</w:t>
      </w:r>
      <w:r>
        <w:rPr>
          <w:rFonts w:hint="eastAsia"/>
          <w:bCs/>
        </w:rPr>
        <w:t>消防救援支队，强化地震、地质灾害专业救援队伍和森林（草原）火灾专业扑救队伍建设，鼓励社会应急力量参与应急救援行动，结合乡镇专职消防队组建基层应急救援队。</w:t>
      </w:r>
    </w:p>
    <w:p w14:paraId="5817A601">
      <w:pPr>
        <w:pStyle w:val="16"/>
        <w:ind w:firstLine="640"/>
        <w:rPr>
          <w:rFonts w:hint="eastAsia"/>
          <w:bCs/>
        </w:rPr>
      </w:pPr>
      <w:r>
        <w:rPr>
          <w:rFonts w:hint="eastAsia" w:ascii="楷体_GB2312" w:hAnsi="楷体_GB2312" w:eastAsia="楷体_GB2312" w:cs="楷体_GB2312"/>
          <w:szCs w:val="32"/>
        </w:rPr>
        <w:t>完善应急避难疏散救援系统</w:t>
      </w:r>
      <w:r>
        <w:rPr>
          <w:rFonts w:hint="eastAsia" w:ascii="楷体_GB2312" w:hAnsi="楷体_GB2312" w:eastAsia="楷体_GB2312" w:cs="楷体_GB2312"/>
          <w:bCs/>
        </w:rPr>
        <w:t>。</w:t>
      </w:r>
      <w:r>
        <w:rPr>
          <w:rFonts w:hint="eastAsia"/>
          <w:bCs/>
        </w:rPr>
        <w:t>形成由防灾据点及防灾公园、固定避难场所、紧急避难场所构成的应急避难体系，以一级公路等干线公路为抗灾救灾干道，与对外救援疏散通道共同形成高效应急疏散网络体系；以省道、县道等公路及其他与对外救援疏散通道连接的</w:t>
      </w:r>
      <w:r>
        <w:rPr>
          <w:rFonts w:hint="eastAsia"/>
          <w:bCs/>
          <w:lang w:val="en-US" w:eastAsia="zh-CN"/>
        </w:rPr>
        <w:t>主要道路</w:t>
      </w:r>
      <w:r>
        <w:rPr>
          <w:rFonts w:hint="eastAsia"/>
          <w:bCs/>
        </w:rPr>
        <w:t>为避难疏散主、次干道。</w:t>
      </w:r>
    </w:p>
    <w:p w14:paraId="146FDE0A">
      <w:pPr>
        <w:pStyle w:val="16"/>
        <w:ind w:firstLine="640"/>
        <w:rPr>
          <w:rFonts w:hint="eastAsia"/>
          <w:bCs/>
        </w:rPr>
      </w:pPr>
      <w:r>
        <w:rPr>
          <w:rFonts w:hint="eastAsia" w:ascii="楷体_GB2312" w:hAnsi="楷体_GB2312" w:eastAsia="楷体_GB2312" w:cs="楷体_GB2312"/>
          <w:bCs/>
          <w:lang w:val="en-US" w:eastAsia="zh-CN"/>
        </w:rPr>
        <w:t>建设“平急两用”公共基础设施。</w:t>
      </w:r>
      <w:r>
        <w:rPr>
          <w:rFonts w:hint="default"/>
          <w:bCs/>
          <w:lang w:val="en-US" w:eastAsia="zh-CN"/>
        </w:rPr>
        <w:t>建设完善城镇空间布局合理、资源统筹共享、功能设施完备、平急（疫/战）综合利用的防灾设施体系。推进城镇公共设施及空间资源的功能复合利用，将防灾防疫</w:t>
      </w:r>
      <w:r>
        <w:rPr>
          <w:rFonts w:hint="eastAsia"/>
          <w:bCs/>
          <w:lang w:val="en-US" w:eastAsia="zh-CN"/>
        </w:rPr>
        <w:t>防控</w:t>
      </w:r>
      <w:r>
        <w:rPr>
          <w:rFonts w:hint="default"/>
          <w:bCs/>
          <w:lang w:val="en-US" w:eastAsia="zh-CN"/>
        </w:rPr>
        <w:t>与公共文化、教育、体育、旅游和城乡基础设施等融合共建共用。完善集隔离、应急医疗和物资保障为一体的“平急两用”重要应急保障设施，做好应急避难、疫情防控等功能转换，改善交通、市政等生命线工程接入条件，提高城镇公共空间韧性，预留应急避难、医疗空间</w:t>
      </w:r>
      <w:r>
        <w:rPr>
          <w:rFonts w:hint="eastAsia"/>
          <w:bCs/>
          <w:lang w:val="en-US" w:eastAsia="zh-CN"/>
        </w:rPr>
        <w:t>。</w:t>
      </w:r>
    </w:p>
    <w:p w14:paraId="1D23EEAA">
      <w:pPr>
        <w:pStyle w:val="3"/>
        <w:numPr>
          <w:ilvl w:val="0"/>
          <w:numId w:val="10"/>
        </w:numPr>
        <w:rPr>
          <w:rFonts w:hint="eastAsia" w:ascii="Arial" w:hAnsi="Arial" w:eastAsia="黑体" w:cs="Times New Roman"/>
          <w:b w:val="0"/>
          <w:lang w:val="en-US" w:eastAsia="zh-CN"/>
        </w:rPr>
      </w:pPr>
      <w:bookmarkStart w:id="273" w:name="_Toc1784"/>
      <w:bookmarkStart w:id="274" w:name="_Toc11631"/>
      <w:r>
        <w:rPr>
          <w:rFonts w:hint="eastAsia" w:ascii="Arial" w:hAnsi="Arial" w:eastAsia="黑体" w:cs="Times New Roman"/>
          <w:b w:val="0"/>
          <w:lang w:val="en-US" w:eastAsia="zh-CN"/>
        </w:rPr>
        <w:t>保障基础设施用地</w:t>
      </w:r>
      <w:bookmarkEnd w:id="273"/>
      <w:bookmarkEnd w:id="274"/>
    </w:p>
    <w:p w14:paraId="3984DDE5">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统筹协调</w:t>
      </w:r>
      <w:r>
        <w:rPr>
          <w:rFonts w:hint="eastAsia" w:ascii="楷体_GB2312" w:hAnsi="Times New Roman" w:eastAsia="楷体_GB2312" w:cs="Times New Roman"/>
          <w:bCs/>
          <w:sz w:val="32"/>
          <w:szCs w:val="32"/>
          <w:lang w:val="en-US" w:eastAsia="zh-CN"/>
        </w:rPr>
        <w:t>与落实</w:t>
      </w:r>
      <w:r>
        <w:rPr>
          <w:rFonts w:hint="eastAsia" w:ascii="楷体_GB2312" w:hAnsi="Times New Roman" w:eastAsia="楷体_GB2312" w:cs="Times New Roman"/>
          <w:bCs/>
          <w:sz w:val="32"/>
          <w:szCs w:val="32"/>
        </w:rPr>
        <w:t>基础设施布局</w:t>
      </w:r>
    </w:p>
    <w:p w14:paraId="1DAAC870">
      <w:pPr>
        <w:widowControl w:val="0"/>
        <w:spacing w:after="120" w:line="600" w:lineRule="exact"/>
        <w:ind w:firstLine="640"/>
        <w:jc w:val="both"/>
        <w:rPr>
          <w:rFonts w:hint="eastAsia" w:ascii="仿宋_GB2312" w:hAnsi="仿宋_GB2312" w:eastAsia="仿宋_GB2312" w:cs="仿宋_GB2312"/>
          <w:bCs/>
          <w:kern w:val="2"/>
          <w:sz w:val="32"/>
          <w:szCs w:val="22"/>
          <w:lang w:val="en-US" w:eastAsia="zh-CN" w:bidi="ar-SA"/>
        </w:rPr>
      </w:pPr>
      <w:r>
        <w:rPr>
          <w:rFonts w:hint="eastAsia" w:ascii="楷体_GB2312" w:hAnsi="楷体_GB2312" w:eastAsia="楷体_GB2312" w:cs="楷体_GB2312"/>
          <w:bCs/>
          <w:kern w:val="2"/>
          <w:sz w:val="32"/>
          <w:szCs w:val="22"/>
          <w:lang w:val="en-US" w:eastAsia="zh-CN" w:bidi="ar-SA"/>
        </w:rPr>
        <w:t>统筹协调与落实各类基础设施布局。</w:t>
      </w:r>
      <w:r>
        <w:rPr>
          <w:rFonts w:hint="eastAsia" w:ascii="仿宋_GB2312" w:hAnsi="仿宋_GB2312" w:eastAsia="仿宋_GB2312" w:cs="仿宋_GB2312"/>
          <w:bCs/>
          <w:kern w:val="2"/>
          <w:sz w:val="32"/>
          <w:szCs w:val="22"/>
          <w:lang w:val="en-US" w:eastAsia="zh-CN" w:bidi="ar-SA"/>
        </w:rPr>
        <w:t>加强县级国土空间规划、相关专项规划与乡镇国土空间规划的衔接，严格按照“三区三线”等国土空间规划管控要求，在国土空间规划“一张图”上统筹落实各类设施项目的空间需求，协调项目选址、布局和空间规模，确保各类项目的空间布局不冲突。线性基础设施在满足安全要求的基础上尽量共用廊道，提高复合利用水平，减少对国土空间的分割和过度占用。</w:t>
      </w:r>
    </w:p>
    <w:p w14:paraId="18DA9B49">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基础设施用地集约化利用</w:t>
      </w:r>
    </w:p>
    <w:p w14:paraId="22EB2FDB">
      <w:pPr>
        <w:widowControl w:val="0"/>
        <w:spacing w:after="120" w:line="600" w:lineRule="exact"/>
        <w:ind w:firstLine="640"/>
        <w:jc w:val="both"/>
        <w:rPr>
          <w:rFonts w:hint="eastAsia" w:ascii="仿宋_GB2312" w:hAnsi="仿宋_GB2312" w:eastAsia="仿宋_GB2312" w:cs="仿宋_GB2312"/>
          <w:bCs/>
          <w:kern w:val="2"/>
          <w:sz w:val="32"/>
          <w:szCs w:val="22"/>
          <w:lang w:val="en-US" w:eastAsia="zh-CN" w:bidi="ar-SA"/>
        </w:rPr>
      </w:pPr>
      <w:r>
        <w:rPr>
          <w:rFonts w:hint="eastAsia" w:ascii="楷体_GB2312" w:hAnsi="楷体_GB2312" w:eastAsia="楷体_GB2312" w:cs="楷体_GB2312"/>
          <w:bCs/>
          <w:kern w:val="2"/>
          <w:sz w:val="32"/>
          <w:szCs w:val="22"/>
          <w:lang w:val="en-US" w:eastAsia="zh-CN" w:bidi="ar-SA"/>
        </w:rPr>
        <w:t>引导各类基础设施集约用地。</w:t>
      </w:r>
      <w:r>
        <w:rPr>
          <w:rFonts w:hint="eastAsia" w:ascii="仿宋_GB2312" w:hAnsi="仿宋_GB2312" w:eastAsia="仿宋_GB2312" w:cs="仿宋_GB2312"/>
          <w:bCs/>
          <w:kern w:val="2"/>
          <w:sz w:val="32"/>
          <w:szCs w:val="22"/>
          <w:lang w:val="en-US" w:eastAsia="zh-CN" w:bidi="ar-SA"/>
        </w:rPr>
        <w:t>加强各类基础设施用地规模控制，严格执行各类项目建设用地标准，严格节约集约用地评价，积极推广节地技术。协调好清洁能源基地、基础设施建设与耕地保护、生态保护的关系。各类基础设施用地要合理避让耕地和永久基本农田、生态保护红线、自然灾害高风险区等区域，减少对生态敏感区的侵占和扰动，保障生态系统的连通性和完整性，降低对自然生态空间的分割和环境影响。确实无法避让的，应采取严格的环境保护措施，避免对相关区域生态系统造成重大不利影响。</w:t>
      </w:r>
    </w:p>
    <w:p w14:paraId="177CF096">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保障基础设施用地</w:t>
      </w:r>
    </w:p>
    <w:p w14:paraId="2816BDFD">
      <w:pPr>
        <w:widowControl w:val="0"/>
        <w:spacing w:after="120" w:line="600" w:lineRule="exact"/>
        <w:ind w:firstLine="640"/>
        <w:jc w:val="both"/>
        <w:rPr>
          <w:rFonts w:hint="eastAsia" w:ascii="仿宋_GB2312" w:hAnsi="仿宋_GB2312" w:eastAsia="仿宋_GB2312" w:cs="仿宋_GB2312"/>
          <w:bCs/>
          <w:kern w:val="2"/>
          <w:sz w:val="32"/>
          <w:szCs w:val="22"/>
          <w:lang w:val="en-US" w:eastAsia="zh-CN" w:bidi="ar-SA"/>
        </w:rPr>
      </w:pPr>
      <w:r>
        <w:rPr>
          <w:rFonts w:hint="eastAsia" w:ascii="楷体_GB2312" w:hAnsi="楷体_GB2312" w:eastAsia="楷体_GB2312" w:cs="楷体_GB2312"/>
          <w:bCs/>
          <w:kern w:val="2"/>
          <w:sz w:val="32"/>
          <w:szCs w:val="22"/>
          <w:lang w:val="en-US" w:eastAsia="zh-CN" w:bidi="ar-SA"/>
        </w:rPr>
        <w:t>加大重大基础设施建设用地保障力度，</w:t>
      </w:r>
      <w:r>
        <w:rPr>
          <w:rFonts w:hint="eastAsia" w:ascii="仿宋_GB2312" w:hAnsi="仿宋_GB2312" w:eastAsia="仿宋_GB2312" w:cs="仿宋_GB2312"/>
          <w:bCs/>
          <w:kern w:val="2"/>
          <w:sz w:val="32"/>
          <w:szCs w:val="22"/>
          <w:lang w:val="en-US" w:eastAsia="zh-CN" w:bidi="ar-SA"/>
        </w:rPr>
        <w:t>强化用地要素保障，保障交通、能源、水利等重大基础设施项目建设用地需求，合理保障其他基础设施用地，引导基础设施科学合理选址选线，落实最严格的耕地保护制度、节约集约制度和生态环境保护制度，各类建设项目不得突破建设用地标准。通过梳理重大基础设施项目清单、合理安排基础设施建设用地指标、加强基础设施建设用地审批管理等措施，多举措保障基础设施用地。</w:t>
      </w:r>
    </w:p>
    <w:p w14:paraId="111D7351">
      <w:pPr>
        <w:widowControl w:val="0"/>
        <w:spacing w:after="120" w:line="600" w:lineRule="exact"/>
        <w:ind w:firstLine="640"/>
        <w:jc w:val="both"/>
        <w:rPr>
          <w:rFonts w:hint="eastAsia" w:ascii="仿宋_GB2312" w:hAnsi="仿宋_GB2312" w:eastAsia="仿宋_GB2312" w:cs="仿宋_GB2312"/>
          <w:bCs/>
          <w:kern w:val="2"/>
          <w:sz w:val="32"/>
          <w:szCs w:val="22"/>
          <w:lang w:val="en-US" w:eastAsia="zh-CN" w:bidi="ar-SA"/>
        </w:rPr>
      </w:pPr>
      <w:r>
        <w:rPr>
          <w:rFonts w:hint="eastAsia" w:ascii="楷体_GB2312" w:hAnsi="楷体_GB2312" w:eastAsia="楷体_GB2312" w:cs="楷体_GB2312"/>
          <w:bCs/>
          <w:kern w:val="2"/>
          <w:sz w:val="32"/>
          <w:szCs w:val="22"/>
          <w:lang w:val="en-US" w:eastAsia="zh-CN" w:bidi="ar-SA"/>
        </w:rPr>
        <w:t>保障重大交通设施用地。</w:t>
      </w:r>
      <w:r>
        <w:rPr>
          <w:rFonts w:hint="eastAsia" w:ascii="仿宋_GB2312" w:hAnsi="仿宋_GB2312" w:eastAsia="仿宋_GB2312" w:cs="仿宋_GB2312"/>
          <w:bCs/>
          <w:kern w:val="2"/>
          <w:sz w:val="32"/>
          <w:szCs w:val="22"/>
          <w:lang w:val="en-US" w:eastAsia="zh-CN" w:bidi="ar-SA"/>
        </w:rPr>
        <w:t>加快城际铁路和铁路综合枢纽建设，保障“西宁-共和-青海湖-茶卡”城际铁路重点建设项目用地，发挥铁路在区域客、货运交通中的骨干作用，提高区域交通运输能力和服务水平。完善国家高速公路及国省干线公路网络，保障青海湖旅游专用公路、泽库-切泉沟高速公路（S22）等重点公路建设项目用地，落实农村公路提档升级改造项目建设用地，带动城镇建设，形成新的经济增长板块和产业带。保障燃气输配设施用地。保障农村公交客运站场建设用地，完善区域公交运输体系。保障物流中心建设用地，提高区域货运配送及保障能力。</w:t>
      </w:r>
    </w:p>
    <w:p w14:paraId="21ACF2DC">
      <w:pPr>
        <w:ind w:firstLine="560"/>
      </w:pPr>
      <w:r>
        <w:rPr>
          <w:rFonts w:hint="eastAsia" w:ascii="楷体_GB2312" w:hAnsi="楷体_GB2312" w:eastAsia="楷体_GB2312" w:cs="楷体_GB2312"/>
          <w:bCs/>
          <w:kern w:val="2"/>
          <w:sz w:val="32"/>
          <w:szCs w:val="22"/>
          <w:lang w:val="en-US" w:eastAsia="zh-CN" w:bidi="ar-SA"/>
        </w:rPr>
        <w:t>水利设施建设用地。</w:t>
      </w:r>
      <w:r>
        <w:rPr>
          <w:rFonts w:hint="eastAsia" w:ascii="仿宋_GB2312" w:hAnsi="仿宋_GB2312" w:eastAsia="仿宋_GB2312" w:cs="仿宋_GB2312"/>
          <w:bCs/>
          <w:kern w:val="2"/>
          <w:sz w:val="32"/>
          <w:szCs w:val="22"/>
          <w:lang w:val="en-US" w:eastAsia="zh-CN" w:bidi="ar-SA"/>
        </w:rPr>
        <w:t>支撑农村供水保障工程建设；保障重要河流防洪治理工程建设用地，提高城乡防灾减灾能力，推进</w:t>
      </w:r>
      <w:r>
        <w:rPr>
          <w:rFonts w:hint="eastAsia" w:ascii="仿宋_GB2312" w:hAnsi="仿宋_GB2312" w:cs="仿宋_GB2312"/>
          <w:bCs/>
          <w:kern w:val="2"/>
          <w:sz w:val="32"/>
          <w:szCs w:val="22"/>
          <w:lang w:val="en-US" w:eastAsia="zh-CN" w:bidi="ar-SA"/>
        </w:rPr>
        <w:t>黑马河、大喇叭河、然却乎沟</w:t>
      </w:r>
      <w:r>
        <w:rPr>
          <w:rFonts w:hint="eastAsia" w:ascii="仿宋_GB2312" w:hAnsi="仿宋_GB2312" w:eastAsia="仿宋_GB2312" w:cs="仿宋_GB2312"/>
          <w:bCs/>
          <w:kern w:val="2"/>
          <w:sz w:val="32"/>
          <w:szCs w:val="22"/>
          <w:lang w:val="en-US" w:eastAsia="zh-CN" w:bidi="ar-SA"/>
        </w:rPr>
        <w:t>等重点河段防洪达标治理工程;实施中小河流及农村河道治理工程；保</w:t>
      </w:r>
      <w:r>
        <w:rPr>
          <w:rFonts w:hint="eastAsia" w:ascii="仿宋_GB2312" w:hAnsi="仿宋_GB2312" w:cs="仿宋_GB2312"/>
          <w:bCs/>
          <w:kern w:val="2"/>
          <w:sz w:val="32"/>
          <w:szCs w:val="22"/>
          <w:lang w:val="en-US" w:eastAsia="zh-CN" w:bidi="ar-SA"/>
        </w:rPr>
        <w:t>障中</w:t>
      </w:r>
      <w:r>
        <w:rPr>
          <w:rFonts w:hint="eastAsia" w:ascii="仿宋_GB2312" w:hAnsi="仿宋_GB2312" w:eastAsia="仿宋_GB2312" w:cs="仿宋_GB2312"/>
          <w:bCs/>
          <w:kern w:val="2"/>
          <w:sz w:val="32"/>
          <w:szCs w:val="22"/>
          <w:lang w:val="en-US" w:eastAsia="zh-CN" w:bidi="ar-SA"/>
        </w:rPr>
        <w:t>小流域生态治理综合工程项目建设用地。</w:t>
      </w:r>
      <w:r>
        <w:br w:type="page"/>
      </w:r>
    </w:p>
    <w:p w14:paraId="2D6D164C">
      <w:pPr>
        <w:pStyle w:val="2"/>
        <w:ind w:left="-140"/>
        <w:rPr>
          <w:rFonts w:hint="eastAsia" w:ascii="方正小标宋简体" w:hAnsi="方正小标宋简体" w:eastAsia="方正小标宋简体" w:cs="方正小标宋简体"/>
          <w:b w:val="0"/>
          <w:bCs w:val="0"/>
          <w:lang w:val="en-US" w:eastAsia="zh-CN"/>
        </w:rPr>
      </w:pPr>
      <w:bookmarkStart w:id="275" w:name="_Toc22226"/>
      <w:bookmarkStart w:id="276" w:name="_Toc1681"/>
      <w:bookmarkStart w:id="277" w:name="_Toc16599"/>
      <w:r>
        <w:rPr>
          <w:rFonts w:hint="eastAsia" w:ascii="Times New Roman" w:hAnsi="Times New Roman" w:eastAsia="方正小标宋简体" w:cs="Times New Roman"/>
          <w:b w:val="0"/>
          <w:bCs w:val="0"/>
          <w:sz w:val="36"/>
          <w:szCs w:val="36"/>
        </w:rPr>
        <w:t>加强区域协调，引领</w:t>
      </w:r>
      <w:r>
        <w:rPr>
          <w:rFonts w:hint="eastAsia" w:eastAsia="方正小标宋简体" w:cs="Times New Roman"/>
          <w:b w:val="0"/>
          <w:bCs w:val="0"/>
          <w:sz w:val="36"/>
          <w:szCs w:val="36"/>
          <w:lang w:val="en-US" w:eastAsia="zh-CN"/>
        </w:rPr>
        <w:t>黑马河</w:t>
      </w:r>
      <w:r>
        <w:rPr>
          <w:rFonts w:hint="eastAsia" w:ascii="Times New Roman" w:hAnsi="Times New Roman" w:eastAsia="方正小标宋简体" w:cs="Times New Roman"/>
          <w:b w:val="0"/>
          <w:bCs w:val="0"/>
          <w:sz w:val="36"/>
          <w:szCs w:val="36"/>
          <w:lang w:val="en-US" w:eastAsia="zh-CN"/>
        </w:rPr>
        <w:t>发展</w:t>
      </w:r>
      <w:bookmarkEnd w:id="275"/>
      <w:bookmarkEnd w:id="276"/>
    </w:p>
    <w:p w14:paraId="2A4DF087">
      <w:pPr>
        <w:keepNext/>
        <w:keepLines/>
        <w:pageBreakBefore w:val="0"/>
        <w:widowControl w:val="0"/>
        <w:numPr>
          <w:ilvl w:val="1"/>
          <w:numId w:val="17"/>
        </w:numPr>
        <w:kinsoku/>
        <w:wordWrap/>
        <w:overflowPunct/>
        <w:topLinePunct w:val="0"/>
        <w:autoSpaceDE/>
        <w:autoSpaceDN/>
        <w:bidi w:val="0"/>
        <w:adjustRightInd/>
        <w:snapToGrid/>
        <w:spacing w:before="100" w:after="100" w:line="400" w:lineRule="exact"/>
        <w:ind w:left="0" w:leftChars="0" w:firstLine="402" w:firstLineChars="0"/>
        <w:jc w:val="center"/>
        <w:textAlignment w:val="auto"/>
        <w:outlineLvl w:val="1"/>
        <w:rPr>
          <w:rFonts w:hint="eastAsia" w:ascii="Arial" w:hAnsi="Arial" w:eastAsia="黑体" w:cs="Times New Roman"/>
          <w:b w:val="0"/>
          <w:bCs/>
          <w:kern w:val="2"/>
          <w:sz w:val="32"/>
          <w:szCs w:val="32"/>
          <w:lang w:val="en-US" w:eastAsia="zh-CN" w:bidi="ar-SA"/>
        </w:rPr>
      </w:pPr>
      <w:bookmarkStart w:id="278" w:name="_Toc167960586"/>
      <w:bookmarkStart w:id="279" w:name="_Toc20147"/>
      <w:bookmarkStart w:id="280" w:name="_Toc27359"/>
      <w:r>
        <w:rPr>
          <w:rFonts w:hint="eastAsia" w:ascii="Arial" w:hAnsi="Arial" w:eastAsia="黑体" w:cs="Times New Roman"/>
          <w:b w:val="0"/>
          <w:bCs/>
          <w:kern w:val="2"/>
          <w:sz w:val="32"/>
          <w:szCs w:val="32"/>
          <w:lang w:val="en-US" w:eastAsia="zh-CN" w:bidi="ar-SA"/>
        </w:rPr>
        <w:t>加快融入国家区域协调发展战略</w:t>
      </w:r>
      <w:bookmarkEnd w:id="278"/>
      <w:bookmarkEnd w:id="279"/>
      <w:bookmarkEnd w:id="280"/>
    </w:p>
    <w:p w14:paraId="4238005F">
      <w:pPr>
        <w:keepNext/>
        <w:keepLines/>
        <w:numPr>
          <w:ilvl w:val="0"/>
          <w:numId w:val="8"/>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bookmarkStart w:id="281" w:name="_Hlk137362007"/>
      <w:r>
        <w:rPr>
          <w:rFonts w:hint="eastAsia" w:ascii="楷体_GB2312" w:hAnsi="Times New Roman" w:eastAsia="楷体_GB2312" w:cs="Times New Roman"/>
          <w:bCs/>
          <w:sz w:val="32"/>
          <w:szCs w:val="32"/>
        </w:rPr>
        <w:t>融入“一带一路”建设</w:t>
      </w:r>
    </w:p>
    <w:bookmarkEnd w:id="281"/>
    <w:p w14:paraId="6E2242C8">
      <w:pPr>
        <w:widowControl w:val="0"/>
        <w:spacing w:after="120" w:line="600" w:lineRule="exact"/>
        <w:ind w:firstLine="640" w:firstLineChars="200"/>
        <w:jc w:val="both"/>
        <w:rPr>
          <w:rFonts w:ascii="Times New Roman" w:hAnsi="Times New Roman" w:eastAsia="仿宋_GB2312" w:cs="Times New Roman"/>
          <w:bCs/>
          <w:kern w:val="2"/>
          <w:sz w:val="32"/>
          <w:szCs w:val="24"/>
          <w:lang w:val="en-US" w:eastAsia="zh-CN" w:bidi="ar-SA"/>
        </w:rPr>
      </w:pPr>
      <w:r>
        <w:rPr>
          <w:rFonts w:hint="eastAsia" w:ascii="Times New Roman" w:hAnsi="Times New Roman" w:eastAsia="仿宋_GB2312" w:cs="Times New Roman"/>
          <w:bCs/>
          <w:kern w:val="2"/>
          <w:sz w:val="32"/>
          <w:szCs w:val="24"/>
          <w:lang w:val="en-US" w:eastAsia="zh-CN" w:bidi="ar-SA"/>
        </w:rPr>
        <w:t>强化</w:t>
      </w:r>
      <w:r>
        <w:rPr>
          <w:rFonts w:hint="eastAsia" w:cs="Times New Roman"/>
          <w:bCs/>
          <w:kern w:val="2"/>
          <w:sz w:val="32"/>
          <w:szCs w:val="24"/>
          <w:lang w:val="en-US" w:eastAsia="zh-CN" w:bidi="ar-SA"/>
        </w:rPr>
        <w:t>黑马河</w:t>
      </w:r>
      <w:r>
        <w:rPr>
          <w:rFonts w:hint="eastAsia" w:ascii="Times New Roman" w:hAnsi="Times New Roman" w:eastAsia="仿宋_GB2312" w:cs="Times New Roman"/>
          <w:bCs/>
          <w:kern w:val="2"/>
          <w:sz w:val="32"/>
          <w:szCs w:val="24"/>
          <w:lang w:val="en-US" w:eastAsia="zh-CN" w:bidi="ar-SA"/>
        </w:rPr>
        <w:t>镇与丝绸之路经济带沿线国家和地区的交流合作；加快铁路、公路建设，提升枢纽功能；夯实对外开放的互联互通基础；对接新亚欧大陆桥、中国—中亚和西亚，加大对中亚、西亚的产品输出。突出牛羊肉等优势产业，逐步扩大特色农畜产品出口贸易规模。</w:t>
      </w:r>
    </w:p>
    <w:p w14:paraId="30C8331F">
      <w:pPr>
        <w:keepNext/>
        <w:keepLines/>
        <w:numPr>
          <w:ilvl w:val="0"/>
          <w:numId w:val="8"/>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融入兰州—西宁城市群建设</w:t>
      </w:r>
    </w:p>
    <w:p w14:paraId="78C33E7A">
      <w:pPr>
        <w:widowControl w:val="0"/>
        <w:spacing w:after="120" w:line="600" w:lineRule="exact"/>
        <w:ind w:firstLine="640" w:firstLineChars="200"/>
        <w:jc w:val="both"/>
        <w:rPr>
          <w:rFonts w:ascii="Times New Roman" w:hAnsi="Times New Roman" w:eastAsia="仿宋_GB2312" w:cs="Times New Roman"/>
          <w:bCs/>
          <w:kern w:val="2"/>
          <w:sz w:val="32"/>
          <w:szCs w:val="24"/>
          <w:lang w:val="en-US" w:eastAsia="zh-CN" w:bidi="ar-SA"/>
        </w:rPr>
      </w:pPr>
      <w:r>
        <w:rPr>
          <w:rFonts w:hint="eastAsia" w:ascii="Times New Roman" w:hAnsi="Times New Roman" w:eastAsia="仿宋_GB2312" w:cs="Times New Roman"/>
          <w:bCs/>
          <w:kern w:val="2"/>
          <w:sz w:val="32"/>
          <w:szCs w:val="24"/>
          <w:lang w:val="en-US" w:eastAsia="zh-CN" w:bidi="ar-SA"/>
        </w:rPr>
        <w:t>积极发展新型清洁能源产业，融入共和县与西宁市协同发展新能源装备制造业。加快区域交通设施建设，融入国家综合交通运输体系，借力西宁至茶卡城际铁路，强化城际通勤和旅游交通联系；</w:t>
      </w:r>
      <w:bookmarkStart w:id="282" w:name="_Hlk149556947"/>
      <w:r>
        <w:rPr>
          <w:rFonts w:hint="eastAsia" w:ascii="Times New Roman" w:hAnsi="Times New Roman" w:eastAsia="仿宋_GB2312" w:cs="Times New Roman"/>
          <w:bCs/>
          <w:kern w:val="2"/>
          <w:sz w:val="32"/>
          <w:szCs w:val="24"/>
          <w:lang w:val="en-US" w:eastAsia="zh-CN" w:bidi="ar-SA"/>
        </w:rPr>
        <w:t>借助</w:t>
      </w:r>
      <w:r>
        <w:rPr>
          <w:rFonts w:hint="eastAsia" w:ascii="Times New Roman" w:hAnsi="Times New Roman" w:eastAsia="仿宋_GB2312" w:cs="Times New Roman"/>
          <w:bCs/>
          <w:kern w:val="2"/>
          <w:sz w:val="32"/>
          <w:szCs w:val="24"/>
          <w:lang w:val="zh-CN" w:eastAsia="zh-CN" w:bidi="ar-SA"/>
        </w:rPr>
        <w:t>青海湖旅游专线公路</w:t>
      </w:r>
      <w:bookmarkEnd w:id="282"/>
      <w:r>
        <w:rPr>
          <w:rFonts w:hint="eastAsia" w:ascii="Times New Roman" w:hAnsi="Times New Roman" w:eastAsia="仿宋_GB2312" w:cs="Times New Roman"/>
          <w:bCs/>
          <w:kern w:val="2"/>
          <w:sz w:val="32"/>
          <w:szCs w:val="24"/>
          <w:lang w:val="en-US" w:eastAsia="zh-CN" w:bidi="ar-SA"/>
        </w:rPr>
        <w:t>，与周边市县互联互通。积极承接西宁向外疏解的小型创新、文化等非中心功能，补位旅游休闲、康养等功能。</w:t>
      </w:r>
    </w:p>
    <w:p w14:paraId="0BCD7A40">
      <w:pPr>
        <w:keepNext/>
        <w:keepLines/>
        <w:numPr>
          <w:ilvl w:val="0"/>
          <w:numId w:val="8"/>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bookmarkStart w:id="283" w:name="_Hlk137362256"/>
      <w:r>
        <w:rPr>
          <w:rFonts w:hint="eastAsia" w:ascii="楷体_GB2312" w:hAnsi="Times New Roman" w:eastAsia="楷体_GB2312" w:cs="Times New Roman"/>
          <w:bCs/>
          <w:sz w:val="32"/>
          <w:szCs w:val="32"/>
        </w:rPr>
        <w:t>推动青海湖环湖地区保护与特色发展</w:t>
      </w:r>
      <w:bookmarkEnd w:id="283"/>
    </w:p>
    <w:p w14:paraId="250C22B1">
      <w:pPr>
        <w:widowControl w:val="0"/>
        <w:spacing w:after="120" w:line="600" w:lineRule="exact"/>
        <w:ind w:firstLine="640" w:firstLineChars="200"/>
        <w:jc w:val="both"/>
        <w:rPr>
          <w:rFonts w:ascii="Times New Roman" w:hAnsi="Times New Roman" w:eastAsia="仿宋_GB2312" w:cs="Times New Roman"/>
          <w:bCs/>
          <w:kern w:val="2"/>
          <w:sz w:val="32"/>
          <w:szCs w:val="24"/>
          <w:lang w:val="en-US" w:eastAsia="zh-CN" w:bidi="ar-SA"/>
        </w:rPr>
      </w:pPr>
      <w:r>
        <w:rPr>
          <w:rFonts w:hint="eastAsia" w:ascii="楷体" w:hAnsi="楷体" w:eastAsia="楷体" w:cs="Times New Roman"/>
          <w:kern w:val="2"/>
          <w:sz w:val="32"/>
          <w:szCs w:val="32"/>
          <w:lang w:val="en-US" w:eastAsia="zh-CN" w:bidi="ar-SA"/>
        </w:rPr>
        <w:t>协同环青海湖保护与开发</w:t>
      </w:r>
      <w:r>
        <w:rPr>
          <w:rFonts w:hint="eastAsia" w:ascii="Times New Roman" w:hAnsi="Times New Roman" w:eastAsia="仿宋_GB2312" w:cs="Times New Roman"/>
          <w:bCs/>
          <w:kern w:val="2"/>
          <w:sz w:val="32"/>
          <w:szCs w:val="24"/>
          <w:lang w:val="en-US" w:eastAsia="zh-CN" w:bidi="ar-SA"/>
        </w:rPr>
        <w:t>。加强与周边区域在环湖天然林草恢复、退化草原治理、湿地保护修复、水土保持和沙化土地封禁保护、污染源清理等方面的生态保护与修复协作。与青海湖融合发展，带动相关产业发展和吸纳就业，助推</w:t>
      </w:r>
      <w:r>
        <w:rPr>
          <w:rFonts w:hint="eastAsia" w:cs="Times New Roman"/>
          <w:bCs/>
          <w:kern w:val="2"/>
          <w:sz w:val="32"/>
          <w:szCs w:val="24"/>
          <w:lang w:val="en-US" w:eastAsia="zh-CN" w:bidi="ar-SA"/>
        </w:rPr>
        <w:t>黑马河</w:t>
      </w:r>
      <w:r>
        <w:rPr>
          <w:rFonts w:hint="eastAsia" w:ascii="Times New Roman" w:hAnsi="Times New Roman" w:eastAsia="仿宋_GB2312" w:cs="Times New Roman"/>
          <w:bCs/>
          <w:kern w:val="2"/>
          <w:sz w:val="32"/>
          <w:szCs w:val="24"/>
          <w:lang w:val="en-US" w:eastAsia="zh-CN" w:bidi="ar-SA"/>
        </w:rPr>
        <w:t>镇乡村振兴。联动推进青海湖环湖旅游，完善</w:t>
      </w:r>
      <w:r>
        <w:rPr>
          <w:rFonts w:hint="eastAsia" w:cs="Times New Roman"/>
          <w:bCs/>
          <w:kern w:val="2"/>
          <w:sz w:val="32"/>
          <w:szCs w:val="24"/>
          <w:lang w:val="en-US" w:eastAsia="zh-CN" w:bidi="ar-SA"/>
        </w:rPr>
        <w:t>黑马河</w:t>
      </w:r>
      <w:r>
        <w:rPr>
          <w:rFonts w:hint="eastAsia" w:ascii="Times New Roman" w:hAnsi="Times New Roman" w:eastAsia="仿宋_GB2312" w:cs="Times New Roman"/>
          <w:bCs/>
          <w:kern w:val="2"/>
          <w:sz w:val="32"/>
          <w:szCs w:val="24"/>
          <w:lang w:val="en-US" w:eastAsia="zh-CN" w:bidi="ar-SA"/>
        </w:rPr>
        <w:t>镇区旅游集散中心配套建设。</w:t>
      </w:r>
    </w:p>
    <w:p w14:paraId="513244E1">
      <w:pPr>
        <w:widowControl w:val="0"/>
        <w:spacing w:after="120" w:line="600" w:lineRule="exact"/>
        <w:ind w:firstLine="640" w:firstLineChars="200"/>
        <w:jc w:val="both"/>
        <w:rPr>
          <w:rFonts w:ascii="Times New Roman" w:hAnsi="Times New Roman" w:eastAsia="仿宋_GB2312" w:cs="Times New Roman"/>
          <w:bCs/>
          <w:kern w:val="2"/>
          <w:sz w:val="32"/>
          <w:szCs w:val="24"/>
          <w:lang w:val="en-US" w:eastAsia="zh-CN" w:bidi="ar-SA"/>
        </w:rPr>
      </w:pPr>
      <w:r>
        <w:rPr>
          <w:rFonts w:hint="eastAsia" w:ascii="楷体" w:hAnsi="楷体" w:eastAsia="楷体" w:cs="Times New Roman"/>
          <w:kern w:val="2"/>
          <w:sz w:val="32"/>
          <w:szCs w:val="32"/>
          <w:lang w:val="en-US" w:eastAsia="zh-CN" w:bidi="ar-SA"/>
        </w:rPr>
        <w:t>坚守底线管控，落实国家公园管控分区</w:t>
      </w:r>
      <w:r>
        <w:rPr>
          <w:rFonts w:hint="eastAsia" w:ascii="Times New Roman" w:hAnsi="Times New Roman" w:eastAsia="仿宋_GB2312" w:cs="Times New Roman"/>
          <w:bCs/>
          <w:kern w:val="2"/>
          <w:sz w:val="32"/>
          <w:szCs w:val="24"/>
          <w:lang w:val="en-US" w:eastAsia="zh-CN" w:bidi="ar-SA"/>
        </w:rPr>
        <w:t>。按照建设国家公园的标准，落实青海湖控制界限与管控分区；重点协调管控分区与生态保护红线、永久基本农田和城镇开发边界控制线的空间关系，确保各控制线之间不冲突。推进生态优先，强化环湖生态保护修复。增强服务能级，提升环湖旅游发展功能。做好园地协同，推动国家公园社区建设。</w:t>
      </w:r>
    </w:p>
    <w:p w14:paraId="78C415B8">
      <w:pPr>
        <w:keepNext/>
        <w:keepLines/>
        <w:pageBreakBefore w:val="0"/>
        <w:widowControl w:val="0"/>
        <w:numPr>
          <w:ilvl w:val="1"/>
          <w:numId w:val="17"/>
        </w:numPr>
        <w:kinsoku/>
        <w:wordWrap/>
        <w:overflowPunct/>
        <w:topLinePunct w:val="0"/>
        <w:autoSpaceDE/>
        <w:autoSpaceDN/>
        <w:bidi w:val="0"/>
        <w:adjustRightInd/>
        <w:snapToGrid/>
        <w:spacing w:before="100" w:after="100" w:line="400" w:lineRule="exact"/>
        <w:ind w:left="0" w:leftChars="0" w:firstLine="402" w:firstLineChars="0"/>
        <w:jc w:val="center"/>
        <w:textAlignment w:val="auto"/>
        <w:outlineLvl w:val="1"/>
        <w:rPr>
          <w:rFonts w:hint="eastAsia" w:ascii="Arial" w:hAnsi="Arial" w:eastAsia="黑体" w:cs="Times New Roman"/>
          <w:b w:val="0"/>
          <w:bCs/>
          <w:kern w:val="2"/>
          <w:sz w:val="32"/>
          <w:szCs w:val="32"/>
          <w:lang w:val="en-US" w:eastAsia="zh-CN" w:bidi="ar-SA"/>
        </w:rPr>
      </w:pPr>
      <w:bookmarkStart w:id="284" w:name="_Toc167960588"/>
      <w:bookmarkStart w:id="285" w:name="_Toc15496"/>
      <w:bookmarkStart w:id="286" w:name="_Toc32180"/>
      <w:r>
        <w:rPr>
          <w:rFonts w:hint="eastAsia" w:ascii="Arial" w:hAnsi="Arial" w:eastAsia="黑体" w:cs="Times New Roman"/>
          <w:b w:val="0"/>
          <w:bCs/>
          <w:kern w:val="2"/>
          <w:sz w:val="32"/>
          <w:szCs w:val="32"/>
          <w:lang w:val="en-US" w:eastAsia="zh-CN" w:bidi="ar-SA"/>
        </w:rPr>
        <w:t>引领黑马河镇</w:t>
      </w:r>
      <w:bookmarkEnd w:id="284"/>
      <w:r>
        <w:rPr>
          <w:rFonts w:hint="eastAsia" w:ascii="Arial" w:hAnsi="Arial" w:eastAsia="黑体" w:cs="Times New Roman"/>
          <w:b w:val="0"/>
          <w:bCs/>
          <w:kern w:val="2"/>
          <w:sz w:val="32"/>
          <w:szCs w:val="32"/>
          <w:lang w:val="en-US" w:eastAsia="zh-CN" w:bidi="ar-SA"/>
        </w:rPr>
        <w:t>发展</w:t>
      </w:r>
      <w:bookmarkEnd w:id="285"/>
      <w:bookmarkEnd w:id="286"/>
    </w:p>
    <w:p w14:paraId="2BA0F585">
      <w:pPr>
        <w:keepNext/>
        <w:keepLines/>
        <w:numPr>
          <w:ilvl w:val="0"/>
          <w:numId w:val="8"/>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建设泛共和盆地</w:t>
      </w:r>
      <w:r>
        <w:rPr>
          <w:rFonts w:hint="eastAsia" w:ascii="楷体_GB2312" w:hAnsi="Times New Roman" w:eastAsia="楷体_GB2312" w:cs="Times New Roman"/>
          <w:bCs/>
          <w:sz w:val="32"/>
          <w:szCs w:val="32"/>
          <w:lang w:val="en-US" w:eastAsia="zh-CN"/>
        </w:rPr>
        <w:t>重点城镇</w:t>
      </w:r>
    </w:p>
    <w:p w14:paraId="35AE1002">
      <w:pPr>
        <w:widowControl w:val="0"/>
        <w:spacing w:after="120" w:line="600" w:lineRule="exact"/>
        <w:ind w:firstLine="640" w:firstLineChars="200"/>
        <w:jc w:val="both"/>
        <w:rPr>
          <w:rFonts w:ascii="Times New Roman" w:hAnsi="Times New Roman" w:eastAsia="仿宋_GB2312" w:cs="Times New Roman"/>
          <w:bCs/>
          <w:kern w:val="2"/>
          <w:sz w:val="32"/>
          <w:szCs w:val="24"/>
          <w:lang w:val="en-US" w:eastAsia="zh-CN" w:bidi="ar-SA"/>
        </w:rPr>
      </w:pPr>
      <w:r>
        <w:rPr>
          <w:rFonts w:hint="eastAsia" w:ascii="楷体" w:hAnsi="楷体" w:eastAsia="楷体" w:cs="Times New Roman"/>
          <w:kern w:val="2"/>
          <w:sz w:val="32"/>
          <w:szCs w:val="32"/>
          <w:lang w:val="en-US" w:eastAsia="zh-CN" w:bidi="ar-SA"/>
        </w:rPr>
        <w:t>强化公共服务共建共享，提升区域集聚度</w:t>
      </w:r>
      <w:r>
        <w:rPr>
          <w:rFonts w:hint="eastAsia" w:ascii="Times New Roman" w:hAnsi="Times New Roman" w:eastAsia="仿宋_GB2312" w:cs="Times New Roman"/>
          <w:bCs/>
          <w:kern w:val="2"/>
          <w:sz w:val="32"/>
          <w:szCs w:val="24"/>
          <w:lang w:val="en-US" w:eastAsia="zh-CN" w:bidi="ar-SA"/>
        </w:rPr>
        <w:t>。高标准建设教育、医疗、文化、体育等各类州、县级公共服务设施，增强</w:t>
      </w:r>
      <w:r>
        <w:rPr>
          <w:rFonts w:hint="eastAsia" w:cs="Times New Roman"/>
          <w:bCs/>
          <w:kern w:val="2"/>
          <w:sz w:val="32"/>
          <w:szCs w:val="24"/>
          <w:lang w:val="en-US" w:eastAsia="zh-CN" w:bidi="ar-SA"/>
        </w:rPr>
        <w:t>黑马河</w:t>
      </w:r>
      <w:r>
        <w:rPr>
          <w:rFonts w:hint="eastAsia" w:ascii="Times New Roman" w:hAnsi="Times New Roman" w:eastAsia="仿宋_GB2312" w:cs="Times New Roman"/>
          <w:bCs/>
          <w:kern w:val="2"/>
          <w:sz w:val="32"/>
          <w:szCs w:val="24"/>
          <w:lang w:val="en-US" w:eastAsia="zh-CN" w:bidi="ar-SA"/>
        </w:rPr>
        <w:t>镇区对区域服务功能。加快城镇产业集群发展，培育清洁能源、大数据等现代产业集群。加快打造现代服务业高地，积极发展商务服务、金融服务、酒店餐饮服务、物流服务等现代服务业。</w:t>
      </w:r>
    </w:p>
    <w:p w14:paraId="732D591B">
      <w:pPr>
        <w:keepNext/>
        <w:keepLines/>
        <w:numPr>
          <w:ilvl w:val="0"/>
          <w:numId w:val="8"/>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强化与周边各</w:t>
      </w:r>
      <w:r>
        <w:rPr>
          <w:rFonts w:hint="eastAsia" w:ascii="楷体_GB2312" w:hAnsi="Times New Roman" w:eastAsia="楷体_GB2312" w:cs="Times New Roman"/>
          <w:bCs/>
          <w:sz w:val="32"/>
          <w:szCs w:val="32"/>
          <w:lang w:val="en-US" w:eastAsia="zh-CN"/>
        </w:rPr>
        <w:t>镇</w:t>
      </w:r>
      <w:r>
        <w:rPr>
          <w:rFonts w:hint="eastAsia" w:ascii="楷体_GB2312" w:hAnsi="Times New Roman" w:eastAsia="楷体_GB2312" w:cs="Times New Roman"/>
          <w:bCs/>
          <w:sz w:val="32"/>
          <w:szCs w:val="32"/>
        </w:rPr>
        <w:t>协调联动发展</w:t>
      </w:r>
    </w:p>
    <w:p w14:paraId="5E27F23D">
      <w:pPr>
        <w:widowControl w:val="0"/>
        <w:spacing w:after="120" w:line="600" w:lineRule="exact"/>
        <w:ind w:firstLine="640" w:firstLineChars="200"/>
        <w:jc w:val="both"/>
        <w:rPr>
          <w:rFonts w:ascii="Times New Roman" w:hAnsi="Times New Roman" w:eastAsia="仿宋_GB2312" w:cs="Times New Roman"/>
          <w:bCs/>
          <w:kern w:val="2"/>
          <w:sz w:val="32"/>
          <w:szCs w:val="24"/>
          <w:lang w:val="en-US" w:eastAsia="zh-CN" w:bidi="ar-SA"/>
        </w:rPr>
      </w:pPr>
      <w:r>
        <w:rPr>
          <w:rFonts w:hint="eastAsia" w:ascii="楷体" w:hAnsi="楷体" w:eastAsia="楷体" w:cs="Times New Roman"/>
          <w:kern w:val="2"/>
          <w:sz w:val="32"/>
          <w:szCs w:val="32"/>
          <w:lang w:val="en-US" w:eastAsia="zh-CN" w:bidi="ar-SA"/>
        </w:rPr>
        <w:t>联动环湖四镇，共塑环湖城镇发展新格局</w:t>
      </w:r>
      <w:r>
        <w:rPr>
          <w:rFonts w:hint="eastAsia" w:ascii="Times New Roman" w:hAnsi="Times New Roman" w:eastAsia="仿宋_GB2312" w:cs="Times New Roman"/>
          <w:bCs/>
          <w:kern w:val="2"/>
          <w:sz w:val="32"/>
          <w:szCs w:val="24"/>
          <w:lang w:val="en-US" w:eastAsia="zh-CN" w:bidi="ar-SA"/>
        </w:rPr>
        <w:t>。联动</w:t>
      </w:r>
      <w:r>
        <w:rPr>
          <w:rFonts w:hint="eastAsia" w:cs="Times New Roman"/>
          <w:bCs/>
          <w:kern w:val="2"/>
          <w:sz w:val="32"/>
          <w:szCs w:val="24"/>
          <w:lang w:val="en-US" w:eastAsia="zh-CN" w:bidi="ar-SA"/>
        </w:rPr>
        <w:t>倒淌河</w:t>
      </w:r>
      <w:r>
        <w:rPr>
          <w:rFonts w:hint="eastAsia" w:ascii="Times New Roman" w:hAnsi="Times New Roman" w:eastAsia="仿宋_GB2312" w:cs="Times New Roman"/>
          <w:bCs/>
          <w:kern w:val="2"/>
          <w:sz w:val="32"/>
          <w:szCs w:val="24"/>
          <w:lang w:val="en-US" w:eastAsia="zh-CN" w:bidi="ar-SA"/>
        </w:rPr>
        <w:t>镇、石乃亥镇和江西沟镇，加强</w:t>
      </w:r>
      <w:r>
        <w:rPr>
          <w:rFonts w:hint="eastAsia" w:ascii="Times New Roman" w:hAnsi="Times New Roman" w:eastAsia="仿宋_GB2312" w:cs="Times New Roman"/>
          <w:bCs/>
          <w:kern w:val="2"/>
          <w:sz w:val="32"/>
          <w:szCs w:val="24"/>
          <w:lang w:val="en-US" w:eastAsia="zh-CN" w:bidi="ar"/>
        </w:rPr>
        <w:t>生态保护与修复协作，协调</w:t>
      </w:r>
      <w:r>
        <w:rPr>
          <w:rFonts w:hint="eastAsia" w:ascii="Times New Roman" w:hAnsi="Times New Roman" w:eastAsia="仿宋_GB2312" w:cs="Times New Roman"/>
          <w:bCs/>
          <w:kern w:val="2"/>
          <w:sz w:val="32"/>
          <w:szCs w:val="24"/>
          <w:lang w:val="en-US" w:eastAsia="zh-CN" w:bidi="ar-SA"/>
        </w:rPr>
        <w:t>统筹青海湖环湖旅游，推动共创青海湖国家公园。加强产业链上下游对接、旅游市场开拓等方面的错位协同。</w:t>
      </w:r>
    </w:p>
    <w:p w14:paraId="1171BF49">
      <w:pPr>
        <w:keepNext/>
        <w:keepLines/>
        <w:pageBreakBefore w:val="0"/>
        <w:widowControl w:val="0"/>
        <w:numPr>
          <w:ilvl w:val="1"/>
          <w:numId w:val="17"/>
        </w:numPr>
        <w:kinsoku/>
        <w:wordWrap/>
        <w:overflowPunct/>
        <w:topLinePunct w:val="0"/>
        <w:autoSpaceDE/>
        <w:autoSpaceDN/>
        <w:bidi w:val="0"/>
        <w:adjustRightInd/>
        <w:snapToGrid/>
        <w:spacing w:before="100" w:after="100" w:line="400" w:lineRule="exact"/>
        <w:ind w:left="0" w:leftChars="0" w:firstLine="402" w:firstLineChars="0"/>
        <w:jc w:val="center"/>
        <w:textAlignment w:val="auto"/>
        <w:outlineLvl w:val="1"/>
        <w:rPr>
          <w:rFonts w:hint="eastAsia" w:ascii="Arial" w:hAnsi="Arial" w:eastAsia="黑体" w:cs="Times New Roman"/>
          <w:b w:val="0"/>
          <w:bCs/>
          <w:kern w:val="2"/>
          <w:sz w:val="32"/>
          <w:szCs w:val="32"/>
          <w:lang w:val="zh-CN" w:eastAsia="zh-CN" w:bidi="ar-SA"/>
        </w:rPr>
      </w:pPr>
      <w:bookmarkStart w:id="287" w:name="_Toc3776"/>
      <w:bookmarkStart w:id="288" w:name="_Toc1525"/>
      <w:bookmarkStart w:id="289" w:name="_Toc167960589"/>
      <w:r>
        <w:rPr>
          <w:rFonts w:hint="eastAsia" w:ascii="Arial" w:hAnsi="Arial" w:eastAsia="黑体" w:cs="Times New Roman"/>
          <w:b w:val="0"/>
          <w:bCs/>
          <w:kern w:val="2"/>
          <w:sz w:val="32"/>
          <w:szCs w:val="32"/>
          <w:lang w:val="en-US" w:eastAsia="zh-CN" w:bidi="ar-SA"/>
        </w:rPr>
        <w:t>辐射带动周边城镇保护与发展</w:t>
      </w:r>
      <w:bookmarkEnd w:id="287"/>
      <w:bookmarkEnd w:id="288"/>
      <w:bookmarkEnd w:id="289"/>
    </w:p>
    <w:p w14:paraId="34440666">
      <w:pPr>
        <w:keepNext/>
        <w:keepLines/>
        <w:numPr>
          <w:ilvl w:val="0"/>
          <w:numId w:val="8"/>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推动面向</w:t>
      </w:r>
      <w:r>
        <w:rPr>
          <w:rFonts w:hint="eastAsia" w:ascii="楷体_GB2312" w:hAnsi="Times New Roman" w:eastAsia="楷体_GB2312" w:cs="Times New Roman"/>
          <w:bCs/>
          <w:sz w:val="32"/>
          <w:szCs w:val="32"/>
          <w:lang w:val="en-US" w:eastAsia="zh-CN"/>
        </w:rPr>
        <w:t>环湖</w:t>
      </w:r>
      <w:r>
        <w:rPr>
          <w:rFonts w:hint="eastAsia" w:ascii="楷体_GB2312" w:hAnsi="Times New Roman" w:eastAsia="楷体_GB2312" w:cs="Times New Roman"/>
          <w:bCs/>
          <w:sz w:val="32"/>
          <w:szCs w:val="32"/>
        </w:rPr>
        <w:t>地区的经济合作</w:t>
      </w:r>
    </w:p>
    <w:p w14:paraId="760C129B">
      <w:pPr>
        <w:widowControl w:val="0"/>
        <w:spacing w:after="120" w:line="600" w:lineRule="exact"/>
        <w:ind w:firstLine="640" w:firstLineChars="200"/>
        <w:jc w:val="both"/>
        <w:rPr>
          <w:rFonts w:ascii="Times New Roman" w:hAnsi="Times New Roman" w:eastAsia="仿宋_GB2312" w:cs="Times New Roman"/>
          <w:bCs/>
          <w:kern w:val="2"/>
          <w:sz w:val="32"/>
          <w:szCs w:val="24"/>
          <w:lang w:val="en-US" w:eastAsia="zh-CN" w:bidi="ar-SA"/>
        </w:rPr>
      </w:pPr>
      <w:r>
        <w:rPr>
          <w:rFonts w:hint="eastAsia" w:ascii="Times New Roman" w:hAnsi="Times New Roman" w:eastAsia="仿宋_GB2312" w:cs="Times New Roman"/>
          <w:bCs/>
          <w:kern w:val="2"/>
          <w:sz w:val="32"/>
          <w:szCs w:val="24"/>
          <w:lang w:val="en-US" w:eastAsia="zh-CN" w:bidi="ar-SA"/>
        </w:rPr>
        <w:t>建立共和县环湖四镇区域联动机制，承接产业转移、建设跨镇园区、发展飞地经济，完善公共基础设施，促进产业集约发展和优化升级。</w:t>
      </w:r>
    </w:p>
    <w:p w14:paraId="55EF04EA">
      <w:pPr>
        <w:keepNext/>
        <w:keepLines/>
        <w:numPr>
          <w:ilvl w:val="0"/>
          <w:numId w:val="8"/>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强化</w:t>
      </w:r>
      <w:r>
        <w:rPr>
          <w:rFonts w:hint="eastAsia" w:ascii="楷体_GB2312" w:hAnsi="Times New Roman" w:eastAsia="楷体_GB2312" w:cs="Times New Roman"/>
          <w:bCs/>
          <w:sz w:val="32"/>
          <w:szCs w:val="32"/>
          <w:lang w:val="en-US" w:eastAsia="zh-CN"/>
        </w:rPr>
        <w:t>环湖地区</w:t>
      </w:r>
      <w:r>
        <w:rPr>
          <w:rFonts w:hint="eastAsia" w:ascii="楷体_GB2312" w:hAnsi="Times New Roman" w:eastAsia="楷体_GB2312" w:cs="Times New Roman"/>
          <w:bCs/>
          <w:sz w:val="32"/>
          <w:szCs w:val="32"/>
        </w:rPr>
        <w:t>生态保护与文化协作</w:t>
      </w:r>
    </w:p>
    <w:p w14:paraId="5B53674A">
      <w:pPr>
        <w:rPr>
          <w:rFonts w:hint="eastAsia" w:ascii="Times New Roman" w:hAnsi="Times New Roman" w:eastAsia="仿宋_GB2312" w:cs="Times New Roman"/>
          <w:bCs/>
          <w:kern w:val="2"/>
          <w:sz w:val="32"/>
          <w:szCs w:val="24"/>
          <w:lang w:val="en-US" w:eastAsia="zh-CN" w:bidi="ar-SA"/>
        </w:rPr>
      </w:pPr>
      <w:r>
        <w:rPr>
          <w:rFonts w:hint="eastAsia" w:ascii="Times New Roman" w:hAnsi="Times New Roman" w:eastAsia="仿宋_GB2312" w:cs="Times New Roman"/>
          <w:bCs/>
          <w:kern w:val="2"/>
          <w:sz w:val="32"/>
          <w:szCs w:val="24"/>
          <w:lang w:val="en-US" w:eastAsia="zh-CN" w:bidi="ar-SA"/>
        </w:rPr>
        <w:t>共同推进青海湖旅游专线建设，推动环青海湖旅游精品线路提档升级。协同环湖地区生态综合治理，联动保护湿地生态系统、高寒生态系统和野生动植物。强化环湖地区在唐蕃文化、</w:t>
      </w:r>
      <w:r>
        <w:rPr>
          <w:rFonts w:hint="eastAsia" w:cs="Times New Roman"/>
          <w:bCs/>
          <w:kern w:val="2"/>
          <w:sz w:val="32"/>
          <w:szCs w:val="24"/>
          <w:lang w:val="en-US" w:eastAsia="zh-CN" w:bidi="ar-SA"/>
        </w:rPr>
        <w:t>吐谷浑</w:t>
      </w:r>
      <w:r>
        <w:rPr>
          <w:rFonts w:hint="eastAsia" w:ascii="Times New Roman" w:hAnsi="Times New Roman" w:eastAsia="仿宋_GB2312" w:cs="Times New Roman"/>
          <w:bCs/>
          <w:kern w:val="2"/>
          <w:sz w:val="32"/>
          <w:szCs w:val="24"/>
          <w:lang w:val="en-US" w:eastAsia="zh-CN" w:bidi="ar-SA"/>
        </w:rPr>
        <w:t>文化方面的共同保护与开发。</w:t>
      </w:r>
    </w:p>
    <w:p w14:paraId="6DD817D9">
      <w:pPr>
        <w:rPr>
          <w:rFonts w:hint="eastAsia" w:ascii="Times New Roman" w:hAnsi="Times New Roman" w:eastAsia="仿宋_GB2312" w:cs="Times New Roman"/>
          <w:bCs/>
          <w:kern w:val="2"/>
          <w:sz w:val="32"/>
          <w:szCs w:val="24"/>
          <w:lang w:val="en-US" w:eastAsia="zh-CN" w:bidi="ar-SA"/>
        </w:rPr>
      </w:pPr>
      <w:r>
        <w:rPr>
          <w:rFonts w:hint="eastAsia" w:ascii="Times New Roman" w:hAnsi="Times New Roman" w:eastAsia="仿宋_GB2312" w:cs="Times New Roman"/>
          <w:bCs/>
          <w:kern w:val="2"/>
          <w:sz w:val="32"/>
          <w:szCs w:val="24"/>
          <w:lang w:val="en-US" w:eastAsia="zh-CN" w:bidi="ar-SA"/>
        </w:rPr>
        <w:br w:type="page"/>
      </w:r>
    </w:p>
    <w:p w14:paraId="0DE1835A">
      <w:pPr>
        <w:pStyle w:val="2"/>
        <w:ind w:left="-140"/>
        <w:rPr>
          <w:rFonts w:hint="eastAsia" w:ascii="方正小标宋简体" w:hAnsi="方正小标宋简体" w:eastAsia="方正小标宋简体" w:cs="方正小标宋简体"/>
          <w:b w:val="0"/>
          <w:bCs w:val="0"/>
          <w:lang w:val="en-US" w:eastAsia="zh-CN"/>
        </w:rPr>
      </w:pPr>
      <w:bookmarkStart w:id="290" w:name="_Toc25050"/>
      <w:r>
        <w:rPr>
          <w:rFonts w:hint="eastAsia" w:ascii="方正小标宋简体" w:hAnsi="方正小标宋简体" w:eastAsia="方正小标宋简体" w:cs="方正小标宋简体"/>
          <w:b w:val="0"/>
          <w:bCs w:val="0"/>
          <w:lang w:val="en-US" w:eastAsia="zh-CN"/>
        </w:rPr>
        <w:t>完善体制机制，高质量做好规划实施保障</w:t>
      </w:r>
      <w:bookmarkEnd w:id="277"/>
      <w:bookmarkEnd w:id="290"/>
    </w:p>
    <w:p w14:paraId="599AEFB8">
      <w:pPr>
        <w:keepNext/>
        <w:keepLines/>
        <w:pageBreakBefore w:val="0"/>
        <w:widowControl w:val="0"/>
        <w:numPr>
          <w:ilvl w:val="1"/>
          <w:numId w:val="18"/>
        </w:numPr>
        <w:kinsoku/>
        <w:wordWrap/>
        <w:overflowPunct/>
        <w:topLinePunct w:val="0"/>
        <w:autoSpaceDE/>
        <w:autoSpaceDN/>
        <w:bidi w:val="0"/>
        <w:adjustRightInd/>
        <w:snapToGrid/>
        <w:spacing w:before="100" w:after="100" w:line="400" w:lineRule="exact"/>
        <w:ind w:left="0" w:leftChars="0" w:firstLine="402" w:firstLineChars="0"/>
        <w:jc w:val="center"/>
        <w:textAlignment w:val="auto"/>
        <w:outlineLvl w:val="1"/>
        <w:rPr>
          <w:rFonts w:hint="eastAsia" w:ascii="Arial" w:hAnsi="Arial" w:eastAsia="黑体" w:cs="Times New Roman"/>
          <w:b w:val="0"/>
          <w:bCs/>
          <w:kern w:val="2"/>
          <w:sz w:val="32"/>
          <w:szCs w:val="32"/>
          <w:lang w:val="en-US" w:eastAsia="zh-CN" w:bidi="ar-SA"/>
        </w:rPr>
      </w:pPr>
      <w:bookmarkStart w:id="291" w:name="_Toc27001"/>
      <w:bookmarkStart w:id="292" w:name="_Toc4832"/>
      <w:r>
        <w:rPr>
          <w:rFonts w:hint="eastAsia" w:ascii="Arial" w:hAnsi="Arial" w:eastAsia="黑体" w:cs="Times New Roman"/>
          <w:b w:val="0"/>
          <w:bCs/>
          <w:kern w:val="2"/>
          <w:sz w:val="32"/>
          <w:szCs w:val="32"/>
          <w:lang w:val="en-US" w:eastAsia="zh-CN" w:bidi="ar-SA"/>
        </w:rPr>
        <w:t>加强党的领导</w:t>
      </w:r>
      <w:bookmarkEnd w:id="291"/>
      <w:bookmarkEnd w:id="292"/>
    </w:p>
    <w:p w14:paraId="2790D69F">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加强党的领导</w:t>
      </w:r>
    </w:p>
    <w:p w14:paraId="410C19C3">
      <w:pPr>
        <w:widowControl w:val="0"/>
        <w:spacing w:after="120" w:line="600" w:lineRule="exact"/>
        <w:ind w:firstLine="640"/>
        <w:jc w:val="both"/>
        <w:rPr>
          <w:rFonts w:hint="eastAsia" w:ascii="Calibri" w:hAnsi="Calibri" w:eastAsia="仿宋_GB2312" w:cs="Times New Roman"/>
          <w:kern w:val="2"/>
          <w:sz w:val="32"/>
          <w:szCs w:val="22"/>
          <w:lang w:val="en-US" w:eastAsia="zh-CN" w:bidi="ar-SA"/>
        </w:rPr>
      </w:pPr>
      <w:r>
        <w:rPr>
          <w:rFonts w:hint="eastAsia" w:ascii="Calibri" w:hAnsi="Calibri" w:eastAsia="仿宋_GB2312" w:cs="Times New Roman"/>
          <w:kern w:val="2"/>
          <w:sz w:val="32"/>
          <w:szCs w:val="22"/>
          <w:lang w:val="en-US" w:eastAsia="zh-CN" w:bidi="ar-SA"/>
        </w:rPr>
        <w:t>坚持以习近平新时代中国特色社会主义思想为指导，全面贯彻落实党的二十大精神，深入领会“两个确立”的决定性意义，</w:t>
      </w:r>
      <w:r>
        <w:rPr>
          <w:rFonts w:hint="eastAsia" w:ascii="Calibri" w:hAnsi="Calibri" w:cs="Times New Roman"/>
          <w:kern w:val="2"/>
          <w:sz w:val="32"/>
          <w:szCs w:val="22"/>
          <w:lang w:val="en-US" w:eastAsia="zh-CN" w:bidi="ar-SA"/>
        </w:rPr>
        <w:t>增强“四个意识”、坚定“四个自信”、做到“两个维护”</w:t>
      </w:r>
      <w:r>
        <w:rPr>
          <w:rFonts w:hint="eastAsia" w:ascii="Calibri" w:hAnsi="Calibri" w:eastAsia="仿宋_GB2312" w:cs="Times New Roman"/>
          <w:kern w:val="2"/>
          <w:sz w:val="32"/>
          <w:szCs w:val="22"/>
          <w:lang w:val="en-US" w:eastAsia="zh-CN" w:bidi="ar-SA"/>
        </w:rPr>
        <w:t>，充分发挥党总揽全局、协调各方的领导核心作用，把党的领导贯彻落实到国土空间规划实施与管理的各领域各环节。</w:t>
      </w:r>
    </w:p>
    <w:p w14:paraId="0C59799B">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落实各级党委和国土空间规划管理主体责任</w:t>
      </w:r>
    </w:p>
    <w:p w14:paraId="1B8D3A38">
      <w:pPr>
        <w:widowControl w:val="0"/>
        <w:spacing w:after="120" w:line="600" w:lineRule="exact"/>
        <w:ind w:firstLine="640"/>
        <w:jc w:val="both"/>
        <w:rPr>
          <w:rFonts w:hint="eastAsia" w:ascii="Calibri" w:hAnsi="Calibri" w:eastAsia="仿宋_GB2312" w:cs="Times New Roman"/>
          <w:kern w:val="2"/>
          <w:sz w:val="32"/>
          <w:szCs w:val="22"/>
          <w:lang w:val="en-US" w:eastAsia="zh-CN" w:bidi="ar-SA"/>
        </w:rPr>
      </w:pPr>
      <w:r>
        <w:rPr>
          <w:rFonts w:hint="eastAsia" w:ascii="Calibri" w:hAnsi="Calibri" w:eastAsia="仿宋_GB2312" w:cs="Times New Roman"/>
          <w:kern w:val="2"/>
          <w:sz w:val="32"/>
          <w:szCs w:val="22"/>
          <w:lang w:val="en-US" w:eastAsia="zh-CN" w:bidi="ar-SA"/>
        </w:rPr>
        <w:t>坚持“多规合一”，不在国土空间规划体系之外另设其他空间规划。强化规划严肃性，规划一经批准，任何部门和个人不得随意修改、违规变更。</w:t>
      </w:r>
    </w:p>
    <w:p w14:paraId="3DCC7C9C">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r>
        <w:rPr>
          <w:rFonts w:hint="eastAsia" w:ascii="楷体_GB2312" w:hAnsi="Times New Roman" w:eastAsia="楷体_GB2312" w:cs="Times New Roman"/>
          <w:bCs/>
          <w:sz w:val="32"/>
          <w:szCs w:val="32"/>
          <w:lang w:val="en-US" w:eastAsia="zh-CN"/>
        </w:rPr>
        <w:t>健全国土空间规划委员会制度</w:t>
      </w:r>
    </w:p>
    <w:p w14:paraId="70BF9C20">
      <w:pPr>
        <w:widowControl w:val="0"/>
        <w:spacing w:after="120" w:line="600" w:lineRule="exact"/>
        <w:ind w:firstLine="640"/>
        <w:jc w:val="both"/>
        <w:rPr>
          <w:rFonts w:hint="default" w:ascii="Calibri" w:hAnsi="Calibri" w:eastAsia="仿宋_GB2312" w:cs="Times New Roman"/>
          <w:kern w:val="2"/>
          <w:sz w:val="32"/>
          <w:szCs w:val="22"/>
          <w:lang w:val="en-US" w:eastAsia="zh-CN" w:bidi="ar-SA"/>
        </w:rPr>
      </w:pPr>
      <w:r>
        <w:rPr>
          <w:rFonts w:hint="default" w:ascii="Calibri" w:hAnsi="Calibri" w:eastAsia="仿宋_GB2312" w:cs="Times New Roman"/>
          <w:kern w:val="2"/>
          <w:sz w:val="32"/>
          <w:szCs w:val="22"/>
          <w:lang w:val="en-US" w:eastAsia="zh-CN" w:bidi="ar-SA"/>
        </w:rPr>
        <w:t>建立</w:t>
      </w:r>
      <w:r>
        <w:rPr>
          <w:rFonts w:hint="eastAsia" w:ascii="Calibri" w:hAnsi="Calibri" w:eastAsia="仿宋_GB2312" w:cs="Times New Roman"/>
          <w:kern w:val="2"/>
          <w:sz w:val="32"/>
          <w:szCs w:val="22"/>
          <w:lang w:val="en-US" w:eastAsia="zh-CN" w:bidi="ar-SA"/>
        </w:rPr>
        <w:t>乡镇</w:t>
      </w:r>
      <w:r>
        <w:rPr>
          <w:rFonts w:hint="default" w:ascii="Calibri" w:hAnsi="Calibri" w:eastAsia="仿宋_GB2312" w:cs="Times New Roman"/>
          <w:kern w:val="2"/>
          <w:sz w:val="32"/>
          <w:szCs w:val="22"/>
          <w:lang w:val="en-US" w:eastAsia="zh-CN" w:bidi="ar-SA"/>
        </w:rPr>
        <w:t>级国土空间规划委员会，加强部门和</w:t>
      </w:r>
      <w:r>
        <w:rPr>
          <w:rFonts w:hint="eastAsia" w:ascii="Calibri" w:hAnsi="Calibri" w:eastAsia="仿宋_GB2312" w:cs="Times New Roman"/>
          <w:kern w:val="2"/>
          <w:sz w:val="32"/>
          <w:szCs w:val="22"/>
          <w:lang w:val="en-US" w:eastAsia="zh-CN" w:bidi="ar-SA"/>
        </w:rPr>
        <w:t>乡镇</w:t>
      </w:r>
      <w:r>
        <w:rPr>
          <w:rFonts w:hint="default" w:ascii="Calibri" w:hAnsi="Calibri" w:eastAsia="仿宋_GB2312" w:cs="Times New Roman"/>
          <w:kern w:val="2"/>
          <w:sz w:val="32"/>
          <w:szCs w:val="22"/>
          <w:lang w:val="en-US" w:eastAsia="zh-CN" w:bidi="ar-SA"/>
        </w:rPr>
        <w:t>间协同，进一步完善国土空间规划编制实施管理的配套政策，确保规划各项目标任务落地实施。建立规划实施的部门沟通协商机制，协调解决国土空间保护、开发、利用和修复中的相关问题，确保国家、省级、州级</w:t>
      </w:r>
      <w:r>
        <w:rPr>
          <w:rFonts w:hint="eastAsia" w:ascii="Calibri" w:hAnsi="Calibri" w:eastAsia="仿宋_GB2312" w:cs="Times New Roman"/>
          <w:kern w:val="2"/>
          <w:sz w:val="32"/>
          <w:szCs w:val="22"/>
          <w:lang w:val="en-US" w:eastAsia="zh-CN" w:bidi="ar-SA"/>
        </w:rPr>
        <w:t>、县级</w:t>
      </w:r>
      <w:r>
        <w:rPr>
          <w:rFonts w:hint="default" w:ascii="Calibri" w:hAnsi="Calibri" w:eastAsia="仿宋_GB2312" w:cs="Times New Roman"/>
          <w:kern w:val="2"/>
          <w:sz w:val="32"/>
          <w:szCs w:val="22"/>
          <w:lang w:val="en-US" w:eastAsia="zh-CN" w:bidi="ar-SA"/>
        </w:rPr>
        <w:t>重大决策部署落实到位。</w:t>
      </w:r>
    </w:p>
    <w:p w14:paraId="126A58A8">
      <w:pPr>
        <w:keepNext/>
        <w:keepLines/>
        <w:pageBreakBefore w:val="0"/>
        <w:widowControl w:val="0"/>
        <w:numPr>
          <w:ilvl w:val="1"/>
          <w:numId w:val="18"/>
        </w:numPr>
        <w:kinsoku/>
        <w:wordWrap/>
        <w:overflowPunct/>
        <w:topLinePunct w:val="0"/>
        <w:autoSpaceDE/>
        <w:autoSpaceDN/>
        <w:bidi w:val="0"/>
        <w:adjustRightInd/>
        <w:snapToGrid/>
        <w:spacing w:before="100" w:after="100" w:line="400" w:lineRule="exact"/>
        <w:ind w:left="0" w:leftChars="0" w:firstLine="402" w:firstLineChars="0"/>
        <w:jc w:val="center"/>
        <w:textAlignment w:val="auto"/>
        <w:outlineLvl w:val="1"/>
        <w:rPr>
          <w:rFonts w:hint="eastAsia" w:ascii="Arial" w:hAnsi="Arial" w:eastAsia="黑体" w:cs="Times New Roman"/>
          <w:b w:val="0"/>
          <w:bCs/>
          <w:kern w:val="2"/>
          <w:sz w:val="32"/>
          <w:szCs w:val="32"/>
          <w:lang w:val="en-US" w:eastAsia="zh-CN" w:bidi="ar-SA"/>
        </w:rPr>
      </w:pPr>
      <w:bookmarkStart w:id="293" w:name="_Toc2461"/>
      <w:bookmarkStart w:id="294" w:name="_Toc4020"/>
      <w:r>
        <w:rPr>
          <w:rFonts w:hint="eastAsia" w:ascii="Arial" w:hAnsi="Arial" w:eastAsia="黑体" w:cs="Times New Roman"/>
          <w:b w:val="0"/>
          <w:bCs/>
          <w:kern w:val="2"/>
          <w:sz w:val="32"/>
          <w:szCs w:val="32"/>
          <w:lang w:val="en-US" w:eastAsia="zh-CN" w:bidi="ar-SA"/>
        </w:rPr>
        <w:t>健全配套政策</w:t>
      </w:r>
      <w:bookmarkEnd w:id="293"/>
      <w:bookmarkEnd w:id="294"/>
    </w:p>
    <w:p w14:paraId="74A0BB80">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健全国土空间规划法规政策和标准体系</w:t>
      </w:r>
    </w:p>
    <w:p w14:paraId="717F8CA6">
      <w:pPr>
        <w:widowControl w:val="0"/>
        <w:spacing w:after="120" w:line="600" w:lineRule="exact"/>
        <w:ind w:firstLine="640"/>
        <w:jc w:val="both"/>
        <w:rPr>
          <w:rFonts w:hint="default" w:ascii="Calibri" w:hAnsi="Calibri" w:eastAsia="仿宋_GB2312" w:cs="Times New Roman"/>
          <w:kern w:val="2"/>
          <w:sz w:val="32"/>
          <w:szCs w:val="22"/>
          <w:lang w:val="en-US" w:eastAsia="zh-CN" w:bidi="ar-SA"/>
        </w:rPr>
      </w:pPr>
      <w:r>
        <w:rPr>
          <w:rFonts w:hint="eastAsia" w:ascii="Calibri" w:hAnsi="Calibri" w:eastAsia="仿宋_GB2312" w:cs="Times New Roman"/>
          <w:kern w:val="2"/>
          <w:sz w:val="32"/>
          <w:szCs w:val="22"/>
          <w:lang w:val="en-US" w:eastAsia="zh-CN" w:bidi="ar-SA"/>
        </w:rPr>
        <w:t>严格落实</w:t>
      </w:r>
      <w:r>
        <w:rPr>
          <w:rFonts w:hint="default" w:ascii="Calibri" w:hAnsi="Calibri" w:eastAsia="仿宋_GB2312" w:cs="Times New Roman"/>
          <w:kern w:val="2"/>
          <w:sz w:val="32"/>
          <w:szCs w:val="22"/>
          <w:lang w:val="en-US" w:eastAsia="zh-CN" w:bidi="ar-SA"/>
        </w:rPr>
        <w:t>国土空间规划编制、审批与实施管理的相关法规政策，落实国家统一的技术标准，落实青海省或海南州地方规划标准和技术管理规定，支撑规划实施。</w:t>
      </w:r>
    </w:p>
    <w:p w14:paraId="68CBC7BB">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完善规划实施的配套制度</w:t>
      </w:r>
    </w:p>
    <w:p w14:paraId="2D899869">
      <w:pPr>
        <w:widowControl w:val="0"/>
        <w:spacing w:after="120" w:line="600" w:lineRule="exact"/>
        <w:ind w:firstLine="640"/>
        <w:jc w:val="both"/>
        <w:rPr>
          <w:rFonts w:hint="eastAsia" w:ascii="Calibri" w:hAnsi="Calibri" w:eastAsia="仿宋_GB2312" w:cs="Times New Roman"/>
          <w:kern w:val="2"/>
          <w:sz w:val="32"/>
          <w:szCs w:val="22"/>
          <w:lang w:val="en-US" w:eastAsia="zh-CN" w:bidi="ar-SA"/>
        </w:rPr>
      </w:pPr>
      <w:r>
        <w:rPr>
          <w:rFonts w:hint="eastAsia" w:ascii="Calibri" w:hAnsi="Calibri" w:eastAsia="仿宋_GB2312" w:cs="Times New Roman"/>
          <w:kern w:val="2"/>
          <w:sz w:val="32"/>
          <w:szCs w:val="22"/>
          <w:lang w:val="en-US" w:eastAsia="zh-CN" w:bidi="ar-SA"/>
        </w:rPr>
        <w:t>在充分发挥现有政策综合效能的基础上，合力构建财政、投资、产业、人口、自然资源、生态环境、农业农村发展等配套制度，推进生态产品价值实现机制探索和生态综合补偿试点工作，保障规划实施。各级政府和相关部门要细化分工安排，完善配套政策，促进国土空间规划各项任务落地实施。</w:t>
      </w:r>
    </w:p>
    <w:p w14:paraId="6FC82A21">
      <w:pPr>
        <w:keepNext/>
        <w:keepLines/>
        <w:pageBreakBefore w:val="0"/>
        <w:widowControl w:val="0"/>
        <w:numPr>
          <w:ilvl w:val="1"/>
          <w:numId w:val="18"/>
        </w:numPr>
        <w:kinsoku/>
        <w:wordWrap/>
        <w:overflowPunct/>
        <w:topLinePunct w:val="0"/>
        <w:autoSpaceDE/>
        <w:autoSpaceDN/>
        <w:bidi w:val="0"/>
        <w:adjustRightInd/>
        <w:snapToGrid/>
        <w:spacing w:before="100" w:after="100" w:line="400" w:lineRule="exact"/>
        <w:ind w:left="0" w:leftChars="0" w:firstLine="402" w:firstLineChars="0"/>
        <w:jc w:val="center"/>
        <w:textAlignment w:val="auto"/>
        <w:outlineLvl w:val="1"/>
        <w:rPr>
          <w:rFonts w:hint="eastAsia" w:ascii="Arial" w:hAnsi="Arial" w:eastAsia="黑体" w:cs="Times New Roman"/>
          <w:b w:val="0"/>
          <w:bCs/>
          <w:kern w:val="2"/>
          <w:sz w:val="32"/>
          <w:szCs w:val="32"/>
          <w:lang w:val="en-US" w:eastAsia="zh-CN" w:bidi="ar-SA"/>
        </w:rPr>
      </w:pPr>
      <w:bookmarkStart w:id="295" w:name="_Toc16424"/>
      <w:bookmarkStart w:id="296" w:name="_Toc8847"/>
      <w:r>
        <w:rPr>
          <w:rFonts w:hint="eastAsia" w:ascii="Arial" w:hAnsi="Arial" w:eastAsia="黑体" w:cs="Times New Roman"/>
          <w:b w:val="0"/>
          <w:bCs/>
          <w:kern w:val="2"/>
          <w:sz w:val="32"/>
          <w:szCs w:val="32"/>
          <w:lang w:val="en-US" w:eastAsia="zh-CN" w:bidi="ar-SA"/>
        </w:rPr>
        <w:t>强化规划传导与用途管制</w:t>
      </w:r>
      <w:bookmarkEnd w:id="295"/>
      <w:bookmarkEnd w:id="296"/>
    </w:p>
    <w:p w14:paraId="68103367">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lang w:val="en-US" w:eastAsia="zh-CN"/>
        </w:rPr>
        <w:t>严格落实县级国土空间总体规划</w:t>
      </w:r>
    </w:p>
    <w:p w14:paraId="09DA6C05">
      <w:pPr>
        <w:widowControl w:val="0"/>
        <w:spacing w:after="120" w:line="600" w:lineRule="exact"/>
        <w:ind w:firstLine="640"/>
        <w:jc w:val="both"/>
        <w:rPr>
          <w:rFonts w:hint="default" w:ascii="Calibri" w:hAnsi="Calibri" w:eastAsia="仿宋_GB2312" w:cs="Times New Roman"/>
          <w:kern w:val="2"/>
          <w:sz w:val="32"/>
          <w:szCs w:val="22"/>
          <w:lang w:val="en-US" w:eastAsia="zh-CN" w:bidi="ar-SA"/>
        </w:rPr>
      </w:pPr>
      <w:r>
        <w:rPr>
          <w:rFonts w:hint="eastAsia" w:ascii="Calibri" w:hAnsi="Calibri" w:eastAsia="仿宋_GB2312" w:cs="Times New Roman"/>
          <w:kern w:val="2"/>
          <w:sz w:val="32"/>
          <w:szCs w:val="22"/>
          <w:lang w:val="en-US" w:eastAsia="zh-CN" w:bidi="ar-SA"/>
        </w:rPr>
        <w:t>落实县级总规确定的开发保护目标定位、城镇体系、空间策略、城镇特色指引等宏观定性内容。严格落实生态保护红线、耕地和永久基本农田保护线、城镇开发边界、洪涝风险控制线、清洁能源用地引导线、重要历史文化保护线等空间管控线，落实相应管控措施。各类城乡建设行为及项目审批都应落实相应管控要求。严格落实县级国土空间总体规划提出的规划指标，依据核心指标制定评估考核机制，强化对资源总量和利用效率、空间管控底线的管控。落实县级规划划定的功能分区和管控要求。</w:t>
      </w:r>
      <w:r>
        <w:rPr>
          <w:rFonts w:hint="eastAsia" w:ascii="仿宋_GB2312" w:hAnsi="仿宋_GB2312" w:eastAsia="仿宋_GB2312" w:cs="Times New Roman"/>
          <w:kern w:val="2"/>
          <w:sz w:val="32"/>
          <w:szCs w:val="32"/>
          <w:lang w:val="en-US" w:eastAsia="zh-CN" w:bidi="ar-SA"/>
        </w:rPr>
        <w:t>严格落实县级国土空间总体规划提出的战略性矿产保障区名录、自然保护地名录、历史文化资源保护名录、重点建设项目名录、生态修复项目名录、过渡区承诺纳入项目名录、村庄分类引导名录等要求。</w:t>
      </w:r>
    </w:p>
    <w:p w14:paraId="0D8A2644">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lang w:val="en-US" w:eastAsia="zh-CN"/>
        </w:rPr>
        <w:t>详细规划</w:t>
      </w:r>
      <w:r>
        <w:rPr>
          <w:rFonts w:hint="eastAsia" w:ascii="楷体_GB2312" w:hAnsi="Times New Roman" w:eastAsia="楷体_GB2312" w:cs="Times New Roman"/>
          <w:bCs/>
          <w:sz w:val="32"/>
          <w:szCs w:val="32"/>
        </w:rPr>
        <w:t>传导</w:t>
      </w:r>
    </w:p>
    <w:p w14:paraId="2BB9C4E4">
      <w:pPr>
        <w:widowControl w:val="0"/>
        <w:spacing w:after="120" w:line="600" w:lineRule="exact"/>
        <w:ind w:firstLine="640"/>
        <w:jc w:val="both"/>
        <w:rPr>
          <w:rFonts w:hint="eastAsia" w:ascii="Calibri" w:hAnsi="Calibri" w:eastAsia="仿宋_GB2312" w:cs="Times New Roman"/>
          <w:kern w:val="2"/>
          <w:sz w:val="32"/>
          <w:szCs w:val="22"/>
          <w:lang w:val="en-US" w:eastAsia="zh-CN" w:bidi="ar-SA"/>
        </w:rPr>
      </w:pPr>
      <w:r>
        <w:rPr>
          <w:rFonts w:hint="eastAsia" w:ascii="楷体_GB2312" w:hAnsi="楷体_GB2312" w:eastAsia="楷体_GB2312" w:cs="楷体_GB2312"/>
          <w:kern w:val="2"/>
          <w:sz w:val="32"/>
          <w:szCs w:val="32"/>
          <w:lang w:val="en-US" w:eastAsia="zh-CN" w:bidi="ar-SA"/>
        </w:rPr>
        <w:t>健全国土空间规划体系，加强详细规划传导</w:t>
      </w:r>
      <w:r>
        <w:rPr>
          <w:rFonts w:hint="eastAsia" w:ascii="楷体_GB2312" w:hAnsi="楷体_GB2312" w:eastAsia="楷体_GB2312" w:cs="楷体_GB2312"/>
          <w:kern w:val="2"/>
          <w:sz w:val="32"/>
          <w:szCs w:val="22"/>
          <w:lang w:val="en-US" w:eastAsia="zh-CN" w:bidi="ar-SA"/>
        </w:rPr>
        <w:t>。</w:t>
      </w:r>
      <w:r>
        <w:rPr>
          <w:rFonts w:hint="eastAsia" w:ascii="仿宋_GB2312" w:hAnsi="仿宋_GB2312" w:eastAsia="仿宋_GB2312" w:cs="仿宋_GB2312"/>
          <w:kern w:val="2"/>
          <w:sz w:val="32"/>
          <w:szCs w:val="22"/>
          <w:lang w:val="en-US" w:eastAsia="zh-CN" w:bidi="ar-SA"/>
        </w:rPr>
        <w:t>镇区划分为1个详细规划编制单元，</w:t>
      </w:r>
      <w:r>
        <w:rPr>
          <w:rFonts w:hint="eastAsia" w:ascii="Calibri" w:hAnsi="Calibri" w:eastAsia="仿宋_GB2312" w:cs="Times New Roman"/>
          <w:kern w:val="2"/>
          <w:sz w:val="32"/>
          <w:szCs w:val="22"/>
          <w:lang w:val="en-US" w:eastAsia="zh-CN" w:bidi="ar-SA"/>
        </w:rPr>
        <w:t>明确黑马河镇村庄规划编制单元和村庄规划编制数量。对各村庄的等级类型、发展方向等提出规划引导，划定村庄建设用地边界。</w:t>
      </w:r>
    </w:p>
    <w:p w14:paraId="55EEB6BD">
      <w:pPr>
        <w:widowControl w:val="0"/>
        <w:spacing w:after="120" w:line="600" w:lineRule="exact"/>
        <w:ind w:firstLine="640"/>
        <w:jc w:val="both"/>
        <w:rPr>
          <w:rFonts w:hint="eastAsia" w:ascii="Calibri" w:hAnsi="Calibri" w:eastAsia="仿宋_GB2312" w:cs="Times New Roman"/>
          <w:kern w:val="2"/>
          <w:sz w:val="32"/>
          <w:szCs w:val="22"/>
          <w:lang w:val="en-US" w:eastAsia="zh-CN" w:bidi="ar-SA"/>
        </w:rPr>
      </w:pPr>
      <w:r>
        <w:rPr>
          <w:rFonts w:hint="eastAsia" w:ascii="Calibri" w:hAnsi="Calibri" w:eastAsia="仿宋_GB2312" w:cs="Times New Roman"/>
          <w:kern w:val="2"/>
          <w:sz w:val="32"/>
          <w:szCs w:val="22"/>
          <w:lang w:val="en-US" w:eastAsia="zh-CN" w:bidi="ar-SA"/>
        </w:rPr>
        <w:t>将生态保护红线、耕地和永久基本农田保护线、城镇开发边界、洪涝风险控制线、清洁能源用地引导线、重要历史文化保护线等空间管控线的指标规模和空间布局传导至各村庄。</w:t>
      </w:r>
    </w:p>
    <w:p w14:paraId="29CF2750">
      <w:pPr>
        <w:widowControl w:val="0"/>
        <w:spacing w:after="120" w:line="600" w:lineRule="exact"/>
        <w:ind w:firstLine="640"/>
        <w:jc w:val="both"/>
        <w:rPr>
          <w:rFonts w:hint="eastAsia" w:ascii="Calibri" w:hAnsi="Calibri" w:eastAsia="仿宋_GB2312" w:cs="Times New Roman"/>
          <w:kern w:val="2"/>
          <w:sz w:val="32"/>
          <w:szCs w:val="22"/>
          <w:lang w:val="en-US" w:eastAsia="zh-CN" w:bidi="ar-SA"/>
        </w:rPr>
      </w:pPr>
      <w:r>
        <w:rPr>
          <w:rFonts w:hint="eastAsia" w:ascii="Calibri" w:hAnsi="Calibri" w:eastAsia="仿宋_GB2312" w:cs="Times New Roman"/>
          <w:kern w:val="2"/>
          <w:sz w:val="32"/>
          <w:szCs w:val="22"/>
          <w:lang w:val="en-US" w:eastAsia="zh-CN" w:bidi="ar-SA"/>
        </w:rPr>
        <w:t>镇区详细规划编制需要，进一步划分各类功能分区内部用途分区，确定用地比例结构控制的相关要求。应根据上层次规划的国土空间利用主导功能和结构控制要求，确定不同地块划分、地块的使用性质以及相关控制指标，作为实施用地规划许可和规划管理的依据。通过划定镇区“五线”，明确基础设施、公共服务设施和综合防灾设施布局。</w:t>
      </w:r>
    </w:p>
    <w:p w14:paraId="11C36DD7">
      <w:pPr>
        <w:keepNext/>
        <w:keepLines/>
        <w:pageBreakBefore w:val="0"/>
        <w:widowControl w:val="0"/>
        <w:numPr>
          <w:ilvl w:val="1"/>
          <w:numId w:val="18"/>
        </w:numPr>
        <w:kinsoku/>
        <w:wordWrap/>
        <w:overflowPunct/>
        <w:topLinePunct w:val="0"/>
        <w:autoSpaceDE/>
        <w:autoSpaceDN/>
        <w:bidi w:val="0"/>
        <w:adjustRightInd/>
        <w:snapToGrid/>
        <w:spacing w:before="100" w:after="100" w:line="400" w:lineRule="exact"/>
        <w:ind w:left="0" w:leftChars="0" w:firstLine="402" w:firstLineChars="0"/>
        <w:jc w:val="center"/>
        <w:textAlignment w:val="auto"/>
        <w:outlineLvl w:val="1"/>
        <w:rPr>
          <w:rFonts w:hint="eastAsia" w:ascii="Arial" w:hAnsi="Arial" w:eastAsia="黑体" w:cs="Times New Roman"/>
          <w:b w:val="0"/>
          <w:bCs/>
          <w:kern w:val="2"/>
          <w:sz w:val="32"/>
          <w:szCs w:val="32"/>
          <w:lang w:val="en-US" w:eastAsia="zh-CN" w:bidi="ar-SA"/>
        </w:rPr>
      </w:pPr>
      <w:bookmarkStart w:id="297" w:name="_Toc25529"/>
      <w:bookmarkStart w:id="298" w:name="_Toc26501"/>
      <w:r>
        <w:rPr>
          <w:rFonts w:hint="eastAsia" w:ascii="Arial" w:hAnsi="Arial" w:eastAsia="黑体" w:cs="Times New Roman"/>
          <w:b w:val="0"/>
          <w:bCs/>
          <w:kern w:val="2"/>
          <w:sz w:val="32"/>
          <w:szCs w:val="32"/>
          <w:lang w:val="en-US" w:eastAsia="zh-CN" w:bidi="ar-SA"/>
        </w:rPr>
        <w:t>近期安排</w:t>
      </w:r>
      <w:bookmarkEnd w:id="297"/>
      <w:bookmarkEnd w:id="298"/>
    </w:p>
    <w:p w14:paraId="25952B1D">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近期规划目标</w:t>
      </w:r>
    </w:p>
    <w:p w14:paraId="5E626179">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t>到2025年，乡村现代化取得重要进展；农牧区生产生活绿色转型，人居和生态环境明显改善，城乡基本公共服务均等化水平显著提升；城乡居民收入差距明显缩小；乡村产业体系健全完善，城乡融合和可持续发展能力显著增强；乡风文明明显提升，发展安全保障更加有力，农牧民获得感、幸福感、安全感全面提高。</w:t>
      </w:r>
    </w:p>
    <w:p w14:paraId="63182BD6">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t>到2025年，</w:t>
      </w:r>
      <w:r>
        <w:rPr>
          <w:rFonts w:hint="eastAsia" w:ascii="Calibri" w:hAnsi="Calibri" w:eastAsia="仿宋_GB2312" w:cs="Times New Roman"/>
          <w:kern w:val="2"/>
          <w:sz w:val="32"/>
          <w:szCs w:val="22"/>
          <w:lang w:val="en-US" w:eastAsia="zh-CN" w:bidi="ar-SA"/>
        </w:rPr>
        <w:t>镇区服务功能进一步完善，功能服务多样化，生活质量提升，镇区有机更新稳步推进；道路系统和基础设施建设更加完善，镇区环境质量更加优化，人居环境更加美好。</w:t>
      </w:r>
    </w:p>
    <w:p w14:paraId="2C14C7B4">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保障近期重点项目空间</w:t>
      </w:r>
    </w:p>
    <w:p w14:paraId="11D68FAC">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t>重点做好国家、省、州、县“十四五”交通、水利、能源等重大基础设施项目用地保障，落实省、州、县重大创新载体、重大产业项目、重大生态环保、重大民生工程和重大基础设施用地需求，持续优化国土空间格局和用地结构，提升生态屏障功能，促进生态保护和高质量发展协同并进。</w:t>
      </w:r>
    </w:p>
    <w:p w14:paraId="36A12BF0">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统筹推进生态修复重大工程</w:t>
      </w:r>
    </w:p>
    <w:p w14:paraId="7415C9E2">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t>坚持自然恢复与工程措施相结合，深入贯彻“山水林田湖草沙是一个生命共同体”的理念，统筹山水林田湖草沙系统治理，以大项工程、专项工程全面提升全域生态功能。重点推进青海湖流域生态保护与环境综合治理工程、森林生态系统修复工程、荒漠生态系统重大修复工程、湿地生态系统重大修复工程、重点水源涵养地保护工程、城镇周边绿化生态造林屏障建设工程等大项生态修复工程。</w:t>
      </w:r>
    </w:p>
    <w:p w14:paraId="114A97B6">
      <w:pPr>
        <w:ind w:firstLine="560"/>
        <w:rPr>
          <w:rFonts w:hint="eastAsia" w:ascii="仿宋_GB2312" w:hAnsi="仿宋_GB2312" w:eastAsia="仿宋_GB2312" w:cs="仿宋_GB2312"/>
          <w:lang w:val="en-US" w:eastAsia="zh-CN"/>
        </w:rPr>
      </w:pPr>
    </w:p>
    <w:sectPr>
      <w:type w:val="continuous"/>
      <w:pgSz w:w="11906" w:h="16838"/>
      <w:pgMar w:top="1440" w:right="1800" w:bottom="1440" w:left="1800" w:header="964" w:footer="624"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FB51AA3C-7F5D-4AF1-9BBB-6B08D25F9A32}"/>
  </w:font>
  <w:font w:name="黑体">
    <w:panose1 w:val="02010609060101010101"/>
    <w:charset w:val="86"/>
    <w:family w:val="auto"/>
    <w:pitch w:val="default"/>
    <w:sig w:usb0="800002BF" w:usb1="38CF7CFA" w:usb2="00000016" w:usb3="00000000" w:csb0="00040001" w:csb1="00000000"/>
    <w:embedRegular r:id="rId2" w:fontKey="{B5C009FB-A86C-4A92-8C3F-1682EB182C6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3" w:fontKey="{F61ACDCE-B462-487F-80CA-F26403F052DC}"/>
  </w:font>
  <w:font w:name="仿宋_GB2312">
    <w:panose1 w:val="02010609030101010101"/>
    <w:charset w:val="86"/>
    <w:family w:val="modern"/>
    <w:pitch w:val="default"/>
    <w:sig w:usb0="00000001" w:usb1="080E0000" w:usb2="00000000" w:usb3="00000000" w:csb0="00040000" w:csb1="00000000"/>
    <w:embedRegular r:id="rId4" w:fontKey="{2F874794-3CCF-425E-AF23-A0A35022D748}"/>
  </w:font>
  <w:font w:name="方正小标宋简体">
    <w:panose1 w:val="03000509000000000000"/>
    <w:charset w:val="86"/>
    <w:family w:val="auto"/>
    <w:pitch w:val="default"/>
    <w:sig w:usb0="00000001" w:usb1="080E0000" w:usb2="00000000" w:usb3="00000000" w:csb0="00040000" w:csb1="00000000"/>
    <w:embedRegular r:id="rId5" w:fontKey="{BDA49AFE-4DC6-46F7-A49E-7B116CCBC93E}"/>
  </w:font>
  <w:font w:name="方正小标宋_GBK">
    <w:panose1 w:val="03000509000000000000"/>
    <w:charset w:val="86"/>
    <w:family w:val="script"/>
    <w:pitch w:val="default"/>
    <w:sig w:usb0="00000001" w:usb1="080E0000" w:usb2="00000000" w:usb3="00000000" w:csb0="00040000" w:csb1="00000000"/>
    <w:embedRegular r:id="rId6" w:fontKey="{495DF806-56DA-4F95-9C40-50B1CDC7A9B5}"/>
  </w:font>
  <w:font w:name="楷体_GB2312">
    <w:panose1 w:val="02010609030101010101"/>
    <w:charset w:val="86"/>
    <w:family w:val="modern"/>
    <w:pitch w:val="default"/>
    <w:sig w:usb0="00000001" w:usb1="080E0000" w:usb2="00000000" w:usb3="00000000" w:csb0="00040000" w:csb1="00000000"/>
    <w:embedRegular r:id="rId7" w:fontKey="{BEDCF7F9-44B8-4508-97A7-1D966793F676}"/>
  </w:font>
  <w:font w:name="华康UD宋 W2">
    <w:altName w:val="宋体"/>
    <w:panose1 w:val="02020209000000000000"/>
    <w:charset w:val="86"/>
    <w:family w:val="auto"/>
    <w:pitch w:val="default"/>
    <w:sig w:usb0="00000000" w:usb1="00000000" w:usb2="00000012" w:usb3="00000000" w:csb0="0004000D"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embedRegular r:id="rId8" w:fontKey="{45078D99-B785-4FFB-AB98-75514F0B43BF}"/>
  </w:font>
  <w:font w:name="华文细黑">
    <w:altName w:val="微软雅黑"/>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A00002EF" w:usb1="4000004B" w:usb2="00000000" w:usb3="00000000" w:csb0="2000019F" w:csb1="00000000"/>
  </w:font>
  <w:font w:name="楷体">
    <w:panose1 w:val="02010609060101010101"/>
    <w:charset w:val="86"/>
    <w:family w:val="modern"/>
    <w:pitch w:val="default"/>
    <w:sig w:usb0="800002BF" w:usb1="38CF7CFA" w:usb2="00000016" w:usb3="00000000" w:csb0="00040001" w:csb1="00000000"/>
    <w:embedRegular r:id="rId9" w:fontKey="{5C7DAF93-59DD-4C9C-8846-28EA3A20CF43}"/>
  </w:font>
  <w:font w:name="WPSEMBED1">
    <w:panose1 w:val="02010609030101010101"/>
    <w:charset w:val="86"/>
    <w:family w:val="auto"/>
    <w:pitch w:val="default"/>
    <w:sig w:usb0="00000001" w:usb1="080E0000" w:usb2="00000000" w:usb3="00000000" w:csb0="00040000"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4A189">
    <w:pPr>
      <w:pStyle w:val="23"/>
      <w:ind w:firstLine="360"/>
      <w:jc w:val="center"/>
      <w:rPr>
        <w:rStyle w:val="48"/>
      </w:rPr>
    </w:pPr>
    <w:r>
      <mc:AlternateContent>
        <mc:Choice Requires="wps">
          <w:drawing>
            <wp:anchor distT="0" distB="0" distL="114300" distR="114300" simplePos="0" relativeHeight="251659264" behindDoc="0" locked="0" layoutInCell="1" allowOverlap="1">
              <wp:simplePos x="0" y="0"/>
              <wp:positionH relativeFrom="margin">
                <wp:posOffset>2462530</wp:posOffset>
              </wp:positionH>
              <wp:positionV relativeFrom="paragraph">
                <wp:posOffset>190500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7044"/>
                          </w:sdtPr>
                          <w:sdtEndPr>
                            <w:rPr>
                              <w:rStyle w:val="48"/>
                              <w:sz w:val="32"/>
                              <w:szCs w:val="32"/>
                            </w:rPr>
                          </w:sdtEndPr>
                          <w:sdtContent>
                            <w:p w14:paraId="43A2E1BF">
                              <w:pPr>
                                <w:pStyle w:val="23"/>
                                <w:ind w:firstLine="360"/>
                                <w:jc w:val="center"/>
                                <w:rPr>
                                  <w:rStyle w:val="4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118</w:t>
                              </w:r>
                              <w:r>
                                <w:rPr>
                                  <w:sz w:val="18"/>
                                  <w:szCs w:val="18"/>
                                </w:rPr>
                                <w:fldChar w:fldCharType="end"/>
                              </w:r>
                            </w:p>
                          </w:sdtContent>
                        </w:sdt>
                        <w:p w14:paraId="4E10330B">
                          <w:pPr>
                            <w:ind w:firstLine="360"/>
                            <w:rPr>
                              <w:rStyle w:val="4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93.9pt;margin-top:15pt;height:144pt;width:144pt;mso-position-horizontal-relative:margin;mso-wrap-style:none;z-index:251659264;mso-width-relative:page;mso-height-relative:page;" filled="f" stroked="f" coordsize="21600,21600" o:gfxdata="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S/jjHWAAAACgEAAA8AAAAAAAAAAQAgAAAAIgAAAGRycy9kb3ducmV2LnhtbFBLAQIUABQA&#10;AAAIAIdO4kAFYYw/KwIAAFUEAAAOAAAAAAAAAAEAIAAAACUBAABkcnMvZTJvRG9jLnhtbFBLBQYA&#10;AAAABgAGAFkBAADCBQAAAAA=&#10;">
              <v:fill on="f" focussize="0,0"/>
              <v:stroke on="f" weight="0.5pt"/>
              <v:imagedata o:title=""/>
              <o:lock v:ext="edit" aspectratio="f"/>
              <v:textbox inset="0mm,0mm,0mm,0mm" style="mso-fit-shape-to-text:t;">
                <w:txbxContent>
                  <w:sdt>
                    <w:sdtPr>
                      <w:id w:val="147467044"/>
                    </w:sdtPr>
                    <w:sdtEndPr>
                      <w:rPr>
                        <w:rStyle w:val="48"/>
                        <w:sz w:val="32"/>
                        <w:szCs w:val="32"/>
                      </w:rPr>
                    </w:sdtEndPr>
                    <w:sdtContent>
                      <w:p w14:paraId="43A2E1BF">
                        <w:pPr>
                          <w:pStyle w:val="23"/>
                          <w:ind w:firstLine="360"/>
                          <w:jc w:val="center"/>
                          <w:rPr>
                            <w:rStyle w:val="4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118</w:t>
                        </w:r>
                        <w:r>
                          <w:rPr>
                            <w:sz w:val="18"/>
                            <w:szCs w:val="18"/>
                          </w:rPr>
                          <w:fldChar w:fldCharType="end"/>
                        </w:r>
                      </w:p>
                    </w:sdtContent>
                  </w:sdt>
                  <w:p w14:paraId="4E10330B">
                    <w:pPr>
                      <w:ind w:firstLine="360"/>
                      <w:rPr>
                        <w:rStyle w:val="48"/>
                      </w:rPr>
                    </w:pPr>
                  </w:p>
                </w:txbxContent>
              </v:textbox>
            </v:shape>
          </w:pict>
        </mc:Fallback>
      </mc:AlternateContent>
    </w:r>
  </w:p>
  <w:p w14:paraId="57F9219A">
    <w:pPr>
      <w:pStyle w:val="23"/>
      <w:ind w:left="-5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0E15F">
    <w:pPr>
      <w:pStyle w:val="23"/>
      <w:ind w:firstLine="360"/>
      <w:jc w:val="center"/>
      <w:rPr>
        <w:rStyle w:val="48"/>
      </w:rPr>
    </w:pPr>
    <w:r>
      <mc:AlternateContent>
        <mc:Choice Requires="wps">
          <w:drawing>
            <wp:anchor distT="0" distB="0" distL="114300" distR="114300" simplePos="0" relativeHeight="251660288" behindDoc="0" locked="0" layoutInCell="1" allowOverlap="1">
              <wp:simplePos x="0" y="0"/>
              <wp:positionH relativeFrom="margin">
                <wp:posOffset>2462530</wp:posOffset>
              </wp:positionH>
              <wp:positionV relativeFrom="paragraph">
                <wp:posOffset>190500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0135"/>
                          </w:sdtPr>
                          <w:sdtEndPr>
                            <w:rPr>
                              <w:rStyle w:val="48"/>
                              <w:sz w:val="32"/>
                              <w:szCs w:val="32"/>
                            </w:rPr>
                          </w:sdtEndPr>
                          <w:sdtContent>
                            <w:p w14:paraId="0CE96A1A">
                              <w:pPr>
                                <w:pStyle w:val="23"/>
                                <w:ind w:firstLine="360"/>
                                <w:jc w:val="center"/>
                                <w:rPr>
                                  <w:rStyle w:val="4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118</w:t>
                              </w:r>
                              <w:r>
                                <w:rPr>
                                  <w:sz w:val="18"/>
                                  <w:szCs w:val="18"/>
                                </w:rPr>
                                <w:fldChar w:fldCharType="end"/>
                              </w:r>
                            </w:p>
                          </w:sdtContent>
                        </w:sdt>
                        <w:p w14:paraId="04485B44">
                          <w:pPr>
                            <w:ind w:firstLine="360"/>
                            <w:rPr>
                              <w:rStyle w:val="4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93.9pt;margin-top:15pt;height:144pt;width:144pt;mso-position-horizontal-relative:margin;mso-wrap-style:none;z-index:251660288;mso-width-relative:page;mso-height-relative:page;" filled="f" stroked="f" coordsize="21600,21600" o:gfxdata="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pm/T9sLVA3CpkSOS6B4brdDs&#10;m57Z3uRnEHOm6wxv+aZC8i3z4YE5tAIejGEJ91gKaZDE9BYlpXFf/3Ue41EheCmp0VoZ1ZgkSuQH&#10;jcoBMAyGG4z9YOijujPo1TGG0PLWxAUX5GAWzqgvmKBVzAEX0xyZMhoG8y507Y0J5GK1aoPQa5aF&#10;rd5ZHqGjeN6ujgECtrpGUToleq3QbW1l+smI7fznvo16+hssH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0v44x1gAAAAoBAAAPAAAAAAAAAAEAIAAAACIAAABkcnMvZG93bnJldi54bWxQSwECFAAU&#10;AAAACACHTuJAvQ7dtywCAABVBAAADgAAAAAAAAABACAAAAAlAQAAZHJzL2Uyb0RvYy54bWxQSwUG&#10;AAAAAAYABgBZAQAAwwUAAAAA&#10;">
              <v:fill on="f" focussize="0,0"/>
              <v:stroke on="f" weight="0.5pt"/>
              <v:imagedata o:title=""/>
              <o:lock v:ext="edit" aspectratio="f"/>
              <v:textbox inset="0mm,0mm,0mm,0mm" style="mso-fit-shape-to-text:t;">
                <w:txbxContent>
                  <w:sdt>
                    <w:sdtPr>
                      <w:id w:val="147460135"/>
                    </w:sdtPr>
                    <w:sdtEndPr>
                      <w:rPr>
                        <w:rStyle w:val="48"/>
                        <w:sz w:val="32"/>
                        <w:szCs w:val="32"/>
                      </w:rPr>
                    </w:sdtEndPr>
                    <w:sdtContent>
                      <w:p w14:paraId="0CE96A1A">
                        <w:pPr>
                          <w:pStyle w:val="23"/>
                          <w:ind w:firstLine="360"/>
                          <w:jc w:val="center"/>
                          <w:rPr>
                            <w:rStyle w:val="4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118</w:t>
                        </w:r>
                        <w:r>
                          <w:rPr>
                            <w:sz w:val="18"/>
                            <w:szCs w:val="18"/>
                          </w:rPr>
                          <w:fldChar w:fldCharType="end"/>
                        </w:r>
                      </w:p>
                    </w:sdtContent>
                  </w:sdt>
                  <w:p w14:paraId="04485B44">
                    <w:pPr>
                      <w:ind w:firstLine="360"/>
                      <w:rPr>
                        <w:rStyle w:val="48"/>
                      </w:rPr>
                    </w:pPr>
                  </w:p>
                </w:txbxContent>
              </v:textbox>
            </v:shape>
          </w:pict>
        </mc:Fallback>
      </mc:AlternateContent>
    </w:r>
  </w:p>
  <w:p w14:paraId="4690F827">
    <w:pPr>
      <w:pStyle w:val="23"/>
      <w:ind w:left="-5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1ABBC">
    <w:pPr>
      <w:pStyle w:val="24"/>
      <w:pBdr>
        <w:bottom w:val="none" w:color="auto" w:sz="0" w:space="1"/>
      </w:pBdr>
      <w:ind w:firstLine="0" w:firstLineChars="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E5F961"/>
    <w:multiLevelType w:val="multilevel"/>
    <w:tmpl w:val="E5E5F961"/>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
    <w:nsid w:val="FFE625A3"/>
    <w:multiLevelType w:val="multilevel"/>
    <w:tmpl w:val="FFE625A3"/>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2">
    <w:nsid w:val="21113C4B"/>
    <w:multiLevelType w:val="multilevel"/>
    <w:tmpl w:val="21113C4B"/>
    <w:lvl w:ilvl="0" w:tentative="0">
      <w:start w:val="1"/>
      <w:numFmt w:val="decimal"/>
      <w:pStyle w:val="79"/>
      <w:lvlText w:val="%1."/>
      <w:lvlJc w:val="left"/>
      <w:pPr>
        <w:ind w:left="920" w:hanging="360"/>
      </w:pPr>
      <w:rPr>
        <w:rFonts w:hint="default"/>
      </w:r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3">
    <w:nsid w:val="230811FC"/>
    <w:multiLevelType w:val="multilevel"/>
    <w:tmpl w:val="230811FC"/>
    <w:lvl w:ilvl="0" w:tentative="0">
      <w:start w:val="1"/>
      <w:numFmt w:val="chineseCountingThousand"/>
      <w:pStyle w:val="2"/>
      <w:lvlText w:val="第%1章 "/>
      <w:lvlJc w:val="left"/>
      <w:pPr>
        <w:ind w:left="420" w:hanging="420"/>
      </w:pPr>
      <w:rPr>
        <w:rFonts w:hint="eastAsia" w:ascii="方正小标宋简体" w:hAnsi="方正小标宋简体" w:eastAsia="方正小标宋简体" w:cs="方正小标宋简体"/>
        <w:color w:val="auto"/>
        <w:sz w:val="36"/>
        <w:szCs w:val="36"/>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5450BA9"/>
    <w:multiLevelType w:val="multilevel"/>
    <w:tmpl w:val="25450BA9"/>
    <w:lvl w:ilvl="0" w:tentative="0">
      <w:start w:val="1"/>
      <w:numFmt w:val="chineseCountingThousand"/>
      <w:pStyle w:val="3"/>
      <w:lvlText w:val="第%1节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1B3E09B"/>
    <w:multiLevelType w:val="multilevel"/>
    <w:tmpl w:val="41B3E09B"/>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6">
    <w:nsid w:val="429E054E"/>
    <w:multiLevelType w:val="multilevel"/>
    <w:tmpl w:val="429E054E"/>
    <w:lvl w:ilvl="0" w:tentative="0">
      <w:start w:val="1"/>
      <w:numFmt w:val="decimal"/>
      <w:pStyle w:val="4"/>
      <w:lvlText w:val="第%1条 "/>
      <w:lvlJc w:val="left"/>
      <w:pPr>
        <w:tabs>
          <w:tab w:val="left" w:pos="420"/>
        </w:tabs>
        <w:ind w:left="980" w:hanging="420"/>
      </w:pPr>
      <w:rPr>
        <w:rFonts w:hint="default" w:ascii="楷体_GB2312" w:hAnsi="楷体_GB2312" w:eastAsia="楷体_GB2312" w:cs="楷体_GB2312"/>
        <w:b w:val="0"/>
        <w:bCs w:val="0"/>
        <w:sz w:val="32"/>
        <w:szCs w:val="32"/>
      </w:r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2BA49CC"/>
    <w:multiLevelType w:val="multilevel"/>
    <w:tmpl w:val="62BA49CC"/>
    <w:lvl w:ilvl="0" w:tentative="0">
      <w:start w:val="1"/>
      <w:numFmt w:val="decimal"/>
      <w:lvlText w:val="第%1条 "/>
      <w:lvlJc w:val="left"/>
      <w:pPr>
        <w:ind w:left="1552" w:hanging="984"/>
      </w:pPr>
      <w:rPr>
        <w:rFonts w:hint="default" w:ascii="楷体_GB2312" w:hAnsi="楷体_GB2312" w:eastAsia="楷体_GB2312" w:cs="楷体_GB2312"/>
        <w:sz w:val="32"/>
        <w:szCs w:val="32"/>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EEF198D"/>
    <w:multiLevelType w:val="multilevel"/>
    <w:tmpl w:val="6EEF198D"/>
    <w:lvl w:ilvl="0" w:tentative="0">
      <w:start w:val="1"/>
      <w:numFmt w:val="decimal"/>
      <w:pStyle w:val="82"/>
      <w:lvlText w:val="%1."/>
      <w:lvlJc w:val="left"/>
      <w:pPr>
        <w:ind w:left="920" w:hanging="360"/>
      </w:pPr>
      <w:rPr>
        <w:rFonts w:hint="default"/>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7ADF7A03"/>
    <w:multiLevelType w:val="multilevel"/>
    <w:tmpl w:val="7ADF7A03"/>
    <w:lvl w:ilvl="0" w:tentative="0">
      <w:start w:val="1"/>
      <w:numFmt w:val="japaneseCounting"/>
      <w:pStyle w:val="78"/>
      <w:lvlText w:val="（%1）"/>
      <w:lvlJc w:val="left"/>
      <w:pPr>
        <w:ind w:left="1640" w:hanging="1080"/>
      </w:pPr>
      <w:rPr>
        <w:rFonts w:hint="eastAsia" w:ascii="Times New Roman" w:hAnsi="Times New Roman" w:cs="Times New Roman"/>
        <w:b/>
        <w:bCs/>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440" w:hanging="440"/>
      </w:pPr>
      <w:rPr>
        <w:rFonts w:hint="eastAsia"/>
      </w:rPr>
    </w:lvl>
    <w:lvl w:ilvl="2" w:tentative="0">
      <w:start w:val="1"/>
      <w:numFmt w:val="lowerRoman"/>
      <w:lvlText w:val="%3."/>
      <w:lvlJc w:val="right"/>
      <w:pPr>
        <w:ind w:left="1880" w:hanging="440"/>
      </w:pPr>
      <w:rPr>
        <w:rFonts w:hint="eastAsia"/>
      </w:rPr>
    </w:lvl>
    <w:lvl w:ilvl="3" w:tentative="0">
      <w:start w:val="1"/>
      <w:numFmt w:val="decimal"/>
      <w:lvlText w:val="%4."/>
      <w:lvlJc w:val="left"/>
      <w:pPr>
        <w:ind w:left="2320" w:hanging="440"/>
      </w:pPr>
      <w:rPr>
        <w:rFonts w:hint="eastAsia"/>
      </w:rPr>
    </w:lvl>
    <w:lvl w:ilvl="4" w:tentative="0">
      <w:start w:val="1"/>
      <w:numFmt w:val="lowerLetter"/>
      <w:lvlText w:val="%5)"/>
      <w:lvlJc w:val="left"/>
      <w:pPr>
        <w:ind w:left="2760" w:hanging="440"/>
      </w:pPr>
      <w:rPr>
        <w:rFonts w:hint="eastAsia"/>
      </w:rPr>
    </w:lvl>
    <w:lvl w:ilvl="5" w:tentative="0">
      <w:start w:val="1"/>
      <w:numFmt w:val="lowerRoman"/>
      <w:lvlText w:val="%6."/>
      <w:lvlJc w:val="right"/>
      <w:pPr>
        <w:ind w:left="3200" w:hanging="440"/>
      </w:pPr>
      <w:rPr>
        <w:rFonts w:hint="eastAsia"/>
      </w:rPr>
    </w:lvl>
    <w:lvl w:ilvl="6" w:tentative="0">
      <w:start w:val="1"/>
      <w:numFmt w:val="decimal"/>
      <w:lvlText w:val="%7."/>
      <w:lvlJc w:val="left"/>
      <w:pPr>
        <w:ind w:left="3640" w:hanging="440"/>
      </w:pPr>
      <w:rPr>
        <w:rFonts w:hint="eastAsia"/>
      </w:rPr>
    </w:lvl>
    <w:lvl w:ilvl="7" w:tentative="0">
      <w:start w:val="1"/>
      <w:numFmt w:val="lowerLetter"/>
      <w:lvlText w:val="%8)"/>
      <w:lvlJc w:val="left"/>
      <w:pPr>
        <w:ind w:left="4080" w:hanging="440"/>
      </w:pPr>
      <w:rPr>
        <w:rFonts w:hint="eastAsia"/>
      </w:rPr>
    </w:lvl>
    <w:lvl w:ilvl="8" w:tentative="0">
      <w:start w:val="1"/>
      <w:numFmt w:val="lowerRoman"/>
      <w:lvlText w:val="%9."/>
      <w:lvlJc w:val="right"/>
      <w:pPr>
        <w:ind w:left="4520" w:hanging="440"/>
      </w:pPr>
      <w:rPr>
        <w:rFonts w:hint="eastAsia"/>
      </w:rPr>
    </w:lvl>
  </w:abstractNum>
  <w:num w:numId="1">
    <w:abstractNumId w:val="3"/>
  </w:num>
  <w:num w:numId="2">
    <w:abstractNumId w:val="4"/>
  </w:num>
  <w:num w:numId="3">
    <w:abstractNumId w:val="6"/>
  </w:num>
  <w:num w:numId="4">
    <w:abstractNumId w:val="9"/>
  </w:num>
  <w:num w:numId="5">
    <w:abstractNumId w:val="2"/>
  </w:num>
  <w:num w:numId="6">
    <w:abstractNumId w:val="8"/>
  </w:num>
  <w:num w:numId="7">
    <w:abstractNumId w:val="0"/>
  </w:num>
  <w:num w:numId="8">
    <w:abstractNumId w:val="7"/>
  </w:num>
  <w:num w:numId="9">
    <w:abstractNumId w:val="4"/>
    <w:lvlOverride w:ilvl="0">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1MDc1YTVkYTZiMWRhZjUyNzg0N2I4MjlmZTlkODcifQ=="/>
  </w:docVars>
  <w:rsids>
    <w:rsidRoot w:val="00172A27"/>
    <w:rsid w:val="00013F75"/>
    <w:rsid w:val="00014A0C"/>
    <w:rsid w:val="0002158E"/>
    <w:rsid w:val="00041716"/>
    <w:rsid w:val="000419EF"/>
    <w:rsid w:val="0004613A"/>
    <w:rsid w:val="00051122"/>
    <w:rsid w:val="00053CB9"/>
    <w:rsid w:val="00054157"/>
    <w:rsid w:val="00064686"/>
    <w:rsid w:val="000808C3"/>
    <w:rsid w:val="00093464"/>
    <w:rsid w:val="000958C8"/>
    <w:rsid w:val="000A31EA"/>
    <w:rsid w:val="000B59B2"/>
    <w:rsid w:val="000D7F58"/>
    <w:rsid w:val="000F7100"/>
    <w:rsid w:val="00105F3D"/>
    <w:rsid w:val="00106C1F"/>
    <w:rsid w:val="0011281F"/>
    <w:rsid w:val="001152F4"/>
    <w:rsid w:val="00122D62"/>
    <w:rsid w:val="00125E29"/>
    <w:rsid w:val="00133264"/>
    <w:rsid w:val="0013473A"/>
    <w:rsid w:val="001378BE"/>
    <w:rsid w:val="00146258"/>
    <w:rsid w:val="00167B23"/>
    <w:rsid w:val="001701C9"/>
    <w:rsid w:val="0017136E"/>
    <w:rsid w:val="00172A27"/>
    <w:rsid w:val="00181999"/>
    <w:rsid w:val="00190E97"/>
    <w:rsid w:val="001927E9"/>
    <w:rsid w:val="001940A5"/>
    <w:rsid w:val="00195EC2"/>
    <w:rsid w:val="001965BE"/>
    <w:rsid w:val="0019781A"/>
    <w:rsid w:val="001B716D"/>
    <w:rsid w:val="001E0573"/>
    <w:rsid w:val="001F23AD"/>
    <w:rsid w:val="001F29AE"/>
    <w:rsid w:val="0021108E"/>
    <w:rsid w:val="0021409F"/>
    <w:rsid w:val="002206BD"/>
    <w:rsid w:val="00245446"/>
    <w:rsid w:val="00257387"/>
    <w:rsid w:val="0029202D"/>
    <w:rsid w:val="00294C7D"/>
    <w:rsid w:val="00295E9E"/>
    <w:rsid w:val="002A3960"/>
    <w:rsid w:val="002B696B"/>
    <w:rsid w:val="002C5DD9"/>
    <w:rsid w:val="002D55AE"/>
    <w:rsid w:val="002D5F57"/>
    <w:rsid w:val="002D68A0"/>
    <w:rsid w:val="00302AD9"/>
    <w:rsid w:val="00322A80"/>
    <w:rsid w:val="00340482"/>
    <w:rsid w:val="00343BCD"/>
    <w:rsid w:val="00345DAE"/>
    <w:rsid w:val="00350526"/>
    <w:rsid w:val="0035079A"/>
    <w:rsid w:val="00371FB1"/>
    <w:rsid w:val="00380CD3"/>
    <w:rsid w:val="003A1445"/>
    <w:rsid w:val="003A2288"/>
    <w:rsid w:val="003A5B5F"/>
    <w:rsid w:val="003A6A3C"/>
    <w:rsid w:val="003B2F91"/>
    <w:rsid w:val="003C2B84"/>
    <w:rsid w:val="003C6610"/>
    <w:rsid w:val="003E465E"/>
    <w:rsid w:val="003E5060"/>
    <w:rsid w:val="003E7D82"/>
    <w:rsid w:val="003F37A2"/>
    <w:rsid w:val="0041019E"/>
    <w:rsid w:val="0041047C"/>
    <w:rsid w:val="004177C8"/>
    <w:rsid w:val="00427199"/>
    <w:rsid w:val="00443CB5"/>
    <w:rsid w:val="00450423"/>
    <w:rsid w:val="00453AFB"/>
    <w:rsid w:val="0046038B"/>
    <w:rsid w:val="00473965"/>
    <w:rsid w:val="00474807"/>
    <w:rsid w:val="004761D5"/>
    <w:rsid w:val="00484017"/>
    <w:rsid w:val="004941C2"/>
    <w:rsid w:val="004A02F1"/>
    <w:rsid w:val="004A678C"/>
    <w:rsid w:val="004B1A30"/>
    <w:rsid w:val="004B2D86"/>
    <w:rsid w:val="004B6053"/>
    <w:rsid w:val="004C7052"/>
    <w:rsid w:val="004C7276"/>
    <w:rsid w:val="004F16E7"/>
    <w:rsid w:val="0050540B"/>
    <w:rsid w:val="00507DF1"/>
    <w:rsid w:val="005233DF"/>
    <w:rsid w:val="00534AC2"/>
    <w:rsid w:val="00552396"/>
    <w:rsid w:val="0057112E"/>
    <w:rsid w:val="00573EED"/>
    <w:rsid w:val="005767B3"/>
    <w:rsid w:val="00595C99"/>
    <w:rsid w:val="005B7175"/>
    <w:rsid w:val="005C0602"/>
    <w:rsid w:val="005C210F"/>
    <w:rsid w:val="005C6F23"/>
    <w:rsid w:val="005D5EC1"/>
    <w:rsid w:val="005D5F0F"/>
    <w:rsid w:val="005E4F59"/>
    <w:rsid w:val="005F01DA"/>
    <w:rsid w:val="005F3CD6"/>
    <w:rsid w:val="005F5411"/>
    <w:rsid w:val="00602ECB"/>
    <w:rsid w:val="0062140C"/>
    <w:rsid w:val="00632A66"/>
    <w:rsid w:val="00664B6E"/>
    <w:rsid w:val="006737A6"/>
    <w:rsid w:val="0068372E"/>
    <w:rsid w:val="00692D2C"/>
    <w:rsid w:val="006B2D04"/>
    <w:rsid w:val="006C7694"/>
    <w:rsid w:val="006D3548"/>
    <w:rsid w:val="006E0EBF"/>
    <w:rsid w:val="006E4070"/>
    <w:rsid w:val="006F617C"/>
    <w:rsid w:val="00712B83"/>
    <w:rsid w:val="0072171A"/>
    <w:rsid w:val="00737161"/>
    <w:rsid w:val="007421F6"/>
    <w:rsid w:val="00743401"/>
    <w:rsid w:val="00746CED"/>
    <w:rsid w:val="00773F58"/>
    <w:rsid w:val="0078023C"/>
    <w:rsid w:val="00784BC8"/>
    <w:rsid w:val="007A1CBF"/>
    <w:rsid w:val="007A7191"/>
    <w:rsid w:val="007C350C"/>
    <w:rsid w:val="007C4E30"/>
    <w:rsid w:val="007C5B3C"/>
    <w:rsid w:val="007D129C"/>
    <w:rsid w:val="007D250F"/>
    <w:rsid w:val="007D5EAB"/>
    <w:rsid w:val="007E08CD"/>
    <w:rsid w:val="007E4A42"/>
    <w:rsid w:val="007F38EB"/>
    <w:rsid w:val="00803FCA"/>
    <w:rsid w:val="00804F69"/>
    <w:rsid w:val="00836A0E"/>
    <w:rsid w:val="008500A8"/>
    <w:rsid w:val="00863E5A"/>
    <w:rsid w:val="00877D65"/>
    <w:rsid w:val="008851A7"/>
    <w:rsid w:val="00887AA8"/>
    <w:rsid w:val="00894876"/>
    <w:rsid w:val="008B2796"/>
    <w:rsid w:val="008C069C"/>
    <w:rsid w:val="008E296A"/>
    <w:rsid w:val="008F023B"/>
    <w:rsid w:val="008F0A2D"/>
    <w:rsid w:val="008F2D7B"/>
    <w:rsid w:val="008F6746"/>
    <w:rsid w:val="0090759F"/>
    <w:rsid w:val="009275BF"/>
    <w:rsid w:val="00936B13"/>
    <w:rsid w:val="00941118"/>
    <w:rsid w:val="009454B0"/>
    <w:rsid w:val="009463EA"/>
    <w:rsid w:val="00947EBE"/>
    <w:rsid w:val="00962B51"/>
    <w:rsid w:val="00965B8D"/>
    <w:rsid w:val="00982611"/>
    <w:rsid w:val="0098677B"/>
    <w:rsid w:val="009A47E4"/>
    <w:rsid w:val="009C1A67"/>
    <w:rsid w:val="009D1AE2"/>
    <w:rsid w:val="009D2B87"/>
    <w:rsid w:val="009D3009"/>
    <w:rsid w:val="009E4C86"/>
    <w:rsid w:val="009F0F04"/>
    <w:rsid w:val="009F23F3"/>
    <w:rsid w:val="00A07ECA"/>
    <w:rsid w:val="00A17075"/>
    <w:rsid w:val="00A5638D"/>
    <w:rsid w:val="00A7231B"/>
    <w:rsid w:val="00A84511"/>
    <w:rsid w:val="00A84CC2"/>
    <w:rsid w:val="00A8633F"/>
    <w:rsid w:val="00A90BC7"/>
    <w:rsid w:val="00AA1506"/>
    <w:rsid w:val="00AA7999"/>
    <w:rsid w:val="00AB0443"/>
    <w:rsid w:val="00AB6D42"/>
    <w:rsid w:val="00AF55E9"/>
    <w:rsid w:val="00AF7625"/>
    <w:rsid w:val="00B02F9A"/>
    <w:rsid w:val="00B06D3E"/>
    <w:rsid w:val="00B1210F"/>
    <w:rsid w:val="00B23CF1"/>
    <w:rsid w:val="00B446E3"/>
    <w:rsid w:val="00B501B4"/>
    <w:rsid w:val="00B71190"/>
    <w:rsid w:val="00B75E33"/>
    <w:rsid w:val="00B808C0"/>
    <w:rsid w:val="00B839D8"/>
    <w:rsid w:val="00B85B1D"/>
    <w:rsid w:val="00B93217"/>
    <w:rsid w:val="00B9797C"/>
    <w:rsid w:val="00BA4843"/>
    <w:rsid w:val="00BA6EB7"/>
    <w:rsid w:val="00BB1962"/>
    <w:rsid w:val="00BB211D"/>
    <w:rsid w:val="00BB4CDB"/>
    <w:rsid w:val="00BC4C61"/>
    <w:rsid w:val="00BC7306"/>
    <w:rsid w:val="00BD2532"/>
    <w:rsid w:val="00BE174F"/>
    <w:rsid w:val="00C057DE"/>
    <w:rsid w:val="00C17853"/>
    <w:rsid w:val="00C25D94"/>
    <w:rsid w:val="00C31E60"/>
    <w:rsid w:val="00C56542"/>
    <w:rsid w:val="00C7456E"/>
    <w:rsid w:val="00C83E2A"/>
    <w:rsid w:val="00C916C5"/>
    <w:rsid w:val="00C963FA"/>
    <w:rsid w:val="00CA018F"/>
    <w:rsid w:val="00CA6F1F"/>
    <w:rsid w:val="00CA755F"/>
    <w:rsid w:val="00CB5BBD"/>
    <w:rsid w:val="00CD2DFD"/>
    <w:rsid w:val="00CD4A75"/>
    <w:rsid w:val="00CD4D16"/>
    <w:rsid w:val="00CE1E2E"/>
    <w:rsid w:val="00CE5D72"/>
    <w:rsid w:val="00D12C91"/>
    <w:rsid w:val="00D14A10"/>
    <w:rsid w:val="00D23CA5"/>
    <w:rsid w:val="00D25E75"/>
    <w:rsid w:val="00D32C88"/>
    <w:rsid w:val="00D42778"/>
    <w:rsid w:val="00D43306"/>
    <w:rsid w:val="00D44B38"/>
    <w:rsid w:val="00D46633"/>
    <w:rsid w:val="00D60021"/>
    <w:rsid w:val="00D604C2"/>
    <w:rsid w:val="00D824E5"/>
    <w:rsid w:val="00D94C19"/>
    <w:rsid w:val="00DD0906"/>
    <w:rsid w:val="00DD2C89"/>
    <w:rsid w:val="00DE24DA"/>
    <w:rsid w:val="00DE268E"/>
    <w:rsid w:val="00DE4C93"/>
    <w:rsid w:val="00DF1767"/>
    <w:rsid w:val="00DF6FE2"/>
    <w:rsid w:val="00E04E1B"/>
    <w:rsid w:val="00E20EF1"/>
    <w:rsid w:val="00E225FD"/>
    <w:rsid w:val="00E24E71"/>
    <w:rsid w:val="00E45A6E"/>
    <w:rsid w:val="00E512BC"/>
    <w:rsid w:val="00E52392"/>
    <w:rsid w:val="00E67F32"/>
    <w:rsid w:val="00E72092"/>
    <w:rsid w:val="00E75368"/>
    <w:rsid w:val="00E75473"/>
    <w:rsid w:val="00E86DC6"/>
    <w:rsid w:val="00E91960"/>
    <w:rsid w:val="00E91983"/>
    <w:rsid w:val="00E920D6"/>
    <w:rsid w:val="00EB5FDD"/>
    <w:rsid w:val="00EC38A2"/>
    <w:rsid w:val="00EC4C31"/>
    <w:rsid w:val="00ED095A"/>
    <w:rsid w:val="00F020E5"/>
    <w:rsid w:val="00F24EC7"/>
    <w:rsid w:val="00F32D2C"/>
    <w:rsid w:val="00F3381A"/>
    <w:rsid w:val="00F37CF3"/>
    <w:rsid w:val="00F55D88"/>
    <w:rsid w:val="00F601CC"/>
    <w:rsid w:val="00F60C93"/>
    <w:rsid w:val="00F62A16"/>
    <w:rsid w:val="00F758F6"/>
    <w:rsid w:val="00F75F57"/>
    <w:rsid w:val="00F93AD1"/>
    <w:rsid w:val="00F95855"/>
    <w:rsid w:val="00F96E61"/>
    <w:rsid w:val="00FA1ADB"/>
    <w:rsid w:val="00FA38A9"/>
    <w:rsid w:val="00FA5E0B"/>
    <w:rsid w:val="00FA6A84"/>
    <w:rsid w:val="00FB1B67"/>
    <w:rsid w:val="00FB629C"/>
    <w:rsid w:val="00FC632E"/>
    <w:rsid w:val="00FE5FCB"/>
    <w:rsid w:val="01784B4C"/>
    <w:rsid w:val="01E647B8"/>
    <w:rsid w:val="032A114A"/>
    <w:rsid w:val="0396446C"/>
    <w:rsid w:val="043113A7"/>
    <w:rsid w:val="05092FAB"/>
    <w:rsid w:val="05CA1DA9"/>
    <w:rsid w:val="06035C4C"/>
    <w:rsid w:val="064D05B3"/>
    <w:rsid w:val="0825634E"/>
    <w:rsid w:val="08D22394"/>
    <w:rsid w:val="090B6BB2"/>
    <w:rsid w:val="099E1F14"/>
    <w:rsid w:val="0A525970"/>
    <w:rsid w:val="0BB27EF8"/>
    <w:rsid w:val="0D7759BA"/>
    <w:rsid w:val="0E927D93"/>
    <w:rsid w:val="0F4075C9"/>
    <w:rsid w:val="0FD652BB"/>
    <w:rsid w:val="1070104F"/>
    <w:rsid w:val="11EC1AA2"/>
    <w:rsid w:val="12F9482A"/>
    <w:rsid w:val="13004492"/>
    <w:rsid w:val="134A5E3C"/>
    <w:rsid w:val="13C80261"/>
    <w:rsid w:val="13DC3B4B"/>
    <w:rsid w:val="13F339B6"/>
    <w:rsid w:val="14960207"/>
    <w:rsid w:val="15073BEA"/>
    <w:rsid w:val="15A60293"/>
    <w:rsid w:val="160C6457"/>
    <w:rsid w:val="163246B0"/>
    <w:rsid w:val="17064C8B"/>
    <w:rsid w:val="18932E60"/>
    <w:rsid w:val="193139A7"/>
    <w:rsid w:val="19BE7ED8"/>
    <w:rsid w:val="1A2D378E"/>
    <w:rsid w:val="1A8E1B30"/>
    <w:rsid w:val="1AD90871"/>
    <w:rsid w:val="1B626B44"/>
    <w:rsid w:val="1BE9401E"/>
    <w:rsid w:val="1C2841C4"/>
    <w:rsid w:val="1C835A79"/>
    <w:rsid w:val="1C933D10"/>
    <w:rsid w:val="1CB64D66"/>
    <w:rsid w:val="1D931F9F"/>
    <w:rsid w:val="1E5E181A"/>
    <w:rsid w:val="1E694877"/>
    <w:rsid w:val="1F557D35"/>
    <w:rsid w:val="20073919"/>
    <w:rsid w:val="20D504B9"/>
    <w:rsid w:val="211B68D5"/>
    <w:rsid w:val="212B0AF2"/>
    <w:rsid w:val="21582E98"/>
    <w:rsid w:val="218A492D"/>
    <w:rsid w:val="21F00D42"/>
    <w:rsid w:val="221E19EC"/>
    <w:rsid w:val="22665141"/>
    <w:rsid w:val="2373001F"/>
    <w:rsid w:val="2386517B"/>
    <w:rsid w:val="239E738B"/>
    <w:rsid w:val="25FD4456"/>
    <w:rsid w:val="268D5392"/>
    <w:rsid w:val="27D112AE"/>
    <w:rsid w:val="29826D04"/>
    <w:rsid w:val="29E67293"/>
    <w:rsid w:val="2A925372"/>
    <w:rsid w:val="2B560448"/>
    <w:rsid w:val="2B9541BC"/>
    <w:rsid w:val="2D2204ED"/>
    <w:rsid w:val="2D807235"/>
    <w:rsid w:val="2DA3256D"/>
    <w:rsid w:val="2DDA44C3"/>
    <w:rsid w:val="2E4C168F"/>
    <w:rsid w:val="2ED44FA9"/>
    <w:rsid w:val="2F74152C"/>
    <w:rsid w:val="2FBA6E3C"/>
    <w:rsid w:val="303F715F"/>
    <w:rsid w:val="31392222"/>
    <w:rsid w:val="31741628"/>
    <w:rsid w:val="31BC647C"/>
    <w:rsid w:val="324F097F"/>
    <w:rsid w:val="32DD1ADE"/>
    <w:rsid w:val="32F97CAA"/>
    <w:rsid w:val="33043DBA"/>
    <w:rsid w:val="331717EE"/>
    <w:rsid w:val="34B3387D"/>
    <w:rsid w:val="3563341C"/>
    <w:rsid w:val="3597301C"/>
    <w:rsid w:val="35A9220E"/>
    <w:rsid w:val="35DE3514"/>
    <w:rsid w:val="36FC06FB"/>
    <w:rsid w:val="37955E55"/>
    <w:rsid w:val="37CB1876"/>
    <w:rsid w:val="38606586"/>
    <w:rsid w:val="389F1E7A"/>
    <w:rsid w:val="3A053765"/>
    <w:rsid w:val="3A844536"/>
    <w:rsid w:val="3AB269CD"/>
    <w:rsid w:val="3AC27496"/>
    <w:rsid w:val="3AD7778F"/>
    <w:rsid w:val="3B975968"/>
    <w:rsid w:val="3BE253E0"/>
    <w:rsid w:val="3C0D06AF"/>
    <w:rsid w:val="3C1156B9"/>
    <w:rsid w:val="3CE75B33"/>
    <w:rsid w:val="3DFA1107"/>
    <w:rsid w:val="3E265A58"/>
    <w:rsid w:val="3E2D5039"/>
    <w:rsid w:val="3F3F2208"/>
    <w:rsid w:val="3F917849"/>
    <w:rsid w:val="3FBD419A"/>
    <w:rsid w:val="40EB4B31"/>
    <w:rsid w:val="41230975"/>
    <w:rsid w:val="41C1123C"/>
    <w:rsid w:val="41E77E77"/>
    <w:rsid w:val="41ED4000"/>
    <w:rsid w:val="43B22C65"/>
    <w:rsid w:val="43DA0330"/>
    <w:rsid w:val="44B26298"/>
    <w:rsid w:val="450E5498"/>
    <w:rsid w:val="455455A1"/>
    <w:rsid w:val="45CD0A54"/>
    <w:rsid w:val="47EF74AA"/>
    <w:rsid w:val="483018E1"/>
    <w:rsid w:val="48A46AE3"/>
    <w:rsid w:val="48A52B33"/>
    <w:rsid w:val="4A496DB2"/>
    <w:rsid w:val="4AB22B40"/>
    <w:rsid w:val="4B626B49"/>
    <w:rsid w:val="4C4129A8"/>
    <w:rsid w:val="4C8C57EE"/>
    <w:rsid w:val="4CDC5ED5"/>
    <w:rsid w:val="4CE770FA"/>
    <w:rsid w:val="4CFD207A"/>
    <w:rsid w:val="4D5719B3"/>
    <w:rsid w:val="4D93415D"/>
    <w:rsid w:val="4D9C267E"/>
    <w:rsid w:val="4E165AE9"/>
    <w:rsid w:val="4E265601"/>
    <w:rsid w:val="4E2F0959"/>
    <w:rsid w:val="4E5174C0"/>
    <w:rsid w:val="4E9609D8"/>
    <w:rsid w:val="4FD55530"/>
    <w:rsid w:val="4FD72E5F"/>
    <w:rsid w:val="51823496"/>
    <w:rsid w:val="51AC5C98"/>
    <w:rsid w:val="51E1640E"/>
    <w:rsid w:val="5238563D"/>
    <w:rsid w:val="556D1D67"/>
    <w:rsid w:val="56BF4B93"/>
    <w:rsid w:val="572C04E9"/>
    <w:rsid w:val="57C93BCD"/>
    <w:rsid w:val="57E02EBE"/>
    <w:rsid w:val="58331046"/>
    <w:rsid w:val="593037D7"/>
    <w:rsid w:val="599E6993"/>
    <w:rsid w:val="59C7413C"/>
    <w:rsid w:val="59FB3E76"/>
    <w:rsid w:val="5A5F25C6"/>
    <w:rsid w:val="5A91558A"/>
    <w:rsid w:val="5B1D1AD6"/>
    <w:rsid w:val="5C4043FA"/>
    <w:rsid w:val="5CE055C6"/>
    <w:rsid w:val="5D065150"/>
    <w:rsid w:val="5D95273A"/>
    <w:rsid w:val="5DC26F5C"/>
    <w:rsid w:val="5DEC23C3"/>
    <w:rsid w:val="5DF86D89"/>
    <w:rsid w:val="5F2E0F3F"/>
    <w:rsid w:val="5F3A53B0"/>
    <w:rsid w:val="5F5050AA"/>
    <w:rsid w:val="60067040"/>
    <w:rsid w:val="61005AF5"/>
    <w:rsid w:val="6151319F"/>
    <w:rsid w:val="6187021F"/>
    <w:rsid w:val="62021A48"/>
    <w:rsid w:val="62706537"/>
    <w:rsid w:val="62970C2B"/>
    <w:rsid w:val="62AB26F4"/>
    <w:rsid w:val="63775C56"/>
    <w:rsid w:val="6399389F"/>
    <w:rsid w:val="63B91445"/>
    <w:rsid w:val="63BA4952"/>
    <w:rsid w:val="63DC5540"/>
    <w:rsid w:val="65C25218"/>
    <w:rsid w:val="662F40EA"/>
    <w:rsid w:val="667E3DD4"/>
    <w:rsid w:val="67011426"/>
    <w:rsid w:val="670637B1"/>
    <w:rsid w:val="67430B7A"/>
    <w:rsid w:val="68160749"/>
    <w:rsid w:val="69526AFE"/>
    <w:rsid w:val="69807E63"/>
    <w:rsid w:val="69D34289"/>
    <w:rsid w:val="6AE01F09"/>
    <w:rsid w:val="6AF44665"/>
    <w:rsid w:val="6B15282D"/>
    <w:rsid w:val="6BD12BF8"/>
    <w:rsid w:val="6BF7399C"/>
    <w:rsid w:val="6C4F47AE"/>
    <w:rsid w:val="6C5F0204"/>
    <w:rsid w:val="6D1F3CE0"/>
    <w:rsid w:val="6DB225B5"/>
    <w:rsid w:val="6DB86717"/>
    <w:rsid w:val="6F636ACA"/>
    <w:rsid w:val="703D7305"/>
    <w:rsid w:val="704F09C3"/>
    <w:rsid w:val="70514307"/>
    <w:rsid w:val="71002107"/>
    <w:rsid w:val="71C91502"/>
    <w:rsid w:val="71DE1C93"/>
    <w:rsid w:val="723E7519"/>
    <w:rsid w:val="726E220F"/>
    <w:rsid w:val="72D04E31"/>
    <w:rsid w:val="72F23963"/>
    <w:rsid w:val="72FD2525"/>
    <w:rsid w:val="73170CF6"/>
    <w:rsid w:val="74185868"/>
    <w:rsid w:val="74697D53"/>
    <w:rsid w:val="74900926"/>
    <w:rsid w:val="74B44D47"/>
    <w:rsid w:val="7512583F"/>
    <w:rsid w:val="756E3266"/>
    <w:rsid w:val="757A2B50"/>
    <w:rsid w:val="759F5B15"/>
    <w:rsid w:val="793D48A9"/>
    <w:rsid w:val="79C151DD"/>
    <w:rsid w:val="79F0693F"/>
    <w:rsid w:val="7A952893"/>
    <w:rsid w:val="7AC33BEB"/>
    <w:rsid w:val="7AC96C72"/>
    <w:rsid w:val="7B70753E"/>
    <w:rsid w:val="7E002EC9"/>
    <w:rsid w:val="7FE248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600" w:lineRule="exact"/>
      <w:ind w:firstLine="200" w:firstLineChars="200"/>
      <w:jc w:val="both"/>
    </w:pPr>
    <w:rPr>
      <w:rFonts w:ascii="Times New Roman" w:hAnsi="Times New Roman" w:eastAsia="仿宋_GB2312" w:cs="Times New Roman"/>
      <w:kern w:val="2"/>
      <w:sz w:val="32"/>
      <w:szCs w:val="24"/>
      <w:lang w:val="en-US" w:eastAsia="zh-CN" w:bidi="ar-SA"/>
    </w:rPr>
  </w:style>
  <w:style w:type="paragraph" w:styleId="2">
    <w:name w:val="heading 1"/>
    <w:basedOn w:val="1"/>
    <w:next w:val="1"/>
    <w:link w:val="42"/>
    <w:autoRedefine/>
    <w:qFormat/>
    <w:uiPriority w:val="0"/>
    <w:pPr>
      <w:keepNext/>
      <w:keepLines/>
      <w:numPr>
        <w:ilvl w:val="0"/>
        <w:numId w:val="1"/>
      </w:numPr>
      <w:spacing w:before="340" w:after="330" w:line="578" w:lineRule="auto"/>
      <w:ind w:firstLine="0" w:firstLineChars="0"/>
      <w:jc w:val="center"/>
      <w:outlineLvl w:val="0"/>
    </w:pPr>
    <w:rPr>
      <w:rFonts w:eastAsia="方正小标宋_GBK"/>
      <w:b/>
      <w:bCs/>
      <w:kern w:val="44"/>
      <w:sz w:val="36"/>
      <w:szCs w:val="44"/>
    </w:rPr>
  </w:style>
  <w:style w:type="paragraph" w:styleId="3">
    <w:name w:val="heading 2"/>
    <w:basedOn w:val="1"/>
    <w:next w:val="1"/>
    <w:link w:val="41"/>
    <w:autoRedefine/>
    <w:qFormat/>
    <w:uiPriority w:val="0"/>
    <w:pPr>
      <w:keepNext/>
      <w:keepLines/>
      <w:numPr>
        <w:ilvl w:val="0"/>
        <w:numId w:val="2"/>
      </w:numPr>
      <w:spacing w:before="260" w:after="260" w:line="415" w:lineRule="auto"/>
      <w:ind w:firstLine="0" w:firstLineChars="0"/>
      <w:jc w:val="center"/>
      <w:outlineLvl w:val="1"/>
    </w:pPr>
    <w:rPr>
      <w:rFonts w:ascii="Arial" w:hAnsi="Arial" w:eastAsia="黑体"/>
      <w:bCs/>
      <w:sz w:val="32"/>
      <w:szCs w:val="32"/>
    </w:rPr>
  </w:style>
  <w:style w:type="paragraph" w:styleId="4">
    <w:name w:val="heading 3"/>
    <w:basedOn w:val="1"/>
    <w:next w:val="1"/>
    <w:link w:val="50"/>
    <w:autoRedefine/>
    <w:qFormat/>
    <w:uiPriority w:val="0"/>
    <w:pPr>
      <w:keepNext/>
      <w:keepLines/>
      <w:numPr>
        <w:ilvl w:val="0"/>
        <w:numId w:val="3"/>
      </w:numPr>
      <w:spacing w:before="260" w:after="260" w:line="360" w:lineRule="auto"/>
      <w:ind w:left="0" w:firstLine="1040" w:firstLineChars="200"/>
      <w:jc w:val="left"/>
      <w:outlineLvl w:val="2"/>
    </w:pPr>
    <w:rPr>
      <w:rFonts w:eastAsia="楷体_GB2312"/>
      <w:bCs/>
      <w:szCs w:val="32"/>
    </w:rPr>
  </w:style>
  <w:style w:type="paragraph" w:styleId="5">
    <w:name w:val="heading 4"/>
    <w:basedOn w:val="1"/>
    <w:next w:val="6"/>
    <w:link w:val="51"/>
    <w:autoRedefine/>
    <w:qFormat/>
    <w:uiPriority w:val="0"/>
    <w:pPr>
      <w:keepNext/>
      <w:keepLines/>
      <w:widowControl/>
      <w:tabs>
        <w:tab w:val="left" w:pos="864"/>
      </w:tabs>
      <w:spacing w:before="280" w:after="290" w:line="376" w:lineRule="auto"/>
      <w:ind w:left="864" w:hanging="144"/>
      <w:jc w:val="left"/>
      <w:outlineLvl w:val="3"/>
    </w:pPr>
    <w:rPr>
      <w:rFonts w:ascii="Arial" w:hAnsi="Arial" w:eastAsia="黑体"/>
      <w:b/>
      <w:kern w:val="0"/>
      <w:szCs w:val="20"/>
    </w:rPr>
  </w:style>
  <w:style w:type="paragraph" w:styleId="7">
    <w:name w:val="heading 5"/>
    <w:basedOn w:val="1"/>
    <w:next w:val="6"/>
    <w:link w:val="52"/>
    <w:autoRedefine/>
    <w:qFormat/>
    <w:uiPriority w:val="0"/>
    <w:pPr>
      <w:keepNext/>
      <w:keepLines/>
      <w:widowControl/>
      <w:tabs>
        <w:tab w:val="left" w:pos="1008"/>
      </w:tabs>
      <w:spacing w:before="280" w:after="290" w:line="376" w:lineRule="auto"/>
      <w:ind w:left="1008" w:hanging="432"/>
      <w:jc w:val="left"/>
      <w:outlineLvl w:val="4"/>
    </w:pPr>
    <w:rPr>
      <w:rFonts w:eastAsia="华康UD宋 W2"/>
      <w:b/>
      <w:kern w:val="0"/>
      <w:szCs w:val="20"/>
    </w:rPr>
  </w:style>
  <w:style w:type="paragraph" w:styleId="8">
    <w:name w:val="heading 6"/>
    <w:basedOn w:val="1"/>
    <w:next w:val="6"/>
    <w:link w:val="53"/>
    <w:autoRedefine/>
    <w:qFormat/>
    <w:uiPriority w:val="0"/>
    <w:pPr>
      <w:keepNext/>
      <w:keepLines/>
      <w:widowControl/>
      <w:tabs>
        <w:tab w:val="left" w:pos="1152"/>
      </w:tabs>
      <w:spacing w:before="240" w:after="64" w:line="320" w:lineRule="auto"/>
      <w:ind w:left="1152" w:hanging="432"/>
      <w:jc w:val="left"/>
      <w:outlineLvl w:val="5"/>
    </w:pPr>
    <w:rPr>
      <w:rFonts w:ascii="Arial" w:hAnsi="Arial" w:eastAsia="黑体"/>
      <w:b/>
      <w:kern w:val="0"/>
      <w:sz w:val="24"/>
      <w:szCs w:val="20"/>
    </w:rPr>
  </w:style>
  <w:style w:type="paragraph" w:styleId="9">
    <w:name w:val="heading 7"/>
    <w:basedOn w:val="1"/>
    <w:next w:val="6"/>
    <w:link w:val="54"/>
    <w:autoRedefine/>
    <w:qFormat/>
    <w:uiPriority w:val="0"/>
    <w:pPr>
      <w:keepNext/>
      <w:keepLines/>
      <w:widowControl/>
      <w:tabs>
        <w:tab w:val="left" w:pos="1296"/>
      </w:tabs>
      <w:spacing w:before="240" w:after="64" w:line="320" w:lineRule="auto"/>
      <w:ind w:left="1296" w:hanging="288"/>
      <w:jc w:val="left"/>
      <w:outlineLvl w:val="6"/>
    </w:pPr>
    <w:rPr>
      <w:rFonts w:eastAsia="华康UD宋 W2"/>
      <w:b/>
      <w:kern w:val="0"/>
      <w:sz w:val="24"/>
      <w:szCs w:val="20"/>
    </w:rPr>
  </w:style>
  <w:style w:type="paragraph" w:styleId="10">
    <w:name w:val="heading 8"/>
    <w:basedOn w:val="1"/>
    <w:next w:val="6"/>
    <w:link w:val="55"/>
    <w:autoRedefine/>
    <w:qFormat/>
    <w:uiPriority w:val="0"/>
    <w:pPr>
      <w:keepNext/>
      <w:keepLines/>
      <w:widowControl/>
      <w:tabs>
        <w:tab w:val="left" w:pos="1440"/>
      </w:tabs>
      <w:spacing w:before="240" w:after="64" w:line="320" w:lineRule="auto"/>
      <w:ind w:left="1440" w:hanging="432"/>
      <w:jc w:val="left"/>
      <w:outlineLvl w:val="7"/>
    </w:pPr>
    <w:rPr>
      <w:rFonts w:ascii="Arial" w:hAnsi="Arial" w:eastAsia="黑体"/>
      <w:kern w:val="0"/>
      <w:sz w:val="24"/>
      <w:szCs w:val="20"/>
    </w:rPr>
  </w:style>
  <w:style w:type="paragraph" w:styleId="11">
    <w:name w:val="heading 9"/>
    <w:basedOn w:val="1"/>
    <w:next w:val="6"/>
    <w:link w:val="56"/>
    <w:autoRedefine/>
    <w:qFormat/>
    <w:uiPriority w:val="0"/>
    <w:pPr>
      <w:keepNext/>
      <w:keepLines/>
      <w:widowControl/>
      <w:tabs>
        <w:tab w:val="left" w:pos="1584"/>
      </w:tabs>
      <w:spacing w:before="240" w:after="64" w:line="320" w:lineRule="auto"/>
      <w:ind w:left="1584" w:hanging="144"/>
      <w:jc w:val="left"/>
      <w:outlineLvl w:val="8"/>
    </w:pPr>
    <w:rPr>
      <w:rFonts w:ascii="Arial" w:hAnsi="Arial" w:eastAsia="黑体"/>
      <w:kern w:val="0"/>
      <w:szCs w:val="20"/>
    </w:rPr>
  </w:style>
  <w:style w:type="character" w:default="1" w:styleId="36">
    <w:name w:val="Default Paragraph Font"/>
    <w:autoRedefine/>
    <w:unhideWhenUsed/>
    <w:qFormat/>
    <w:uiPriority w:val="1"/>
  </w:style>
  <w:style w:type="table" w:default="1" w:styleId="34">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ind w:firstLine="420"/>
    </w:pPr>
  </w:style>
  <w:style w:type="paragraph" w:styleId="12">
    <w:name w:val="toc 7"/>
    <w:basedOn w:val="1"/>
    <w:next w:val="1"/>
    <w:autoRedefine/>
    <w:unhideWhenUsed/>
    <w:qFormat/>
    <w:uiPriority w:val="39"/>
    <w:pPr>
      <w:ind w:left="1680"/>
      <w:jc w:val="left"/>
    </w:pPr>
    <w:rPr>
      <w:rFonts w:asciiTheme="minorHAnsi" w:hAnsiTheme="minorHAnsi" w:cstheme="minorHAnsi"/>
      <w:sz w:val="18"/>
      <w:szCs w:val="18"/>
    </w:rPr>
  </w:style>
  <w:style w:type="paragraph" w:styleId="13">
    <w:name w:val="caption"/>
    <w:basedOn w:val="1"/>
    <w:next w:val="1"/>
    <w:autoRedefine/>
    <w:qFormat/>
    <w:uiPriority w:val="0"/>
    <w:pPr>
      <w:ind w:firstLine="0" w:firstLineChars="0"/>
    </w:pPr>
    <w:rPr>
      <w:rFonts w:ascii="Arial" w:hAnsi="Arial" w:eastAsia="黑体" w:cs="Arial"/>
      <w:sz w:val="21"/>
      <w:szCs w:val="20"/>
    </w:rPr>
  </w:style>
  <w:style w:type="paragraph" w:styleId="14">
    <w:name w:val="Document Map"/>
    <w:basedOn w:val="1"/>
    <w:link w:val="63"/>
    <w:autoRedefine/>
    <w:qFormat/>
    <w:uiPriority w:val="0"/>
    <w:rPr>
      <w:rFonts w:ascii="宋体"/>
      <w:sz w:val="18"/>
      <w:szCs w:val="18"/>
    </w:rPr>
  </w:style>
  <w:style w:type="paragraph" w:styleId="15">
    <w:name w:val="annotation text"/>
    <w:basedOn w:val="1"/>
    <w:link w:val="87"/>
    <w:autoRedefine/>
    <w:unhideWhenUsed/>
    <w:qFormat/>
    <w:uiPriority w:val="99"/>
    <w:pPr>
      <w:jc w:val="left"/>
    </w:pPr>
  </w:style>
  <w:style w:type="paragraph" w:styleId="16">
    <w:name w:val="Body Text"/>
    <w:basedOn w:val="1"/>
    <w:autoRedefine/>
    <w:unhideWhenUsed/>
    <w:qFormat/>
    <w:uiPriority w:val="99"/>
    <w:pPr>
      <w:spacing w:after="120" w:afterLines="0" w:afterAutospacing="0"/>
    </w:pPr>
  </w:style>
  <w:style w:type="paragraph" w:styleId="17">
    <w:name w:val="Body Text Indent"/>
    <w:basedOn w:val="1"/>
    <w:link w:val="57"/>
    <w:autoRedefine/>
    <w:qFormat/>
    <w:uiPriority w:val="0"/>
    <w:pPr>
      <w:spacing w:line="280" w:lineRule="exact"/>
      <w:ind w:firstLine="198"/>
    </w:pPr>
    <w:rPr>
      <w:rFonts w:ascii="楷体_GB2312" w:eastAsia="楷体_GB2312" w:cs="楷体_GB2312"/>
      <w:color w:val="003399"/>
      <w:sz w:val="15"/>
      <w:szCs w:val="15"/>
    </w:rPr>
  </w:style>
  <w:style w:type="paragraph" w:styleId="18">
    <w:name w:val="toc 5"/>
    <w:basedOn w:val="1"/>
    <w:next w:val="1"/>
    <w:autoRedefine/>
    <w:unhideWhenUsed/>
    <w:qFormat/>
    <w:uiPriority w:val="39"/>
    <w:pPr>
      <w:ind w:left="1120"/>
      <w:jc w:val="left"/>
    </w:pPr>
    <w:rPr>
      <w:rFonts w:asciiTheme="minorHAnsi" w:hAnsiTheme="minorHAnsi" w:cstheme="minorHAnsi"/>
      <w:sz w:val="18"/>
      <w:szCs w:val="18"/>
    </w:rPr>
  </w:style>
  <w:style w:type="paragraph" w:styleId="19">
    <w:name w:val="toc 3"/>
    <w:basedOn w:val="1"/>
    <w:next w:val="1"/>
    <w:autoRedefine/>
    <w:qFormat/>
    <w:uiPriority w:val="39"/>
    <w:pPr>
      <w:ind w:left="560"/>
      <w:jc w:val="left"/>
    </w:pPr>
    <w:rPr>
      <w:rFonts w:asciiTheme="minorHAnsi" w:hAnsiTheme="minorHAnsi" w:cstheme="minorHAnsi"/>
      <w:i/>
      <w:iCs/>
      <w:sz w:val="20"/>
      <w:szCs w:val="20"/>
    </w:rPr>
  </w:style>
  <w:style w:type="paragraph" w:styleId="20">
    <w:name w:val="Plain Text"/>
    <w:basedOn w:val="1"/>
    <w:link w:val="59"/>
    <w:autoRedefine/>
    <w:qFormat/>
    <w:uiPriority w:val="0"/>
    <w:rPr>
      <w:rFonts w:ascii="宋体" w:hAnsi="Courier New" w:cs="Courier New"/>
      <w:szCs w:val="21"/>
    </w:rPr>
  </w:style>
  <w:style w:type="paragraph" w:styleId="21">
    <w:name w:val="toc 8"/>
    <w:basedOn w:val="1"/>
    <w:next w:val="1"/>
    <w:autoRedefine/>
    <w:unhideWhenUsed/>
    <w:qFormat/>
    <w:uiPriority w:val="39"/>
    <w:pPr>
      <w:ind w:left="1960"/>
      <w:jc w:val="left"/>
    </w:pPr>
    <w:rPr>
      <w:rFonts w:asciiTheme="minorHAnsi" w:hAnsiTheme="minorHAnsi" w:cstheme="minorHAnsi"/>
      <w:sz w:val="18"/>
      <w:szCs w:val="18"/>
    </w:rPr>
  </w:style>
  <w:style w:type="paragraph" w:styleId="22">
    <w:name w:val="Balloon Text"/>
    <w:basedOn w:val="1"/>
    <w:link w:val="65"/>
    <w:autoRedefine/>
    <w:semiHidden/>
    <w:qFormat/>
    <w:uiPriority w:val="0"/>
    <w:rPr>
      <w:sz w:val="18"/>
      <w:szCs w:val="18"/>
    </w:rPr>
  </w:style>
  <w:style w:type="paragraph" w:styleId="23">
    <w:name w:val="footer"/>
    <w:basedOn w:val="1"/>
    <w:link w:val="49"/>
    <w:autoRedefine/>
    <w:unhideWhenUsed/>
    <w:qFormat/>
    <w:uiPriority w:val="99"/>
    <w:pPr>
      <w:tabs>
        <w:tab w:val="center" w:pos="4153"/>
        <w:tab w:val="right" w:pos="8306"/>
      </w:tabs>
      <w:snapToGrid w:val="0"/>
      <w:jc w:val="left"/>
    </w:pPr>
    <w:rPr>
      <w:sz w:val="18"/>
      <w:szCs w:val="18"/>
    </w:rPr>
  </w:style>
  <w:style w:type="paragraph" w:styleId="24">
    <w:name w:val="header"/>
    <w:basedOn w:val="1"/>
    <w:link w:val="4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autoRedefine/>
    <w:qFormat/>
    <w:uiPriority w:val="39"/>
    <w:pPr>
      <w:spacing w:before="120" w:after="120"/>
      <w:jc w:val="left"/>
    </w:pPr>
    <w:rPr>
      <w:rFonts w:asciiTheme="minorHAnsi" w:hAnsiTheme="minorHAnsi" w:cstheme="minorHAnsi"/>
      <w:b/>
      <w:bCs/>
      <w:caps/>
      <w:sz w:val="20"/>
      <w:szCs w:val="20"/>
    </w:rPr>
  </w:style>
  <w:style w:type="paragraph" w:styleId="26">
    <w:name w:val="toc 4"/>
    <w:basedOn w:val="1"/>
    <w:next w:val="1"/>
    <w:autoRedefine/>
    <w:unhideWhenUsed/>
    <w:qFormat/>
    <w:uiPriority w:val="39"/>
    <w:pPr>
      <w:ind w:left="840"/>
      <w:jc w:val="left"/>
    </w:pPr>
    <w:rPr>
      <w:rFonts w:asciiTheme="minorHAnsi" w:hAnsiTheme="minorHAnsi" w:cstheme="minorHAnsi"/>
      <w:sz w:val="18"/>
      <w:szCs w:val="18"/>
    </w:rPr>
  </w:style>
  <w:style w:type="paragraph" w:styleId="27">
    <w:name w:val="footnote text"/>
    <w:basedOn w:val="1"/>
    <w:link w:val="74"/>
    <w:autoRedefine/>
    <w:semiHidden/>
    <w:unhideWhenUsed/>
    <w:qFormat/>
    <w:uiPriority w:val="99"/>
    <w:pPr>
      <w:snapToGrid w:val="0"/>
      <w:jc w:val="left"/>
    </w:pPr>
    <w:rPr>
      <w:sz w:val="18"/>
      <w:szCs w:val="18"/>
    </w:rPr>
  </w:style>
  <w:style w:type="paragraph" w:styleId="28">
    <w:name w:val="toc 6"/>
    <w:basedOn w:val="1"/>
    <w:next w:val="1"/>
    <w:autoRedefine/>
    <w:unhideWhenUsed/>
    <w:qFormat/>
    <w:uiPriority w:val="39"/>
    <w:pPr>
      <w:ind w:left="1400"/>
      <w:jc w:val="left"/>
    </w:pPr>
    <w:rPr>
      <w:rFonts w:asciiTheme="minorHAnsi" w:hAnsiTheme="minorHAnsi" w:cstheme="minorHAnsi"/>
      <w:sz w:val="18"/>
      <w:szCs w:val="18"/>
    </w:rPr>
  </w:style>
  <w:style w:type="paragraph" w:styleId="29">
    <w:name w:val="toc 2"/>
    <w:basedOn w:val="1"/>
    <w:next w:val="1"/>
    <w:autoRedefine/>
    <w:qFormat/>
    <w:uiPriority w:val="39"/>
    <w:pPr>
      <w:ind w:left="280"/>
      <w:jc w:val="left"/>
    </w:pPr>
    <w:rPr>
      <w:rFonts w:asciiTheme="minorHAnsi" w:hAnsiTheme="minorHAnsi" w:cstheme="minorHAnsi"/>
      <w:smallCaps/>
      <w:sz w:val="20"/>
      <w:szCs w:val="20"/>
    </w:rPr>
  </w:style>
  <w:style w:type="paragraph" w:styleId="30">
    <w:name w:val="toc 9"/>
    <w:basedOn w:val="1"/>
    <w:next w:val="1"/>
    <w:autoRedefine/>
    <w:unhideWhenUsed/>
    <w:qFormat/>
    <w:uiPriority w:val="39"/>
    <w:pPr>
      <w:ind w:left="2240"/>
      <w:jc w:val="left"/>
    </w:pPr>
    <w:rPr>
      <w:rFonts w:asciiTheme="minorHAnsi" w:hAnsiTheme="minorHAnsi" w:cstheme="minorHAnsi"/>
      <w:sz w:val="18"/>
      <w:szCs w:val="18"/>
    </w:rPr>
  </w:style>
  <w:style w:type="paragraph" w:styleId="31">
    <w:name w:val="Normal (Web)"/>
    <w:basedOn w:val="1"/>
    <w:semiHidden/>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rPr>
  </w:style>
  <w:style w:type="paragraph" w:styleId="32">
    <w:name w:val="annotation subject"/>
    <w:basedOn w:val="15"/>
    <w:next w:val="15"/>
    <w:link w:val="88"/>
    <w:autoRedefine/>
    <w:semiHidden/>
    <w:unhideWhenUsed/>
    <w:qFormat/>
    <w:uiPriority w:val="99"/>
    <w:rPr>
      <w:b/>
      <w:bCs/>
    </w:rPr>
  </w:style>
  <w:style w:type="paragraph" w:styleId="33">
    <w:name w:val="Body Text First Indent 2"/>
    <w:basedOn w:val="17"/>
    <w:next w:val="20"/>
    <w:autoRedefine/>
    <w:semiHidden/>
    <w:unhideWhenUsed/>
    <w:qFormat/>
    <w:uiPriority w:val="99"/>
    <w:pPr>
      <w:ind w:firstLine="420"/>
    </w:pPr>
  </w:style>
  <w:style w:type="table" w:styleId="35">
    <w:name w:val="Table Grid"/>
    <w:basedOn w:val="3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page number"/>
    <w:basedOn w:val="36"/>
    <w:autoRedefine/>
    <w:qFormat/>
    <w:uiPriority w:val="0"/>
  </w:style>
  <w:style w:type="character" w:styleId="38">
    <w:name w:val="Hyperlink"/>
    <w:basedOn w:val="36"/>
    <w:autoRedefine/>
    <w:qFormat/>
    <w:uiPriority w:val="99"/>
    <w:rPr>
      <w:color w:val="0000FF"/>
      <w:u w:val="single"/>
    </w:rPr>
  </w:style>
  <w:style w:type="character" w:styleId="39">
    <w:name w:val="annotation reference"/>
    <w:basedOn w:val="36"/>
    <w:autoRedefine/>
    <w:semiHidden/>
    <w:unhideWhenUsed/>
    <w:qFormat/>
    <w:uiPriority w:val="99"/>
    <w:rPr>
      <w:sz w:val="21"/>
      <w:szCs w:val="21"/>
    </w:rPr>
  </w:style>
  <w:style w:type="character" w:styleId="40">
    <w:name w:val="footnote reference"/>
    <w:autoRedefine/>
    <w:qFormat/>
    <w:uiPriority w:val="0"/>
    <w:rPr>
      <w:vertAlign w:val="superscript"/>
    </w:rPr>
  </w:style>
  <w:style w:type="character" w:customStyle="1" w:styleId="41">
    <w:name w:val="标题 2 字符"/>
    <w:basedOn w:val="36"/>
    <w:link w:val="3"/>
    <w:autoRedefine/>
    <w:qFormat/>
    <w:uiPriority w:val="0"/>
    <w:rPr>
      <w:rFonts w:ascii="Arial" w:hAnsi="Arial" w:eastAsia="黑体"/>
      <w:bCs/>
      <w:kern w:val="2"/>
      <w:sz w:val="32"/>
      <w:szCs w:val="32"/>
    </w:rPr>
  </w:style>
  <w:style w:type="character" w:customStyle="1" w:styleId="42">
    <w:name w:val="标题 1 字符"/>
    <w:basedOn w:val="36"/>
    <w:link w:val="2"/>
    <w:autoRedefine/>
    <w:qFormat/>
    <w:uiPriority w:val="0"/>
    <w:rPr>
      <w:rFonts w:eastAsia="方正小标宋_GBK"/>
      <w:b/>
      <w:bCs/>
      <w:kern w:val="44"/>
      <w:sz w:val="36"/>
      <w:szCs w:val="44"/>
    </w:rPr>
  </w:style>
  <w:style w:type="paragraph" w:customStyle="1" w:styleId="43">
    <w:name w:val="专栏标题"/>
    <w:basedOn w:val="1"/>
    <w:autoRedefine/>
    <w:qFormat/>
    <w:uiPriority w:val="0"/>
    <w:pPr>
      <w:ind w:firstLine="0" w:firstLineChars="0"/>
      <w:jc w:val="center"/>
    </w:pPr>
    <w:rPr>
      <w:rFonts w:hint="eastAsia" w:ascii="仿宋" w:hAnsi="仿宋" w:eastAsia="黑体" w:cs="仿宋"/>
      <w:bCs/>
      <w:sz w:val="30"/>
    </w:rPr>
  </w:style>
  <w:style w:type="paragraph" w:customStyle="1" w:styleId="44">
    <w:name w:val="专栏段首主题句"/>
    <w:basedOn w:val="1"/>
    <w:next w:val="1"/>
    <w:link w:val="91"/>
    <w:autoRedefine/>
    <w:qFormat/>
    <w:uiPriority w:val="0"/>
    <w:pPr>
      <w:spacing w:line="500" w:lineRule="exact"/>
    </w:pPr>
    <w:rPr>
      <w:rFonts w:hint="eastAsia" w:ascii="仿宋_GB2312" w:hAnsi="仿宋_GB2312" w:eastAsia="楷体_GB2312" w:cs="仿宋_GB2312"/>
      <w:bCs/>
      <w:sz w:val="24"/>
    </w:rPr>
  </w:style>
  <w:style w:type="paragraph" w:customStyle="1" w:styleId="45">
    <w:name w:val="四级"/>
    <w:basedOn w:val="46"/>
    <w:next w:val="1"/>
    <w:link w:val="47"/>
    <w:autoRedefine/>
    <w:qFormat/>
    <w:uiPriority w:val="0"/>
    <w:pPr>
      <w:adjustRightInd w:val="0"/>
      <w:snapToGrid w:val="0"/>
      <w:spacing w:before="100" w:beforeLines="100" w:after="100" w:afterLines="100" w:line="240" w:lineRule="auto"/>
      <w:ind w:firstLine="0" w:firstLineChars="0"/>
      <w:jc w:val="left"/>
      <w:outlineLvl w:val="3"/>
    </w:pPr>
    <w:rPr>
      <w:rFonts w:ascii="Times New Roman" w:hAnsi="Times New Roman"/>
      <w:bCs/>
      <w:sz w:val="30"/>
      <w:szCs w:val="28"/>
    </w:rPr>
  </w:style>
  <w:style w:type="paragraph" w:styleId="46">
    <w:name w:val="List Paragraph"/>
    <w:basedOn w:val="1"/>
    <w:link w:val="83"/>
    <w:autoRedefine/>
    <w:qFormat/>
    <w:uiPriority w:val="34"/>
    <w:pPr>
      <w:ind w:firstLine="420"/>
    </w:pPr>
  </w:style>
  <w:style w:type="character" w:customStyle="1" w:styleId="47">
    <w:name w:val="四级 字符"/>
    <w:basedOn w:val="36"/>
    <w:link w:val="45"/>
    <w:autoRedefine/>
    <w:qFormat/>
    <w:uiPriority w:val="0"/>
    <w:rPr>
      <w:rFonts w:ascii="Times New Roman" w:hAnsi="Times New Roman" w:eastAsia="仿宋_GB2312" w:cs="Times New Roman"/>
      <w:bCs/>
      <w:sz w:val="30"/>
      <w:szCs w:val="28"/>
    </w:rPr>
  </w:style>
  <w:style w:type="character" w:customStyle="1" w:styleId="48">
    <w:name w:val="页眉 字符"/>
    <w:basedOn w:val="36"/>
    <w:link w:val="24"/>
    <w:autoRedefine/>
    <w:qFormat/>
    <w:uiPriority w:val="99"/>
    <w:rPr>
      <w:rFonts w:ascii="Times New Roman" w:hAnsi="Times New Roman" w:eastAsia="仿宋" w:cs="Times New Roman"/>
      <w:sz w:val="18"/>
      <w:szCs w:val="18"/>
    </w:rPr>
  </w:style>
  <w:style w:type="character" w:customStyle="1" w:styleId="49">
    <w:name w:val="页脚 字符"/>
    <w:basedOn w:val="36"/>
    <w:link w:val="23"/>
    <w:autoRedefine/>
    <w:qFormat/>
    <w:uiPriority w:val="99"/>
    <w:rPr>
      <w:rFonts w:ascii="Times New Roman" w:hAnsi="Times New Roman" w:eastAsia="仿宋" w:cs="Times New Roman"/>
      <w:sz w:val="18"/>
      <w:szCs w:val="18"/>
    </w:rPr>
  </w:style>
  <w:style w:type="character" w:customStyle="1" w:styleId="50">
    <w:name w:val="标题 3 字符"/>
    <w:basedOn w:val="36"/>
    <w:link w:val="4"/>
    <w:autoRedefine/>
    <w:qFormat/>
    <w:uiPriority w:val="0"/>
    <w:rPr>
      <w:rFonts w:eastAsia="楷体_GB2312"/>
      <w:bCs/>
      <w:kern w:val="2"/>
      <w:sz w:val="32"/>
      <w:szCs w:val="32"/>
    </w:rPr>
  </w:style>
  <w:style w:type="character" w:customStyle="1" w:styleId="51">
    <w:name w:val="标题 4 字符"/>
    <w:basedOn w:val="36"/>
    <w:link w:val="5"/>
    <w:autoRedefine/>
    <w:qFormat/>
    <w:uiPriority w:val="0"/>
    <w:rPr>
      <w:rFonts w:ascii="Arial" w:hAnsi="Arial" w:eastAsia="黑体" w:cs="Times New Roman"/>
      <w:b/>
      <w:kern w:val="0"/>
      <w:sz w:val="28"/>
      <w:szCs w:val="20"/>
    </w:rPr>
  </w:style>
  <w:style w:type="character" w:customStyle="1" w:styleId="52">
    <w:name w:val="标题 5 字符"/>
    <w:basedOn w:val="36"/>
    <w:link w:val="7"/>
    <w:autoRedefine/>
    <w:qFormat/>
    <w:uiPriority w:val="0"/>
    <w:rPr>
      <w:rFonts w:ascii="Times New Roman" w:hAnsi="Times New Roman" w:eastAsia="华康UD宋 W2" w:cs="Times New Roman"/>
      <w:b/>
      <w:kern w:val="0"/>
      <w:sz w:val="28"/>
      <w:szCs w:val="20"/>
    </w:rPr>
  </w:style>
  <w:style w:type="character" w:customStyle="1" w:styleId="53">
    <w:name w:val="标题 6 字符"/>
    <w:basedOn w:val="36"/>
    <w:link w:val="8"/>
    <w:autoRedefine/>
    <w:qFormat/>
    <w:uiPriority w:val="0"/>
    <w:rPr>
      <w:rFonts w:ascii="Arial" w:hAnsi="Arial" w:eastAsia="黑体" w:cs="Times New Roman"/>
      <w:b/>
      <w:kern w:val="0"/>
      <w:sz w:val="24"/>
      <w:szCs w:val="20"/>
    </w:rPr>
  </w:style>
  <w:style w:type="character" w:customStyle="1" w:styleId="54">
    <w:name w:val="标题 7 字符"/>
    <w:basedOn w:val="36"/>
    <w:link w:val="9"/>
    <w:autoRedefine/>
    <w:qFormat/>
    <w:uiPriority w:val="0"/>
    <w:rPr>
      <w:rFonts w:ascii="Times New Roman" w:hAnsi="Times New Roman" w:eastAsia="华康UD宋 W2" w:cs="Times New Roman"/>
      <w:b/>
      <w:kern w:val="0"/>
      <w:sz w:val="24"/>
      <w:szCs w:val="20"/>
    </w:rPr>
  </w:style>
  <w:style w:type="character" w:customStyle="1" w:styleId="55">
    <w:name w:val="标题 8 字符"/>
    <w:basedOn w:val="36"/>
    <w:link w:val="10"/>
    <w:autoRedefine/>
    <w:qFormat/>
    <w:uiPriority w:val="0"/>
    <w:rPr>
      <w:rFonts w:ascii="Arial" w:hAnsi="Arial" w:eastAsia="黑体" w:cs="Times New Roman"/>
      <w:kern w:val="0"/>
      <w:sz w:val="24"/>
      <w:szCs w:val="20"/>
    </w:rPr>
  </w:style>
  <w:style w:type="character" w:customStyle="1" w:styleId="56">
    <w:name w:val="标题 9 字符"/>
    <w:basedOn w:val="36"/>
    <w:link w:val="11"/>
    <w:autoRedefine/>
    <w:qFormat/>
    <w:uiPriority w:val="0"/>
    <w:rPr>
      <w:rFonts w:ascii="Arial" w:hAnsi="Arial" w:eastAsia="黑体" w:cs="Times New Roman"/>
      <w:kern w:val="0"/>
      <w:sz w:val="28"/>
      <w:szCs w:val="20"/>
    </w:rPr>
  </w:style>
  <w:style w:type="character" w:customStyle="1" w:styleId="57">
    <w:name w:val="正文文本缩进 字符"/>
    <w:basedOn w:val="36"/>
    <w:link w:val="17"/>
    <w:autoRedefine/>
    <w:qFormat/>
    <w:uiPriority w:val="0"/>
    <w:rPr>
      <w:rFonts w:ascii="楷体_GB2312" w:hAnsi="Times New Roman" w:eastAsia="楷体_GB2312" w:cs="楷体_GB2312"/>
      <w:color w:val="003399"/>
      <w:sz w:val="15"/>
      <w:szCs w:val="15"/>
    </w:rPr>
  </w:style>
  <w:style w:type="paragraph" w:customStyle="1" w:styleId="58">
    <w:name w:val="样式 小五 首行缩进:  2 字符"/>
    <w:basedOn w:val="1"/>
    <w:autoRedefine/>
    <w:qFormat/>
    <w:uiPriority w:val="0"/>
    <w:rPr>
      <w:rFonts w:ascii="Arial" w:hAnsi="Arial" w:eastAsia="华文细黑" w:cs="宋体"/>
      <w:sz w:val="18"/>
      <w:szCs w:val="20"/>
    </w:rPr>
  </w:style>
  <w:style w:type="character" w:customStyle="1" w:styleId="59">
    <w:name w:val="纯文本 字符"/>
    <w:basedOn w:val="36"/>
    <w:link w:val="20"/>
    <w:autoRedefine/>
    <w:qFormat/>
    <w:uiPriority w:val="0"/>
    <w:rPr>
      <w:rFonts w:ascii="宋体" w:hAnsi="Courier New" w:eastAsia="仿宋" w:cs="Courier New"/>
      <w:sz w:val="28"/>
      <w:szCs w:val="21"/>
    </w:rPr>
  </w:style>
  <w:style w:type="paragraph" w:customStyle="1" w:styleId="60">
    <w:name w:val="表格"/>
    <w:basedOn w:val="1"/>
    <w:autoRedefine/>
    <w:qFormat/>
    <w:uiPriority w:val="0"/>
    <w:pPr>
      <w:jc w:val="left"/>
    </w:pPr>
    <w:rPr>
      <w:sz w:val="18"/>
      <w:szCs w:val="18"/>
    </w:rPr>
  </w:style>
  <w:style w:type="paragraph" w:customStyle="1" w:styleId="61">
    <w:name w:val="默认段落字体 Para Char"/>
    <w:basedOn w:val="1"/>
    <w:autoRedefine/>
    <w:qFormat/>
    <w:uiPriority w:val="0"/>
    <w:rPr>
      <w:szCs w:val="20"/>
    </w:rPr>
  </w:style>
  <w:style w:type="paragraph" w:customStyle="1" w:styleId="62">
    <w:name w:val="表格文字"/>
    <w:next w:val="1"/>
    <w:autoRedefine/>
    <w:qFormat/>
    <w:uiPriority w:val="0"/>
    <w:pPr>
      <w:spacing w:line="300" w:lineRule="atLeast"/>
      <w:jc w:val="both"/>
    </w:pPr>
    <w:rPr>
      <w:rFonts w:ascii="Times New Roman" w:hAnsi="Times New Roman" w:eastAsia="仿宋_GB2312" w:cs="Times New Roman"/>
      <w:bCs/>
      <w:sz w:val="24"/>
      <w:szCs w:val="24"/>
      <w:lang w:val="en-US" w:eastAsia="zh-CN" w:bidi="ar-SA"/>
    </w:rPr>
  </w:style>
  <w:style w:type="character" w:customStyle="1" w:styleId="63">
    <w:name w:val="文档结构图 字符"/>
    <w:basedOn w:val="36"/>
    <w:link w:val="14"/>
    <w:autoRedefine/>
    <w:qFormat/>
    <w:uiPriority w:val="0"/>
    <w:rPr>
      <w:rFonts w:ascii="宋体" w:hAnsi="Times New Roman" w:eastAsia="仿宋" w:cs="Times New Roman"/>
      <w:sz w:val="18"/>
      <w:szCs w:val="18"/>
    </w:rPr>
  </w:style>
  <w:style w:type="paragraph" w:customStyle="1" w:styleId="64">
    <w:name w:val="p0"/>
    <w:basedOn w:val="1"/>
    <w:autoRedefine/>
    <w:qFormat/>
    <w:uiPriority w:val="0"/>
    <w:pPr>
      <w:widowControl/>
    </w:pPr>
    <w:rPr>
      <w:kern w:val="0"/>
      <w:szCs w:val="21"/>
    </w:rPr>
  </w:style>
  <w:style w:type="character" w:customStyle="1" w:styleId="65">
    <w:name w:val="批注框文本 字符"/>
    <w:basedOn w:val="36"/>
    <w:link w:val="22"/>
    <w:autoRedefine/>
    <w:semiHidden/>
    <w:qFormat/>
    <w:uiPriority w:val="0"/>
    <w:rPr>
      <w:rFonts w:ascii="Times New Roman" w:hAnsi="Times New Roman" w:eastAsia="仿宋" w:cs="Times New Roman"/>
      <w:sz w:val="18"/>
      <w:szCs w:val="18"/>
    </w:rPr>
  </w:style>
  <w:style w:type="character" w:customStyle="1" w:styleId="66">
    <w:name w:val="Char"/>
    <w:basedOn w:val="36"/>
    <w:autoRedefine/>
    <w:qFormat/>
    <w:uiPriority w:val="0"/>
    <w:rPr>
      <w:rFonts w:ascii="Arial" w:hAnsi="Arial" w:eastAsia="华文细黑"/>
      <w:kern w:val="2"/>
      <w:sz w:val="18"/>
      <w:szCs w:val="18"/>
      <w:lang w:val="en-US" w:eastAsia="zh-CN" w:bidi="ar-SA"/>
    </w:rPr>
  </w:style>
  <w:style w:type="paragraph" w:customStyle="1" w:styleId="67">
    <w:name w:val="列出段落1"/>
    <w:basedOn w:val="1"/>
    <w:autoRedefine/>
    <w:qFormat/>
    <w:uiPriority w:val="34"/>
    <w:pPr>
      <w:ind w:firstLine="420"/>
    </w:pPr>
  </w:style>
  <w:style w:type="paragraph" w:customStyle="1" w:styleId="68">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69">
    <w:name w:val="TOC 标题1"/>
    <w:basedOn w:val="2"/>
    <w:next w:val="1"/>
    <w:autoRedefine/>
    <w:qFormat/>
    <w:uiPriority w:val="39"/>
    <w:pPr>
      <w:widowControl/>
      <w:spacing w:before="480" w:after="0" w:line="276" w:lineRule="auto"/>
      <w:jc w:val="left"/>
      <w:outlineLvl w:val="9"/>
    </w:pPr>
    <w:rPr>
      <w:rFonts w:ascii="Cambria" w:hAnsi="Cambria"/>
      <w:color w:val="365F91"/>
      <w:kern w:val="0"/>
      <w:sz w:val="28"/>
      <w:szCs w:val="28"/>
    </w:rPr>
  </w:style>
  <w:style w:type="paragraph" w:styleId="70">
    <w:name w:val="Quote"/>
    <w:basedOn w:val="1"/>
    <w:next w:val="1"/>
    <w:link w:val="71"/>
    <w:autoRedefine/>
    <w:qFormat/>
    <w:uiPriority w:val="29"/>
    <w:pPr>
      <w:spacing w:before="100" w:beforeAutospacing="1" w:after="100" w:afterAutospacing="1"/>
      <w:jc w:val="left"/>
    </w:pPr>
    <w:rPr>
      <w:b/>
      <w:iCs/>
      <w:color w:val="0D0D0D" w:themeColor="text1" w:themeTint="F2"/>
      <w:u w:val="single"/>
      <w14:textFill>
        <w14:solidFill>
          <w14:schemeClr w14:val="tx1">
            <w14:lumMod w14:val="95000"/>
            <w14:lumOff w14:val="5000"/>
          </w14:schemeClr>
        </w14:solidFill>
      </w14:textFill>
    </w:rPr>
  </w:style>
  <w:style w:type="character" w:customStyle="1" w:styleId="71">
    <w:name w:val="引用 字符"/>
    <w:basedOn w:val="36"/>
    <w:link w:val="70"/>
    <w:autoRedefine/>
    <w:qFormat/>
    <w:uiPriority w:val="29"/>
    <w:rPr>
      <w:rFonts w:ascii="Times New Roman" w:hAnsi="Times New Roman" w:eastAsia="仿宋" w:cs="Times New Roman"/>
      <w:b/>
      <w:iCs/>
      <w:color w:val="0D0D0D" w:themeColor="text1" w:themeTint="F2"/>
      <w:sz w:val="28"/>
      <w:szCs w:val="24"/>
      <w:u w:val="single"/>
      <w14:textFill>
        <w14:solidFill>
          <w14:schemeClr w14:val="tx1">
            <w14:lumMod w14:val="95000"/>
            <w14:lumOff w14:val="5000"/>
          </w14:schemeClr>
        </w14:solidFill>
      </w14:textFill>
    </w:rPr>
  </w:style>
  <w:style w:type="character" w:customStyle="1" w:styleId="72">
    <w:name w:val="未处理的提及1"/>
    <w:basedOn w:val="36"/>
    <w:autoRedefine/>
    <w:semiHidden/>
    <w:unhideWhenUsed/>
    <w:qFormat/>
    <w:uiPriority w:val="99"/>
    <w:rPr>
      <w:color w:val="605E5C"/>
      <w:shd w:val="clear" w:color="auto" w:fill="E1DFDD"/>
    </w:rPr>
  </w:style>
  <w:style w:type="character" w:customStyle="1" w:styleId="73">
    <w:name w:val="不明显参考1"/>
    <w:basedOn w:val="36"/>
    <w:autoRedefine/>
    <w:qFormat/>
    <w:uiPriority w:val="31"/>
    <w:rPr>
      <w:smallCaps/>
      <w:color w:val="595959" w:themeColor="text1" w:themeTint="A6"/>
      <w14:textFill>
        <w14:solidFill>
          <w14:schemeClr w14:val="tx1">
            <w14:lumMod w14:val="65000"/>
            <w14:lumOff w14:val="35000"/>
          </w14:schemeClr>
        </w14:solidFill>
      </w14:textFill>
    </w:rPr>
  </w:style>
  <w:style w:type="character" w:customStyle="1" w:styleId="74">
    <w:name w:val="脚注文本 字符"/>
    <w:basedOn w:val="36"/>
    <w:link w:val="27"/>
    <w:autoRedefine/>
    <w:semiHidden/>
    <w:qFormat/>
    <w:uiPriority w:val="99"/>
    <w:rPr>
      <w:rFonts w:ascii="Times New Roman" w:hAnsi="Times New Roman" w:eastAsia="仿宋" w:cs="Times New Roman"/>
      <w:sz w:val="18"/>
      <w:szCs w:val="18"/>
    </w:rPr>
  </w:style>
  <w:style w:type="character" w:customStyle="1" w:styleId="75">
    <w:name w:val="未处理的提及2"/>
    <w:basedOn w:val="36"/>
    <w:autoRedefine/>
    <w:semiHidden/>
    <w:unhideWhenUsed/>
    <w:qFormat/>
    <w:uiPriority w:val="99"/>
    <w:rPr>
      <w:color w:val="605E5C"/>
      <w:shd w:val="clear" w:color="auto" w:fill="E1DFDD"/>
    </w:rPr>
  </w:style>
  <w:style w:type="character" w:customStyle="1" w:styleId="76">
    <w:name w:val="未处理的提及3"/>
    <w:basedOn w:val="36"/>
    <w:autoRedefine/>
    <w:semiHidden/>
    <w:unhideWhenUsed/>
    <w:qFormat/>
    <w:uiPriority w:val="99"/>
    <w:rPr>
      <w:color w:val="605E5C"/>
      <w:shd w:val="clear" w:color="auto" w:fill="E1DFDD"/>
    </w:rPr>
  </w:style>
  <w:style w:type="paragraph" w:customStyle="1" w:styleId="77">
    <w:name w:val="Table Paragraph"/>
    <w:basedOn w:val="1"/>
    <w:autoRedefine/>
    <w:qFormat/>
    <w:uiPriority w:val="1"/>
    <w:pPr>
      <w:spacing w:line="240" w:lineRule="auto"/>
      <w:ind w:firstLine="0" w:firstLineChars="0"/>
    </w:pPr>
    <w:rPr>
      <w:rFonts w:ascii="宋体" w:hAnsi="宋体" w:eastAsia="宋体" w:cs="宋体"/>
      <w:sz w:val="21"/>
      <w:lang w:val="zh-CN" w:bidi="zh-CN"/>
    </w:rPr>
  </w:style>
  <w:style w:type="paragraph" w:customStyle="1" w:styleId="78">
    <w:name w:val="文本四级"/>
    <w:basedOn w:val="45"/>
    <w:next w:val="1"/>
    <w:link w:val="80"/>
    <w:autoRedefine/>
    <w:qFormat/>
    <w:uiPriority w:val="0"/>
    <w:pPr>
      <w:numPr>
        <w:ilvl w:val="0"/>
        <w:numId w:val="4"/>
      </w:numPr>
      <w:spacing w:before="312" w:after="312"/>
    </w:pPr>
  </w:style>
  <w:style w:type="paragraph" w:customStyle="1" w:styleId="79">
    <w:name w:val="五级标题"/>
    <w:basedOn w:val="1"/>
    <w:next w:val="1"/>
    <w:link w:val="81"/>
    <w:autoRedefine/>
    <w:qFormat/>
    <w:uiPriority w:val="0"/>
    <w:pPr>
      <w:numPr>
        <w:ilvl w:val="0"/>
        <w:numId w:val="5"/>
      </w:numPr>
      <w:spacing w:line="600" w:lineRule="exact"/>
      <w:ind w:firstLine="0" w:firstLineChars="0"/>
      <w:outlineLvl w:val="4"/>
    </w:pPr>
    <w:rPr>
      <w:rFonts w:eastAsia="仿宋_GB2312" w:asciiTheme="minorHAnsi" w:hAnsiTheme="minorHAnsi"/>
      <w:b/>
    </w:rPr>
  </w:style>
  <w:style w:type="character" w:customStyle="1" w:styleId="80">
    <w:name w:val="文本四级 Char"/>
    <w:basedOn w:val="47"/>
    <w:link w:val="78"/>
    <w:autoRedefine/>
    <w:qFormat/>
    <w:uiPriority w:val="0"/>
    <w:rPr>
      <w:rFonts w:ascii="Times New Roman" w:hAnsi="Times New Roman" w:eastAsia="仿宋_GB2312" w:cs="Times New Roman"/>
      <w:kern w:val="2"/>
      <w:sz w:val="30"/>
      <w:szCs w:val="28"/>
    </w:rPr>
  </w:style>
  <w:style w:type="character" w:customStyle="1" w:styleId="81">
    <w:name w:val="五级标题 字符"/>
    <w:basedOn w:val="36"/>
    <w:link w:val="79"/>
    <w:autoRedefine/>
    <w:qFormat/>
    <w:uiPriority w:val="0"/>
    <w:rPr>
      <w:rFonts w:eastAsia="仿宋_GB2312" w:asciiTheme="minorHAnsi" w:hAnsiTheme="minorHAnsi"/>
      <w:b/>
      <w:kern w:val="2"/>
      <w:sz w:val="28"/>
      <w:szCs w:val="24"/>
    </w:rPr>
  </w:style>
  <w:style w:type="paragraph" w:customStyle="1" w:styleId="82">
    <w:name w:val="文本五级"/>
    <w:basedOn w:val="79"/>
    <w:link w:val="84"/>
    <w:autoRedefine/>
    <w:qFormat/>
    <w:uiPriority w:val="0"/>
    <w:pPr>
      <w:numPr>
        <w:numId w:val="6"/>
      </w:numPr>
    </w:pPr>
    <w:rPr>
      <w:bCs/>
    </w:rPr>
  </w:style>
  <w:style w:type="character" w:customStyle="1" w:styleId="83">
    <w:name w:val="列出段落 字符"/>
    <w:basedOn w:val="36"/>
    <w:link w:val="46"/>
    <w:autoRedefine/>
    <w:qFormat/>
    <w:uiPriority w:val="34"/>
    <w:rPr>
      <w:rFonts w:ascii="Times New Roman" w:hAnsi="Times New Roman" w:eastAsia="仿宋" w:cs="Times New Roman"/>
      <w:sz w:val="28"/>
      <w:szCs w:val="24"/>
    </w:rPr>
  </w:style>
  <w:style w:type="character" w:customStyle="1" w:styleId="84">
    <w:name w:val="文本五级 Char"/>
    <w:basedOn w:val="81"/>
    <w:link w:val="82"/>
    <w:autoRedefine/>
    <w:qFormat/>
    <w:uiPriority w:val="0"/>
    <w:rPr>
      <w:rFonts w:eastAsia="仿宋_GB2312" w:asciiTheme="minorHAnsi" w:hAnsiTheme="minorHAnsi"/>
      <w:bCs/>
      <w:kern w:val="2"/>
      <w:sz w:val="28"/>
      <w:szCs w:val="24"/>
    </w:rPr>
  </w:style>
  <w:style w:type="paragraph" w:customStyle="1" w:styleId="85">
    <w:name w:val="三级标题"/>
    <w:basedOn w:val="4"/>
    <w:link w:val="86"/>
    <w:autoRedefine/>
    <w:qFormat/>
    <w:uiPriority w:val="0"/>
    <w:pPr>
      <w:numPr>
        <w:numId w:val="0"/>
      </w:numPr>
      <w:spacing w:before="190" w:beforeLines="50" w:after="190" w:afterLines="50" w:line="480" w:lineRule="auto"/>
      <w:ind w:left="426" w:hanging="420"/>
    </w:pPr>
    <w:rPr>
      <w:rFonts w:eastAsia="楷体_GB2312"/>
    </w:rPr>
  </w:style>
  <w:style w:type="character" w:customStyle="1" w:styleId="86">
    <w:name w:val="三级标题 字符"/>
    <w:basedOn w:val="36"/>
    <w:link w:val="85"/>
    <w:autoRedefine/>
    <w:qFormat/>
    <w:uiPriority w:val="0"/>
    <w:rPr>
      <w:rFonts w:ascii="Times New Roman" w:hAnsi="Times New Roman" w:eastAsia="楷体_GB2312" w:cs="Times New Roman"/>
      <w:bCs/>
      <w:sz w:val="32"/>
      <w:szCs w:val="32"/>
    </w:rPr>
  </w:style>
  <w:style w:type="character" w:customStyle="1" w:styleId="87">
    <w:name w:val="批注文字 字符"/>
    <w:basedOn w:val="36"/>
    <w:link w:val="15"/>
    <w:autoRedefine/>
    <w:qFormat/>
    <w:uiPriority w:val="99"/>
    <w:rPr>
      <w:rFonts w:ascii="Times New Roman" w:hAnsi="Times New Roman" w:eastAsia="仿宋" w:cs="Times New Roman"/>
      <w:sz w:val="28"/>
      <w:szCs w:val="24"/>
    </w:rPr>
  </w:style>
  <w:style w:type="character" w:customStyle="1" w:styleId="88">
    <w:name w:val="批注主题 字符"/>
    <w:basedOn w:val="87"/>
    <w:link w:val="32"/>
    <w:autoRedefine/>
    <w:semiHidden/>
    <w:qFormat/>
    <w:uiPriority w:val="99"/>
    <w:rPr>
      <w:rFonts w:ascii="Times New Roman" w:hAnsi="Times New Roman" w:eastAsia="仿宋" w:cs="Times New Roman"/>
      <w:b/>
      <w:bCs/>
      <w:sz w:val="28"/>
      <w:szCs w:val="24"/>
    </w:rPr>
  </w:style>
  <w:style w:type="character" w:customStyle="1" w:styleId="89">
    <w:name w:val="Unresolved Mention"/>
    <w:basedOn w:val="36"/>
    <w:autoRedefine/>
    <w:semiHidden/>
    <w:unhideWhenUsed/>
    <w:qFormat/>
    <w:uiPriority w:val="99"/>
    <w:rPr>
      <w:color w:val="605E5C"/>
      <w:shd w:val="clear" w:color="auto" w:fill="E1DFDD"/>
    </w:rPr>
  </w:style>
  <w:style w:type="character" w:customStyle="1" w:styleId="90">
    <w:name w:val="font21"/>
    <w:basedOn w:val="36"/>
    <w:autoRedefine/>
    <w:qFormat/>
    <w:uiPriority w:val="0"/>
    <w:rPr>
      <w:rFonts w:hint="eastAsia" w:ascii="仿宋" w:hAnsi="仿宋" w:eastAsia="仿宋" w:cs="仿宋"/>
      <w:color w:val="000000"/>
      <w:sz w:val="21"/>
      <w:szCs w:val="21"/>
      <w:u w:val="none"/>
    </w:rPr>
  </w:style>
  <w:style w:type="character" w:customStyle="1" w:styleId="91">
    <w:name w:val="专栏段首主题句 Char"/>
    <w:link w:val="44"/>
    <w:autoRedefine/>
    <w:qFormat/>
    <w:uiPriority w:val="0"/>
    <w:rPr>
      <w:rFonts w:hint="eastAsia" w:ascii="仿宋_GB2312" w:hAnsi="仿宋_GB2312" w:eastAsia="楷体_GB2312" w:cs="仿宋_GB2312"/>
      <w:bCs/>
      <w:sz w:val="24"/>
    </w:rPr>
  </w:style>
  <w:style w:type="character" w:customStyle="1" w:styleId="92">
    <w:name w:val="font101"/>
    <w:basedOn w:val="36"/>
    <w:qFormat/>
    <w:uiPriority w:val="0"/>
    <w:rPr>
      <w:rFonts w:ascii="微软雅黑" w:hAnsi="微软雅黑" w:eastAsia="微软雅黑" w:cs="微软雅黑"/>
      <w:b/>
      <w:bCs/>
      <w:color w:val="000000"/>
      <w:sz w:val="18"/>
      <w:szCs w:val="18"/>
      <w:u w:val="none"/>
    </w:rPr>
  </w:style>
  <w:style w:type="character" w:customStyle="1" w:styleId="93">
    <w:name w:val="font41"/>
    <w:basedOn w:val="36"/>
    <w:qFormat/>
    <w:uiPriority w:val="0"/>
    <w:rPr>
      <w:rFonts w:ascii="仿宋" w:hAnsi="仿宋" w:eastAsia="仿宋" w:cs="仿宋"/>
      <w:b/>
      <w:bCs/>
      <w:color w:val="000000"/>
      <w:sz w:val="24"/>
      <w:szCs w:val="24"/>
      <w:u w:val="none"/>
    </w:rPr>
  </w:style>
  <w:style w:type="paragraph" w:customStyle="1" w:styleId="94">
    <w:name w:val="附录表标题"/>
    <w:next w:val="1"/>
    <w:qFormat/>
    <w:uiPriority w:val="0"/>
    <w:pPr>
      <w:tabs>
        <w:tab w:val="left" w:pos="360"/>
      </w:tabs>
      <w:jc w:val="center"/>
      <w:textAlignment w:val="baseline"/>
    </w:pPr>
    <w:rPr>
      <w:rFonts w:ascii="黑体" w:hAnsi="Times New Roman" w:eastAsia="黑体" w:cs="Times New Roman"/>
      <w:kern w:val="21"/>
      <w:sz w:val="21"/>
      <w:lang w:val="en-US" w:eastAsia="zh-CN" w:bidi="ar-SA"/>
    </w:rPr>
  </w:style>
  <w:style w:type="paragraph" w:customStyle="1" w:styleId="95">
    <w:name w:val="WPSOffice手动目录 1"/>
    <w:qFormat/>
    <w:uiPriority w:val="0"/>
    <w:pPr>
      <w:ind w:leftChars="0"/>
    </w:pPr>
    <w:rPr>
      <w:rFonts w:ascii="Times New Roman" w:hAnsi="Times New Roman" w:eastAsia="宋体" w:cs="Times New Roman"/>
      <w:sz w:val="20"/>
      <w:szCs w:val="20"/>
    </w:rPr>
  </w:style>
  <w:style w:type="paragraph" w:customStyle="1" w:styleId="96">
    <w:name w:val="WPSOffice手动目录 2"/>
    <w:qFormat/>
    <w:uiPriority w:val="0"/>
    <w:pPr>
      <w:ind w:leftChars="200"/>
    </w:pPr>
    <w:rPr>
      <w:rFonts w:ascii="Times New Roman" w:hAnsi="Times New Roman" w:eastAsia="宋体" w:cs="Times New Roman"/>
      <w:sz w:val="20"/>
      <w:szCs w:val="20"/>
    </w:rPr>
  </w:style>
  <w:style w:type="paragraph" w:customStyle="1" w:styleId="97">
    <w:name w:val="图名标题"/>
    <w:basedOn w:val="1"/>
    <w:qFormat/>
    <w:uiPriority w:val="0"/>
    <w:pPr>
      <w:spacing w:line="600" w:lineRule="exact"/>
    </w:pPr>
    <w:rPr>
      <w:rFonts w:ascii="仿宋" w:hAnsi="仿宋" w:eastAsia="仿宋_GB2312" w:cs="仿宋"/>
      <w:sz w:val="32"/>
      <w:szCs w:val="36"/>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FAFA9C-67EC-45BA-A2E7-81BD9F16B7C4}">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99</Pages>
  <Words>10248</Words>
  <Characters>10698</Characters>
  <Lines>485</Lines>
  <Paragraphs>136</Paragraphs>
  <TotalTime>2</TotalTime>
  <ScaleCrop>false</ScaleCrop>
  <LinksUpToDate>false</LinksUpToDate>
  <CharactersWithSpaces>10833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2023-11-08T01:53:00Z</dcterms:created>
  <dc:creator>c xy</dc:creator>
  <cp:lastModifiedBy>一人一杯一居</cp:lastModifiedBy>
  <cp:lastPrinted>2024-05-09T06:00:00Z</cp:lastPrinted>
  <dcterms:modified xsi:type="dcterms:W3CDTF">2025-12-15T01:46:19Z</dcterms:modified>
  <cp:revision>291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CA30D63E92B44DA7BAEDA7158E87F533_13</vt:lpwstr>
  </property>
  <property fmtid="{D5CDD505-2E9C-101B-9397-08002B2CF9AE}" pid="4" name="KSOTemplateDocerSaveRecord">
    <vt:lpwstr>eyJoZGlkIjoiNjdmNzcyN2RmM2Y2NWFmZjFhYjBmODE2YzBmNjFlNzgiLCJ1c2VySWQiOiI1OTU1OTcxMDMifQ==</vt:lpwstr>
  </property>
</Properties>
</file>