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7931" w14:textId="77777777" w:rsidR="00280812" w:rsidRDefault="00000000">
      <w:pPr>
        <w:pStyle w:val="TOC1"/>
        <w:tabs>
          <w:tab w:val="right" w:leader="dot" w:pos="8306"/>
        </w:tabs>
        <w:jc w:val="center"/>
        <w:rPr>
          <w:rFonts w:ascii="方正小标宋_GBK" w:eastAsia="方正小标宋_GBK" w:hAnsi="黑体" w:cs="Times New Roman" w:hint="eastAsia"/>
          <w:sz w:val="36"/>
          <w:szCs w:val="36"/>
        </w:rPr>
      </w:pPr>
      <w:bookmarkStart w:id="0" w:name="_Toc134965132"/>
      <w:bookmarkStart w:id="1" w:name="_Toc136471054"/>
      <w:bookmarkStart w:id="2" w:name="_Toc135567126"/>
      <w:bookmarkStart w:id="3" w:name="_Toc135150608"/>
      <w:bookmarkStart w:id="4" w:name="_Toc146063353"/>
      <w:bookmarkStart w:id="5" w:name="_Toc137395875"/>
      <w:bookmarkStart w:id="6" w:name="_Toc135575687"/>
      <w:bookmarkStart w:id="7" w:name="_Toc135940985"/>
      <w:bookmarkStart w:id="8" w:name="_Toc136502355"/>
      <w:bookmarkStart w:id="9" w:name="_Toc135596445"/>
      <w:bookmarkStart w:id="10" w:name="_Toc137159448"/>
      <w:bookmarkStart w:id="11" w:name="_Toc136980517"/>
      <w:r>
        <w:rPr>
          <w:rFonts w:ascii="方正小标宋_GBK" w:eastAsia="方正小标宋_GBK" w:hAnsi="黑体" w:hint="eastAsia"/>
          <w:sz w:val="36"/>
          <w:szCs w:val="36"/>
        </w:rPr>
        <w:t>目  录</w:t>
      </w:r>
      <w:bookmarkEnd w:id="0"/>
      <w:bookmarkEnd w:id="1"/>
      <w:bookmarkEnd w:id="2"/>
      <w:bookmarkEnd w:id="3"/>
      <w:bookmarkEnd w:id="4"/>
      <w:bookmarkEnd w:id="5"/>
      <w:bookmarkEnd w:id="6"/>
      <w:bookmarkEnd w:id="7"/>
      <w:bookmarkEnd w:id="8"/>
      <w:bookmarkEnd w:id="9"/>
      <w:bookmarkEnd w:id="10"/>
      <w:bookmarkEnd w:id="11"/>
    </w:p>
    <w:p w14:paraId="41901BB4" w14:textId="79DB334F" w:rsidR="00421AC6" w:rsidRPr="00421AC6" w:rsidRDefault="00000000" w:rsidP="00421AC6">
      <w:pPr>
        <w:pStyle w:val="TOC2"/>
        <w:tabs>
          <w:tab w:val="right" w:leader="dot" w:pos="8306"/>
        </w:tabs>
        <w:spacing w:line="600" w:lineRule="exact"/>
        <w:ind w:leftChars="0" w:left="0"/>
        <w:jc w:val="left"/>
        <w:rPr>
          <w:rFonts w:ascii="黑体" w:eastAsia="黑体" w:hAnsi="黑体" w:cs="仿宋_GB2312" w:hint="eastAsia"/>
          <w:sz w:val="30"/>
          <w:szCs w:val="30"/>
          <w:lang w:val="zh-CN"/>
        </w:rPr>
      </w:pPr>
      <w:r w:rsidRPr="00421AC6">
        <w:rPr>
          <w:rFonts w:ascii="仿宋_GB2312" w:eastAsia="仿宋_GB2312" w:hAnsi="仿宋_GB2312" w:cs="仿宋_GB2312" w:hint="eastAsia"/>
          <w:sz w:val="30"/>
          <w:szCs w:val="30"/>
          <w:lang w:val="zh-CN"/>
        </w:rPr>
        <w:fldChar w:fldCharType="begin"/>
      </w:r>
      <w:r w:rsidRPr="00421AC6">
        <w:rPr>
          <w:rFonts w:ascii="仿宋_GB2312" w:eastAsia="仿宋_GB2312" w:hAnsi="仿宋_GB2312" w:cs="仿宋_GB2312" w:hint="eastAsia"/>
          <w:sz w:val="30"/>
          <w:szCs w:val="30"/>
          <w:lang w:val="zh-CN"/>
        </w:rPr>
        <w:instrText xml:space="preserve"> TOC \o "1-2" \h \z \u </w:instrText>
      </w:r>
      <w:r w:rsidRPr="00421AC6">
        <w:rPr>
          <w:rFonts w:ascii="仿宋_GB2312" w:eastAsia="仿宋_GB2312" w:hAnsi="仿宋_GB2312" w:cs="仿宋_GB2312" w:hint="eastAsia"/>
          <w:sz w:val="30"/>
          <w:szCs w:val="30"/>
          <w:lang w:val="zh-CN"/>
        </w:rPr>
        <w:fldChar w:fldCharType="separate"/>
      </w:r>
      <w:hyperlink w:anchor="_Toc209177553" w:history="1">
        <w:r w:rsidR="00421AC6" w:rsidRPr="00421AC6">
          <w:rPr>
            <w:rFonts w:ascii="黑体" w:eastAsia="黑体" w:hAnsi="黑体" w:cs="仿宋_GB2312" w:hint="eastAsia"/>
            <w:sz w:val="30"/>
            <w:szCs w:val="30"/>
            <w:lang w:val="zh-CN"/>
          </w:rPr>
          <w:t>前言</w:t>
        </w:r>
        <w:r w:rsidR="00421AC6" w:rsidRPr="00421AC6">
          <w:rPr>
            <w:rFonts w:ascii="黑体" w:eastAsia="黑体" w:hAnsi="黑体" w:cs="仿宋_GB2312" w:hint="eastAsia"/>
            <w:webHidden/>
            <w:sz w:val="30"/>
            <w:szCs w:val="30"/>
            <w:lang w:val="zh-CN"/>
          </w:rPr>
          <w:tab/>
        </w:r>
        <w:r w:rsidR="00421AC6" w:rsidRPr="00421AC6">
          <w:rPr>
            <w:rFonts w:ascii="仿宋_GB2312" w:eastAsia="仿宋_GB2312" w:hAnsi="仿宋_GB2312" w:cs="仿宋_GB2312" w:hint="eastAsia"/>
            <w:webHidden/>
            <w:sz w:val="30"/>
            <w:szCs w:val="30"/>
            <w:lang w:val="zh-CN"/>
          </w:rPr>
          <w:fldChar w:fldCharType="begin"/>
        </w:r>
        <w:r w:rsidR="00421AC6" w:rsidRPr="00421AC6">
          <w:rPr>
            <w:rFonts w:ascii="仿宋_GB2312" w:eastAsia="仿宋_GB2312" w:hAnsi="仿宋_GB2312" w:cs="仿宋_GB2312" w:hint="eastAsia"/>
            <w:webHidden/>
            <w:sz w:val="30"/>
            <w:szCs w:val="30"/>
            <w:lang w:val="zh-CN"/>
          </w:rPr>
          <w:instrText xml:space="preserve"> PAGEREF _Toc209177553 \h </w:instrText>
        </w:r>
        <w:r w:rsidR="00421AC6" w:rsidRPr="00421AC6">
          <w:rPr>
            <w:rFonts w:ascii="仿宋_GB2312" w:eastAsia="仿宋_GB2312" w:hAnsi="仿宋_GB2312" w:cs="仿宋_GB2312" w:hint="eastAsia"/>
            <w:webHidden/>
            <w:sz w:val="30"/>
            <w:szCs w:val="30"/>
            <w:lang w:val="zh-CN"/>
          </w:rPr>
        </w:r>
        <w:r w:rsidR="00421AC6" w:rsidRPr="00421AC6">
          <w:rPr>
            <w:rFonts w:ascii="仿宋_GB2312" w:eastAsia="仿宋_GB2312" w:hAnsi="仿宋_GB2312" w:cs="仿宋_GB2312" w:hint="eastAsia"/>
            <w:webHidden/>
            <w:sz w:val="30"/>
            <w:szCs w:val="30"/>
            <w:lang w:val="zh-CN"/>
          </w:rPr>
          <w:fldChar w:fldCharType="separate"/>
        </w:r>
        <w:r w:rsidR="00421AC6" w:rsidRPr="00421AC6">
          <w:rPr>
            <w:rFonts w:ascii="仿宋_GB2312" w:eastAsia="仿宋_GB2312" w:hAnsi="仿宋_GB2312" w:cs="仿宋_GB2312" w:hint="eastAsia"/>
            <w:webHidden/>
            <w:sz w:val="30"/>
            <w:szCs w:val="30"/>
            <w:lang w:val="zh-CN"/>
          </w:rPr>
          <w:t>1</w:t>
        </w:r>
        <w:r w:rsidR="00421AC6" w:rsidRPr="00421AC6">
          <w:rPr>
            <w:rFonts w:ascii="仿宋_GB2312" w:eastAsia="仿宋_GB2312" w:hAnsi="仿宋_GB2312" w:cs="仿宋_GB2312" w:hint="eastAsia"/>
            <w:webHidden/>
            <w:sz w:val="30"/>
            <w:szCs w:val="30"/>
            <w:lang w:val="zh-CN"/>
          </w:rPr>
          <w:fldChar w:fldCharType="end"/>
        </w:r>
      </w:hyperlink>
    </w:p>
    <w:p w14:paraId="508395F1" w14:textId="5FB60656" w:rsidR="00421AC6" w:rsidRPr="00421AC6" w:rsidRDefault="00421AC6" w:rsidP="00421AC6">
      <w:pPr>
        <w:pStyle w:val="TOC2"/>
        <w:tabs>
          <w:tab w:val="right" w:leader="dot" w:pos="830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54" w:history="1">
        <w:r w:rsidRPr="00421AC6">
          <w:rPr>
            <w:rFonts w:ascii="仿宋_GB2312" w:eastAsia="仿宋_GB2312" w:hAnsi="仿宋_GB2312" w:cs="仿宋_GB2312" w:hint="eastAsia"/>
            <w:sz w:val="30"/>
            <w:szCs w:val="30"/>
            <w:lang w:val="zh-CN"/>
          </w:rPr>
          <w:t>第一章</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规划背景</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_Toc209177554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3</w:t>
        </w:r>
        <w:r w:rsidRPr="00421AC6">
          <w:rPr>
            <w:rFonts w:ascii="仿宋_GB2312" w:eastAsia="仿宋_GB2312" w:hAnsi="仿宋_GB2312" w:cs="仿宋_GB2312" w:hint="eastAsia"/>
            <w:webHidden/>
            <w:sz w:val="30"/>
            <w:szCs w:val="30"/>
            <w:lang w:val="zh-CN"/>
          </w:rPr>
          <w:fldChar w:fldCharType="end"/>
        </w:r>
      </w:hyperlink>
    </w:p>
    <w:p w14:paraId="631C1850" w14:textId="4AA4B5B6"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55" w:history="1">
        <w:r w:rsidRPr="00421AC6">
          <w:rPr>
            <w:rFonts w:ascii="仿宋_GB2312" w:eastAsia="仿宋_GB2312" w:hAnsi="仿宋_GB2312" w:cs="仿宋_GB2312" w:hint="eastAsia"/>
            <w:sz w:val="30"/>
            <w:szCs w:val="30"/>
            <w:lang w:val="zh-CN"/>
          </w:rPr>
          <w:t>第一节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禀赋与条件</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_Toc209177555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3</w:t>
        </w:r>
        <w:r w:rsidRPr="00421AC6">
          <w:rPr>
            <w:rFonts w:ascii="仿宋_GB2312" w:eastAsia="仿宋_GB2312" w:hAnsi="仿宋_GB2312" w:cs="仿宋_GB2312" w:hint="eastAsia"/>
            <w:webHidden/>
            <w:sz w:val="30"/>
            <w:szCs w:val="30"/>
            <w:lang w:val="zh-CN"/>
          </w:rPr>
          <w:fldChar w:fldCharType="end"/>
        </w:r>
      </w:hyperlink>
    </w:p>
    <w:p w14:paraId="47DDA621" w14:textId="2CD92E1C"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56" w:history="1">
        <w:r w:rsidRPr="00421AC6">
          <w:rPr>
            <w:rFonts w:ascii="仿宋_GB2312" w:eastAsia="仿宋_GB2312" w:hAnsi="仿宋_GB2312" w:cs="仿宋_GB2312" w:hint="eastAsia"/>
            <w:sz w:val="30"/>
            <w:szCs w:val="30"/>
            <w:lang w:val="zh-CN"/>
          </w:rPr>
          <w:t>第二节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现状与问题</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_Toc209177556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4</w:t>
        </w:r>
        <w:r w:rsidRPr="00421AC6">
          <w:rPr>
            <w:rFonts w:ascii="仿宋_GB2312" w:eastAsia="仿宋_GB2312" w:hAnsi="仿宋_GB2312" w:cs="仿宋_GB2312" w:hint="eastAsia"/>
            <w:webHidden/>
            <w:sz w:val="30"/>
            <w:szCs w:val="30"/>
            <w:lang w:val="zh-CN"/>
          </w:rPr>
          <w:fldChar w:fldCharType="end"/>
        </w:r>
      </w:hyperlink>
    </w:p>
    <w:p w14:paraId="1D3B1D80" w14:textId="23589180"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57" w:history="1">
        <w:r w:rsidRPr="00421AC6">
          <w:rPr>
            <w:rFonts w:ascii="仿宋_GB2312" w:eastAsia="仿宋_GB2312" w:hAnsi="仿宋_GB2312" w:cs="仿宋_GB2312" w:hint="eastAsia"/>
            <w:sz w:val="30"/>
            <w:szCs w:val="30"/>
            <w:lang w:val="zh-CN"/>
          </w:rPr>
          <w:t>第三节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发展机遇</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_Toc209177557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6</w:t>
        </w:r>
        <w:r w:rsidRPr="00421AC6">
          <w:rPr>
            <w:rFonts w:ascii="仿宋_GB2312" w:eastAsia="仿宋_GB2312" w:hAnsi="仿宋_GB2312" w:cs="仿宋_GB2312" w:hint="eastAsia"/>
            <w:webHidden/>
            <w:sz w:val="30"/>
            <w:szCs w:val="30"/>
            <w:lang w:val="zh-CN"/>
          </w:rPr>
          <w:fldChar w:fldCharType="end"/>
        </w:r>
      </w:hyperlink>
    </w:p>
    <w:p w14:paraId="7FE78559" w14:textId="4587BD58" w:rsidR="00421AC6" w:rsidRPr="00421AC6" w:rsidRDefault="00421AC6" w:rsidP="00421AC6">
      <w:pPr>
        <w:pStyle w:val="TOC2"/>
        <w:tabs>
          <w:tab w:val="right" w:leader="dot" w:pos="8306"/>
        </w:tabs>
        <w:spacing w:line="600" w:lineRule="exact"/>
        <w:ind w:leftChars="0" w:left="0"/>
        <w:jc w:val="left"/>
        <w:rPr>
          <w:rFonts w:ascii="黑体" w:eastAsia="黑体" w:hAnsi="黑体" w:cs="仿宋_GB2312" w:hint="eastAsia"/>
          <w:sz w:val="30"/>
          <w:szCs w:val="30"/>
          <w:lang w:val="zh-CN"/>
        </w:rPr>
      </w:pPr>
      <w:hyperlink w:anchor="_Toc209177558" w:history="1">
        <w:r w:rsidRPr="00421AC6">
          <w:rPr>
            <w:rFonts w:ascii="黑体" w:eastAsia="黑体" w:hAnsi="黑体" w:cs="仿宋_GB2312" w:hint="eastAsia"/>
            <w:sz w:val="30"/>
            <w:szCs w:val="30"/>
            <w:lang w:val="zh-CN"/>
          </w:rPr>
          <w:t>第二章</w:t>
        </w:r>
        <w:r>
          <w:rPr>
            <w:rFonts w:ascii="黑体" w:eastAsia="黑体" w:hAnsi="黑体" w:cs="仿宋_GB2312" w:hint="eastAsia"/>
            <w:sz w:val="30"/>
            <w:szCs w:val="30"/>
            <w:lang w:val="zh-CN"/>
          </w:rPr>
          <w:t xml:space="preserve"> </w:t>
        </w:r>
        <w:r w:rsidRPr="00421AC6">
          <w:rPr>
            <w:rFonts w:ascii="黑体" w:eastAsia="黑体" w:hAnsi="黑体" w:cs="仿宋_GB2312" w:hint="eastAsia"/>
            <w:sz w:val="30"/>
            <w:szCs w:val="30"/>
            <w:lang w:val="zh-CN"/>
          </w:rPr>
          <w:t>总体定位与目标战略</w:t>
        </w:r>
        <w:r w:rsidRPr="00421AC6">
          <w:rPr>
            <w:rFonts w:ascii="黑体" w:eastAsia="黑体" w:hAnsi="黑体"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_Toc209177558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8</w:t>
        </w:r>
        <w:r w:rsidRPr="00421AC6">
          <w:rPr>
            <w:rFonts w:ascii="仿宋_GB2312" w:eastAsia="仿宋_GB2312" w:hAnsi="仿宋_GB2312" w:cs="仿宋_GB2312" w:hint="eastAsia"/>
            <w:webHidden/>
            <w:sz w:val="30"/>
            <w:szCs w:val="30"/>
            <w:lang w:val="zh-CN"/>
          </w:rPr>
          <w:fldChar w:fldCharType="end"/>
        </w:r>
      </w:hyperlink>
    </w:p>
    <w:p w14:paraId="6FF39CF8" w14:textId="76C07DD6"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59" w:history="1">
        <w:r w:rsidRPr="00421AC6">
          <w:rPr>
            <w:rFonts w:ascii="仿宋_GB2312" w:eastAsia="仿宋_GB2312" w:hAnsi="仿宋_GB2312" w:cs="仿宋_GB2312" w:hint="eastAsia"/>
            <w:sz w:val="30"/>
            <w:szCs w:val="30"/>
            <w:lang w:val="zh-CN"/>
          </w:rPr>
          <w:t>第一节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指导思想</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_Toc209177559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8</w:t>
        </w:r>
        <w:r w:rsidRPr="00421AC6">
          <w:rPr>
            <w:rFonts w:ascii="仿宋_GB2312" w:eastAsia="仿宋_GB2312" w:hAnsi="仿宋_GB2312" w:cs="仿宋_GB2312" w:hint="eastAsia"/>
            <w:webHidden/>
            <w:sz w:val="30"/>
            <w:szCs w:val="30"/>
            <w:lang w:val="zh-CN"/>
          </w:rPr>
          <w:fldChar w:fldCharType="end"/>
        </w:r>
      </w:hyperlink>
    </w:p>
    <w:p w14:paraId="6FD9B6D3" w14:textId="444E2C98"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60" w:history="1">
        <w:r w:rsidRPr="00421AC6">
          <w:rPr>
            <w:rFonts w:ascii="仿宋_GB2312" w:eastAsia="仿宋_GB2312" w:hAnsi="仿宋_GB2312" w:cs="仿宋_GB2312" w:hint="eastAsia"/>
            <w:sz w:val="30"/>
            <w:szCs w:val="30"/>
            <w:lang w:val="zh-CN"/>
          </w:rPr>
          <w:t>第二节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总体定位</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_Toc209177560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8</w:t>
        </w:r>
        <w:r w:rsidRPr="00421AC6">
          <w:rPr>
            <w:rFonts w:ascii="仿宋_GB2312" w:eastAsia="仿宋_GB2312" w:hAnsi="仿宋_GB2312" w:cs="仿宋_GB2312" w:hint="eastAsia"/>
            <w:webHidden/>
            <w:sz w:val="30"/>
            <w:szCs w:val="30"/>
            <w:lang w:val="zh-CN"/>
          </w:rPr>
          <w:fldChar w:fldCharType="end"/>
        </w:r>
      </w:hyperlink>
    </w:p>
    <w:p w14:paraId="0E47A9AD" w14:textId="6C923C51"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61" w:history="1">
        <w:r w:rsidRPr="00421AC6">
          <w:rPr>
            <w:rFonts w:ascii="仿宋_GB2312" w:eastAsia="仿宋_GB2312" w:hAnsi="仿宋_GB2312" w:cs="仿宋_GB2312" w:hint="eastAsia"/>
            <w:sz w:val="30"/>
            <w:szCs w:val="30"/>
            <w:lang w:val="zh-CN"/>
          </w:rPr>
          <w:t>第三节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开发保护目标与战略</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_Toc209177561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9</w:t>
        </w:r>
        <w:r w:rsidRPr="00421AC6">
          <w:rPr>
            <w:rFonts w:ascii="仿宋_GB2312" w:eastAsia="仿宋_GB2312" w:hAnsi="仿宋_GB2312" w:cs="仿宋_GB2312" w:hint="eastAsia"/>
            <w:webHidden/>
            <w:sz w:val="30"/>
            <w:szCs w:val="30"/>
            <w:lang w:val="zh-CN"/>
          </w:rPr>
          <w:fldChar w:fldCharType="end"/>
        </w:r>
      </w:hyperlink>
    </w:p>
    <w:p w14:paraId="6E451069" w14:textId="2684B173"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62" w:history="1">
        <w:r w:rsidRPr="00421AC6">
          <w:rPr>
            <w:rFonts w:ascii="仿宋_GB2312" w:eastAsia="仿宋_GB2312" w:hAnsi="仿宋_GB2312" w:cs="仿宋_GB2312" w:hint="eastAsia"/>
            <w:sz w:val="30"/>
            <w:szCs w:val="30"/>
            <w:lang w:val="zh-CN"/>
          </w:rPr>
          <w:t>第四节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区域协同</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_Toc209177562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12</w:t>
        </w:r>
        <w:r w:rsidRPr="00421AC6">
          <w:rPr>
            <w:rFonts w:ascii="仿宋_GB2312" w:eastAsia="仿宋_GB2312" w:hAnsi="仿宋_GB2312" w:cs="仿宋_GB2312" w:hint="eastAsia"/>
            <w:webHidden/>
            <w:sz w:val="30"/>
            <w:szCs w:val="30"/>
            <w:lang w:val="zh-CN"/>
          </w:rPr>
          <w:fldChar w:fldCharType="end"/>
        </w:r>
      </w:hyperlink>
    </w:p>
    <w:p w14:paraId="6A937FAF" w14:textId="0023AA63" w:rsidR="00421AC6" w:rsidRPr="00421AC6" w:rsidRDefault="00421AC6" w:rsidP="00421AC6">
      <w:pPr>
        <w:pStyle w:val="TOC2"/>
        <w:tabs>
          <w:tab w:val="right" w:leader="dot" w:pos="8306"/>
        </w:tabs>
        <w:spacing w:line="600" w:lineRule="exact"/>
        <w:ind w:leftChars="0" w:left="0"/>
        <w:jc w:val="left"/>
        <w:rPr>
          <w:rFonts w:ascii="黑体" w:eastAsia="黑体" w:hAnsi="黑体" w:cs="仿宋_GB2312" w:hint="eastAsia"/>
          <w:sz w:val="30"/>
          <w:szCs w:val="30"/>
          <w:lang w:val="zh-CN"/>
        </w:rPr>
      </w:pPr>
      <w:hyperlink w:anchor="_Toc209177563" w:history="1">
        <w:r w:rsidRPr="00421AC6">
          <w:rPr>
            <w:rFonts w:ascii="黑体" w:eastAsia="黑体" w:hAnsi="黑体" w:cs="仿宋_GB2312" w:hint="eastAsia"/>
            <w:sz w:val="30"/>
            <w:szCs w:val="30"/>
            <w:lang w:val="zh-CN"/>
          </w:rPr>
          <w:t>第三章</w:t>
        </w:r>
        <w:r>
          <w:rPr>
            <w:rFonts w:ascii="黑体" w:eastAsia="黑体" w:hAnsi="黑体" w:cs="仿宋_GB2312" w:hint="eastAsia"/>
            <w:sz w:val="30"/>
            <w:szCs w:val="30"/>
            <w:lang w:val="zh-CN"/>
          </w:rPr>
          <w:t xml:space="preserve"> </w:t>
        </w:r>
        <w:r w:rsidRPr="00421AC6">
          <w:rPr>
            <w:rFonts w:ascii="黑体" w:eastAsia="黑体" w:hAnsi="黑体" w:cs="仿宋_GB2312" w:hint="eastAsia"/>
            <w:sz w:val="30"/>
            <w:szCs w:val="30"/>
            <w:lang w:val="zh-CN"/>
          </w:rPr>
          <w:t>以“三区三线”为基础，优化总体格局</w:t>
        </w:r>
        <w:r w:rsidRPr="00421AC6">
          <w:rPr>
            <w:rFonts w:ascii="黑体" w:eastAsia="黑体" w:hAnsi="黑体"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_Toc209177563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15</w:t>
        </w:r>
        <w:r w:rsidRPr="00421AC6">
          <w:rPr>
            <w:rFonts w:ascii="仿宋_GB2312" w:eastAsia="仿宋_GB2312" w:hAnsi="仿宋_GB2312" w:cs="仿宋_GB2312" w:hint="eastAsia"/>
            <w:webHidden/>
            <w:sz w:val="30"/>
            <w:szCs w:val="30"/>
            <w:lang w:val="zh-CN"/>
          </w:rPr>
          <w:fldChar w:fldCharType="end"/>
        </w:r>
      </w:hyperlink>
    </w:p>
    <w:p w14:paraId="37963A03" w14:textId="53887CDF"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64" w:history="1">
        <w:r w:rsidRPr="00421AC6">
          <w:rPr>
            <w:rFonts w:ascii="仿宋_GB2312" w:eastAsia="仿宋_GB2312" w:hAnsi="仿宋_GB2312" w:cs="仿宋_GB2312" w:hint="eastAsia"/>
            <w:sz w:val="30"/>
            <w:szCs w:val="30"/>
            <w:lang w:val="zh-CN"/>
          </w:rPr>
          <w:t>第一节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筑牢安全发展的空间基础</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_Toc209177564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15</w:t>
        </w:r>
        <w:r w:rsidRPr="00421AC6">
          <w:rPr>
            <w:rFonts w:ascii="仿宋_GB2312" w:eastAsia="仿宋_GB2312" w:hAnsi="仿宋_GB2312" w:cs="仿宋_GB2312" w:hint="eastAsia"/>
            <w:webHidden/>
            <w:sz w:val="30"/>
            <w:szCs w:val="30"/>
            <w:lang w:val="zh-CN"/>
          </w:rPr>
          <w:fldChar w:fldCharType="end"/>
        </w:r>
      </w:hyperlink>
    </w:p>
    <w:p w14:paraId="193C4BFA" w14:textId="3AA38082"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65" w:history="1">
        <w:r w:rsidRPr="00421AC6">
          <w:rPr>
            <w:rFonts w:ascii="仿宋_GB2312" w:eastAsia="仿宋_GB2312" w:hAnsi="仿宋_GB2312" w:cs="仿宋_GB2312" w:hint="eastAsia"/>
            <w:sz w:val="30"/>
            <w:szCs w:val="30"/>
            <w:lang w:val="zh-CN"/>
          </w:rPr>
          <w:t>第二节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严格落实主体功能区布局</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_Toc209177565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17</w:t>
        </w:r>
        <w:r w:rsidRPr="00421AC6">
          <w:rPr>
            <w:rFonts w:ascii="仿宋_GB2312" w:eastAsia="仿宋_GB2312" w:hAnsi="仿宋_GB2312" w:cs="仿宋_GB2312" w:hint="eastAsia"/>
            <w:webHidden/>
            <w:sz w:val="30"/>
            <w:szCs w:val="30"/>
            <w:lang w:val="zh-CN"/>
          </w:rPr>
          <w:fldChar w:fldCharType="end"/>
        </w:r>
      </w:hyperlink>
    </w:p>
    <w:p w14:paraId="393B62DA" w14:textId="031D9569"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66" w:history="1">
        <w:r w:rsidRPr="00421AC6">
          <w:rPr>
            <w:rFonts w:ascii="仿宋_GB2312" w:eastAsia="仿宋_GB2312" w:hAnsi="仿宋_GB2312" w:cs="仿宋_GB2312" w:hint="eastAsia"/>
            <w:sz w:val="30"/>
            <w:szCs w:val="30"/>
            <w:lang w:val="zh-CN"/>
          </w:rPr>
          <w:t>第三节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构建国土空间开发保护新格局</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_Toc209177566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18</w:t>
        </w:r>
        <w:r w:rsidRPr="00421AC6">
          <w:rPr>
            <w:rFonts w:ascii="仿宋_GB2312" w:eastAsia="仿宋_GB2312" w:hAnsi="仿宋_GB2312" w:cs="仿宋_GB2312" w:hint="eastAsia"/>
            <w:webHidden/>
            <w:sz w:val="30"/>
            <w:szCs w:val="30"/>
            <w:lang w:val="zh-CN"/>
          </w:rPr>
          <w:fldChar w:fldCharType="end"/>
        </w:r>
      </w:hyperlink>
    </w:p>
    <w:p w14:paraId="364C2567" w14:textId="22058BBD"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67" w:history="1">
        <w:r w:rsidRPr="00421AC6">
          <w:rPr>
            <w:rFonts w:ascii="仿宋_GB2312" w:eastAsia="仿宋_GB2312" w:hAnsi="仿宋_GB2312" w:cs="仿宋_GB2312" w:hint="eastAsia"/>
            <w:sz w:val="30"/>
            <w:szCs w:val="30"/>
            <w:lang w:val="zh-CN"/>
          </w:rPr>
          <w:t>第四节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国土空间规划分区与用途管制</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_Toc209177567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19</w:t>
        </w:r>
        <w:r w:rsidRPr="00421AC6">
          <w:rPr>
            <w:rFonts w:ascii="仿宋_GB2312" w:eastAsia="仿宋_GB2312" w:hAnsi="仿宋_GB2312" w:cs="仿宋_GB2312" w:hint="eastAsia"/>
            <w:webHidden/>
            <w:sz w:val="30"/>
            <w:szCs w:val="30"/>
            <w:lang w:val="zh-CN"/>
          </w:rPr>
          <w:fldChar w:fldCharType="end"/>
        </w:r>
      </w:hyperlink>
    </w:p>
    <w:p w14:paraId="2243C2F3" w14:textId="15E43E37"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68" w:history="1">
        <w:r w:rsidRPr="00421AC6">
          <w:rPr>
            <w:rFonts w:ascii="仿宋_GB2312" w:eastAsia="仿宋_GB2312" w:hAnsi="仿宋_GB2312" w:cs="仿宋_GB2312" w:hint="eastAsia"/>
            <w:sz w:val="30"/>
            <w:szCs w:val="30"/>
            <w:lang w:val="zh-CN"/>
          </w:rPr>
          <w:t>第五节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用途结构调整</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_Toc209177568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20</w:t>
        </w:r>
        <w:r w:rsidRPr="00421AC6">
          <w:rPr>
            <w:rFonts w:ascii="仿宋_GB2312" w:eastAsia="仿宋_GB2312" w:hAnsi="仿宋_GB2312" w:cs="仿宋_GB2312" w:hint="eastAsia"/>
            <w:webHidden/>
            <w:sz w:val="30"/>
            <w:szCs w:val="30"/>
            <w:lang w:val="zh-CN"/>
          </w:rPr>
          <w:fldChar w:fldCharType="end"/>
        </w:r>
      </w:hyperlink>
    </w:p>
    <w:p w14:paraId="1C9AB8A6" w14:textId="10A24E17" w:rsidR="00421AC6" w:rsidRPr="00421AC6" w:rsidRDefault="00421AC6" w:rsidP="00421AC6">
      <w:pPr>
        <w:pStyle w:val="TOC2"/>
        <w:tabs>
          <w:tab w:val="right" w:leader="dot" w:pos="8306"/>
        </w:tabs>
        <w:spacing w:line="600" w:lineRule="exact"/>
        <w:ind w:leftChars="0" w:left="0"/>
        <w:jc w:val="left"/>
        <w:rPr>
          <w:rFonts w:ascii="黑体" w:eastAsia="黑体" w:hAnsi="黑体" w:cs="仿宋_GB2312" w:hint="eastAsia"/>
          <w:sz w:val="30"/>
          <w:szCs w:val="30"/>
          <w:lang w:val="zh-CN"/>
        </w:rPr>
      </w:pPr>
      <w:hyperlink w:anchor="_Toc209177569" w:history="1">
        <w:r w:rsidRPr="00421AC6">
          <w:rPr>
            <w:rFonts w:ascii="黑体" w:eastAsia="黑体" w:hAnsi="黑体" w:cs="仿宋_GB2312" w:hint="eastAsia"/>
            <w:sz w:val="30"/>
            <w:szCs w:val="30"/>
            <w:lang w:val="zh-CN"/>
          </w:rPr>
          <w:t>第四章</w:t>
        </w:r>
        <w:r>
          <w:rPr>
            <w:rFonts w:ascii="黑体" w:eastAsia="黑体" w:hAnsi="黑体" w:cs="仿宋_GB2312" w:hint="eastAsia"/>
            <w:sz w:val="30"/>
            <w:szCs w:val="30"/>
            <w:lang w:val="zh-CN"/>
          </w:rPr>
          <w:t xml:space="preserve"> </w:t>
        </w:r>
        <w:r w:rsidRPr="00421AC6">
          <w:rPr>
            <w:rFonts w:ascii="黑体" w:eastAsia="黑体" w:hAnsi="黑体" w:cs="仿宋_GB2312" w:hint="eastAsia"/>
            <w:sz w:val="30"/>
            <w:szCs w:val="30"/>
            <w:lang w:val="zh-CN"/>
          </w:rPr>
          <w:t>优化生态空间格局，筑牢沿黄生态屏障</w:t>
        </w:r>
        <w:r w:rsidRPr="00421AC6">
          <w:rPr>
            <w:rFonts w:ascii="黑体" w:eastAsia="黑体" w:hAnsi="黑体"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_Toc209177569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22</w:t>
        </w:r>
        <w:r w:rsidRPr="00421AC6">
          <w:rPr>
            <w:rFonts w:ascii="仿宋_GB2312" w:eastAsia="仿宋_GB2312" w:hAnsi="仿宋_GB2312" w:cs="仿宋_GB2312" w:hint="eastAsia"/>
            <w:webHidden/>
            <w:sz w:val="30"/>
            <w:szCs w:val="30"/>
            <w:lang w:val="zh-CN"/>
          </w:rPr>
          <w:fldChar w:fldCharType="end"/>
        </w:r>
      </w:hyperlink>
    </w:p>
    <w:p w14:paraId="76AA8002" w14:textId="4A68C006"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70" w:history="1">
        <w:r w:rsidRPr="00421AC6">
          <w:rPr>
            <w:rFonts w:ascii="仿宋_GB2312" w:eastAsia="仿宋_GB2312" w:hAnsi="仿宋_GB2312" w:cs="仿宋_GB2312" w:hint="eastAsia"/>
            <w:sz w:val="30"/>
            <w:szCs w:val="30"/>
            <w:lang w:val="zh-CN"/>
          </w:rPr>
          <w:t>第一节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落实全域生态空间格局</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_Toc209177570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22</w:t>
        </w:r>
        <w:r w:rsidRPr="00421AC6">
          <w:rPr>
            <w:rFonts w:ascii="仿宋_GB2312" w:eastAsia="仿宋_GB2312" w:hAnsi="仿宋_GB2312" w:cs="仿宋_GB2312" w:hint="eastAsia"/>
            <w:webHidden/>
            <w:sz w:val="30"/>
            <w:szCs w:val="30"/>
            <w:lang w:val="zh-CN"/>
          </w:rPr>
          <w:fldChar w:fldCharType="end"/>
        </w:r>
      </w:hyperlink>
    </w:p>
    <w:p w14:paraId="05FDC66A" w14:textId="7BA057F0"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71" w:history="1">
        <w:r w:rsidRPr="00421AC6">
          <w:rPr>
            <w:rFonts w:ascii="仿宋_GB2312" w:eastAsia="仿宋_GB2312" w:hAnsi="仿宋_GB2312" w:cs="仿宋_GB2312" w:hint="eastAsia"/>
            <w:sz w:val="30"/>
            <w:szCs w:val="30"/>
            <w:lang w:val="zh-CN"/>
          </w:rPr>
          <w:t>第二节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增强水资源刚性约束和管控</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_Toc209177571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22</w:t>
        </w:r>
        <w:r w:rsidRPr="00421AC6">
          <w:rPr>
            <w:rFonts w:ascii="仿宋_GB2312" w:eastAsia="仿宋_GB2312" w:hAnsi="仿宋_GB2312" w:cs="仿宋_GB2312" w:hint="eastAsia"/>
            <w:webHidden/>
            <w:sz w:val="30"/>
            <w:szCs w:val="30"/>
            <w:lang w:val="zh-CN"/>
          </w:rPr>
          <w:fldChar w:fldCharType="end"/>
        </w:r>
      </w:hyperlink>
    </w:p>
    <w:p w14:paraId="73B18362" w14:textId="1ECC6D84"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72" w:history="1">
        <w:r w:rsidRPr="00421AC6">
          <w:rPr>
            <w:rFonts w:ascii="仿宋_GB2312" w:eastAsia="仿宋_GB2312" w:hAnsi="仿宋_GB2312" w:cs="仿宋_GB2312" w:hint="eastAsia"/>
            <w:sz w:val="30"/>
            <w:szCs w:val="30"/>
            <w:lang w:val="zh-CN"/>
          </w:rPr>
          <w:t>第三节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加强生态资源保护与利用</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_Toc209177572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23</w:t>
        </w:r>
        <w:r w:rsidRPr="00421AC6">
          <w:rPr>
            <w:rFonts w:ascii="仿宋_GB2312" w:eastAsia="仿宋_GB2312" w:hAnsi="仿宋_GB2312" w:cs="仿宋_GB2312" w:hint="eastAsia"/>
            <w:webHidden/>
            <w:sz w:val="30"/>
            <w:szCs w:val="30"/>
            <w:lang w:val="zh-CN"/>
          </w:rPr>
          <w:fldChar w:fldCharType="end"/>
        </w:r>
      </w:hyperlink>
    </w:p>
    <w:p w14:paraId="7C0A2D40" w14:textId="3ADAFB72"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73" w:history="1">
        <w:r w:rsidRPr="00421AC6">
          <w:rPr>
            <w:rFonts w:ascii="仿宋_GB2312" w:eastAsia="仿宋_GB2312" w:hAnsi="仿宋_GB2312" w:cs="仿宋_GB2312" w:hint="eastAsia"/>
            <w:sz w:val="30"/>
            <w:szCs w:val="30"/>
            <w:lang w:val="zh-CN"/>
          </w:rPr>
          <w:t>第四节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实施山水林田湖草沙一体化保护和系统治理</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_Toc209177573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25</w:t>
        </w:r>
        <w:r w:rsidRPr="00421AC6">
          <w:rPr>
            <w:rFonts w:ascii="仿宋_GB2312" w:eastAsia="仿宋_GB2312" w:hAnsi="仿宋_GB2312" w:cs="仿宋_GB2312" w:hint="eastAsia"/>
            <w:webHidden/>
            <w:sz w:val="30"/>
            <w:szCs w:val="30"/>
            <w:lang w:val="zh-CN"/>
          </w:rPr>
          <w:fldChar w:fldCharType="end"/>
        </w:r>
      </w:hyperlink>
    </w:p>
    <w:p w14:paraId="2D76EAC2" w14:textId="6B5A58C5" w:rsidR="00421AC6" w:rsidRPr="00421AC6" w:rsidRDefault="00421AC6" w:rsidP="00421AC6">
      <w:pPr>
        <w:pStyle w:val="TOC2"/>
        <w:tabs>
          <w:tab w:val="right" w:leader="dot" w:pos="8306"/>
        </w:tabs>
        <w:spacing w:line="600" w:lineRule="exact"/>
        <w:ind w:leftChars="0" w:left="0"/>
        <w:jc w:val="left"/>
        <w:rPr>
          <w:rFonts w:ascii="黑体" w:eastAsia="黑体" w:hAnsi="黑体" w:cs="仿宋_GB2312" w:hint="eastAsia"/>
          <w:sz w:val="30"/>
          <w:szCs w:val="30"/>
          <w:lang w:val="zh-CN"/>
        </w:rPr>
      </w:pPr>
      <w:hyperlink w:anchor="_Toc209177574" w:history="1">
        <w:r w:rsidRPr="00421AC6">
          <w:rPr>
            <w:rFonts w:ascii="黑体" w:eastAsia="黑体" w:hAnsi="黑体" w:cs="仿宋_GB2312" w:hint="eastAsia"/>
            <w:sz w:val="30"/>
            <w:szCs w:val="30"/>
            <w:lang w:val="zh-CN"/>
          </w:rPr>
          <w:t>第五章</w:t>
        </w:r>
        <w:r>
          <w:rPr>
            <w:rFonts w:ascii="黑体" w:eastAsia="黑体" w:hAnsi="黑体" w:cs="仿宋_GB2312" w:hint="eastAsia"/>
            <w:sz w:val="30"/>
            <w:szCs w:val="30"/>
            <w:lang w:val="zh-CN"/>
          </w:rPr>
          <w:t xml:space="preserve"> </w:t>
        </w:r>
        <w:r w:rsidRPr="00421AC6">
          <w:rPr>
            <w:rFonts w:ascii="黑体" w:eastAsia="黑体" w:hAnsi="黑体" w:cs="仿宋_GB2312" w:hint="eastAsia"/>
            <w:sz w:val="30"/>
            <w:szCs w:val="30"/>
            <w:lang w:val="zh-CN"/>
          </w:rPr>
          <w:t>严格落实耕地保护，加强保障农业空间</w:t>
        </w:r>
        <w:r w:rsidRPr="00421AC6">
          <w:rPr>
            <w:rFonts w:ascii="黑体" w:eastAsia="黑体" w:hAnsi="黑体"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_Toc209177574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28</w:t>
        </w:r>
        <w:r w:rsidRPr="00421AC6">
          <w:rPr>
            <w:rFonts w:ascii="仿宋_GB2312" w:eastAsia="仿宋_GB2312" w:hAnsi="仿宋_GB2312" w:cs="仿宋_GB2312" w:hint="eastAsia"/>
            <w:webHidden/>
            <w:sz w:val="30"/>
            <w:szCs w:val="30"/>
            <w:lang w:val="zh-CN"/>
          </w:rPr>
          <w:fldChar w:fldCharType="end"/>
        </w:r>
      </w:hyperlink>
    </w:p>
    <w:p w14:paraId="4618EDB7" w14:textId="659929C8"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75" w:history="1">
        <w:r w:rsidRPr="00421AC6">
          <w:rPr>
            <w:rFonts w:ascii="仿宋_GB2312" w:eastAsia="仿宋_GB2312" w:hAnsi="仿宋_GB2312" w:cs="仿宋_GB2312" w:hint="eastAsia"/>
            <w:sz w:val="30"/>
            <w:szCs w:val="30"/>
            <w:lang w:val="zh-CN"/>
          </w:rPr>
          <w:t>第一节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实施耕地“三位一体”保护</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_Toc209177575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28</w:t>
        </w:r>
        <w:r w:rsidRPr="00421AC6">
          <w:rPr>
            <w:rFonts w:ascii="仿宋_GB2312" w:eastAsia="仿宋_GB2312" w:hAnsi="仿宋_GB2312" w:cs="仿宋_GB2312" w:hint="eastAsia"/>
            <w:webHidden/>
            <w:sz w:val="30"/>
            <w:szCs w:val="30"/>
            <w:lang w:val="zh-CN"/>
          </w:rPr>
          <w:fldChar w:fldCharType="end"/>
        </w:r>
      </w:hyperlink>
    </w:p>
    <w:p w14:paraId="45646C22" w14:textId="47B04EA8"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76" w:history="1">
        <w:r w:rsidRPr="00421AC6">
          <w:rPr>
            <w:rFonts w:ascii="仿宋_GB2312" w:eastAsia="仿宋_GB2312" w:hAnsi="仿宋_GB2312" w:cs="仿宋_GB2312" w:hint="eastAsia"/>
            <w:sz w:val="30"/>
            <w:szCs w:val="30"/>
            <w:lang w:val="zh-CN"/>
          </w:rPr>
          <w:t>第二节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强化草地资源保护与利用</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_Toc209177576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31</w:t>
        </w:r>
        <w:r w:rsidRPr="00421AC6">
          <w:rPr>
            <w:rFonts w:ascii="仿宋_GB2312" w:eastAsia="仿宋_GB2312" w:hAnsi="仿宋_GB2312" w:cs="仿宋_GB2312" w:hint="eastAsia"/>
            <w:webHidden/>
            <w:sz w:val="30"/>
            <w:szCs w:val="30"/>
            <w:lang w:val="zh-CN"/>
          </w:rPr>
          <w:fldChar w:fldCharType="end"/>
        </w:r>
      </w:hyperlink>
    </w:p>
    <w:p w14:paraId="38952859" w14:textId="439D74E6"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77" w:history="1">
        <w:r w:rsidRPr="00421AC6">
          <w:rPr>
            <w:rFonts w:ascii="仿宋_GB2312" w:eastAsia="仿宋_GB2312" w:hAnsi="仿宋_GB2312" w:cs="仿宋_GB2312" w:hint="eastAsia"/>
            <w:sz w:val="30"/>
            <w:szCs w:val="30"/>
            <w:lang w:val="zh-CN"/>
          </w:rPr>
          <w:t>第三节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有序推进农用地整治</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_Toc209177577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32</w:t>
        </w:r>
        <w:r w:rsidRPr="00421AC6">
          <w:rPr>
            <w:rFonts w:ascii="仿宋_GB2312" w:eastAsia="仿宋_GB2312" w:hAnsi="仿宋_GB2312" w:cs="仿宋_GB2312" w:hint="eastAsia"/>
            <w:webHidden/>
            <w:sz w:val="30"/>
            <w:szCs w:val="30"/>
            <w:lang w:val="zh-CN"/>
          </w:rPr>
          <w:fldChar w:fldCharType="end"/>
        </w:r>
      </w:hyperlink>
    </w:p>
    <w:p w14:paraId="4D39A98F" w14:textId="31CA20AA" w:rsidR="00421AC6" w:rsidRPr="00421AC6" w:rsidRDefault="00421AC6" w:rsidP="00421AC6">
      <w:pPr>
        <w:pStyle w:val="TOC2"/>
        <w:tabs>
          <w:tab w:val="right" w:leader="dot" w:pos="8306"/>
        </w:tabs>
        <w:spacing w:line="600" w:lineRule="exact"/>
        <w:ind w:leftChars="0" w:left="0"/>
        <w:jc w:val="left"/>
        <w:rPr>
          <w:rFonts w:ascii="黑体" w:eastAsia="黑体" w:hAnsi="黑体" w:cs="仿宋_GB2312" w:hint="eastAsia"/>
          <w:sz w:val="30"/>
          <w:szCs w:val="30"/>
          <w:lang w:val="zh-CN"/>
        </w:rPr>
      </w:pPr>
      <w:hyperlink w:anchor="_Toc209177578" w:history="1">
        <w:r w:rsidRPr="00421AC6">
          <w:rPr>
            <w:rFonts w:ascii="黑体" w:eastAsia="黑体" w:hAnsi="黑体" w:cs="仿宋_GB2312" w:hint="eastAsia"/>
            <w:sz w:val="30"/>
            <w:szCs w:val="30"/>
            <w:lang w:val="zh-CN"/>
          </w:rPr>
          <w:t>第六章</w:t>
        </w:r>
        <w:r>
          <w:rPr>
            <w:rFonts w:ascii="黑体" w:eastAsia="黑体" w:hAnsi="黑体" w:cs="仿宋_GB2312" w:hint="eastAsia"/>
            <w:sz w:val="30"/>
            <w:szCs w:val="30"/>
            <w:lang w:val="zh-CN"/>
          </w:rPr>
          <w:t xml:space="preserve"> </w:t>
        </w:r>
        <w:r w:rsidRPr="00421AC6">
          <w:rPr>
            <w:rFonts w:ascii="黑体" w:eastAsia="黑体" w:hAnsi="黑体" w:cs="仿宋_GB2312" w:hint="eastAsia"/>
            <w:sz w:val="30"/>
            <w:szCs w:val="30"/>
            <w:lang w:val="zh-CN"/>
          </w:rPr>
          <w:t>统筹优化镇村空间，全面推动乡村振兴</w:t>
        </w:r>
        <w:r w:rsidRPr="00421AC6">
          <w:rPr>
            <w:rFonts w:ascii="黑体" w:eastAsia="黑体" w:hAnsi="黑体"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_Toc209177578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34</w:t>
        </w:r>
        <w:r w:rsidRPr="00421AC6">
          <w:rPr>
            <w:rFonts w:ascii="仿宋_GB2312" w:eastAsia="仿宋_GB2312" w:hAnsi="仿宋_GB2312" w:cs="仿宋_GB2312" w:hint="eastAsia"/>
            <w:webHidden/>
            <w:sz w:val="30"/>
            <w:szCs w:val="30"/>
            <w:lang w:val="zh-CN"/>
          </w:rPr>
          <w:fldChar w:fldCharType="end"/>
        </w:r>
      </w:hyperlink>
    </w:p>
    <w:p w14:paraId="382ABAE0" w14:textId="757E1D4F"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79" w:history="1">
        <w:r w:rsidRPr="00421AC6">
          <w:rPr>
            <w:rFonts w:ascii="仿宋_GB2312" w:eastAsia="仿宋_GB2312" w:hAnsi="仿宋_GB2312" w:cs="仿宋_GB2312" w:hint="eastAsia"/>
            <w:sz w:val="30"/>
            <w:szCs w:val="30"/>
            <w:lang w:val="zh-CN"/>
          </w:rPr>
          <w:t>第一节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优化镇村空间体系</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_Toc209177579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34</w:t>
        </w:r>
        <w:r w:rsidRPr="00421AC6">
          <w:rPr>
            <w:rFonts w:ascii="仿宋_GB2312" w:eastAsia="仿宋_GB2312" w:hAnsi="仿宋_GB2312" w:cs="仿宋_GB2312" w:hint="eastAsia"/>
            <w:webHidden/>
            <w:sz w:val="30"/>
            <w:szCs w:val="30"/>
            <w:lang w:val="zh-CN"/>
          </w:rPr>
          <w:fldChar w:fldCharType="end"/>
        </w:r>
      </w:hyperlink>
    </w:p>
    <w:p w14:paraId="5A4FFABD" w14:textId="21869152"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80" w:history="1">
        <w:r w:rsidRPr="00421AC6">
          <w:rPr>
            <w:rFonts w:ascii="仿宋_GB2312" w:eastAsia="仿宋_GB2312" w:hAnsi="仿宋_GB2312" w:cs="仿宋_GB2312" w:hint="eastAsia"/>
            <w:sz w:val="30"/>
            <w:szCs w:val="30"/>
            <w:lang w:val="zh-CN"/>
          </w:rPr>
          <w:t>第二节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产业空间布局</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_Toc209177580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35</w:t>
        </w:r>
        <w:r w:rsidRPr="00421AC6">
          <w:rPr>
            <w:rFonts w:ascii="仿宋_GB2312" w:eastAsia="仿宋_GB2312" w:hAnsi="仿宋_GB2312" w:cs="仿宋_GB2312" w:hint="eastAsia"/>
            <w:webHidden/>
            <w:sz w:val="30"/>
            <w:szCs w:val="30"/>
            <w:lang w:val="zh-CN"/>
          </w:rPr>
          <w:fldChar w:fldCharType="end"/>
        </w:r>
      </w:hyperlink>
    </w:p>
    <w:p w14:paraId="49531CEB" w14:textId="0467F021"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81" w:history="1">
        <w:r w:rsidRPr="00421AC6">
          <w:rPr>
            <w:rFonts w:ascii="仿宋_GB2312" w:eastAsia="仿宋_GB2312" w:hAnsi="仿宋_GB2312" w:cs="仿宋_GB2312" w:hint="eastAsia"/>
            <w:sz w:val="30"/>
            <w:szCs w:val="30"/>
            <w:lang w:val="zh-CN"/>
          </w:rPr>
          <w:t>第三节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完善公共服务设施布局</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_Toc209177581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36</w:t>
        </w:r>
        <w:r w:rsidRPr="00421AC6">
          <w:rPr>
            <w:rFonts w:ascii="仿宋_GB2312" w:eastAsia="仿宋_GB2312" w:hAnsi="仿宋_GB2312" w:cs="仿宋_GB2312" w:hint="eastAsia"/>
            <w:webHidden/>
            <w:sz w:val="30"/>
            <w:szCs w:val="30"/>
            <w:lang w:val="zh-CN"/>
          </w:rPr>
          <w:fldChar w:fldCharType="end"/>
        </w:r>
      </w:hyperlink>
    </w:p>
    <w:p w14:paraId="148951AB" w14:textId="5326ED00"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82" w:history="1">
        <w:r w:rsidRPr="00421AC6">
          <w:rPr>
            <w:rFonts w:ascii="仿宋_GB2312" w:eastAsia="仿宋_GB2312" w:hAnsi="仿宋_GB2312" w:cs="仿宋_GB2312" w:hint="eastAsia"/>
            <w:sz w:val="30"/>
            <w:szCs w:val="30"/>
            <w:lang w:val="zh-CN"/>
          </w:rPr>
          <w:t>第四节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促进建设用地节约集约利用</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_Toc209177582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38</w:t>
        </w:r>
        <w:r w:rsidRPr="00421AC6">
          <w:rPr>
            <w:rFonts w:ascii="仿宋_GB2312" w:eastAsia="仿宋_GB2312" w:hAnsi="仿宋_GB2312" w:cs="仿宋_GB2312" w:hint="eastAsia"/>
            <w:webHidden/>
            <w:sz w:val="30"/>
            <w:szCs w:val="30"/>
            <w:lang w:val="zh-CN"/>
          </w:rPr>
          <w:fldChar w:fldCharType="end"/>
        </w:r>
      </w:hyperlink>
    </w:p>
    <w:p w14:paraId="730ECEFB" w14:textId="32DF5549" w:rsidR="00421AC6" w:rsidRPr="00421AC6" w:rsidRDefault="00421AC6" w:rsidP="00421AC6">
      <w:pPr>
        <w:pStyle w:val="TOC2"/>
        <w:tabs>
          <w:tab w:val="right" w:leader="dot" w:pos="8306"/>
        </w:tabs>
        <w:spacing w:line="600" w:lineRule="exact"/>
        <w:ind w:leftChars="0" w:left="0"/>
        <w:jc w:val="left"/>
        <w:rPr>
          <w:rFonts w:ascii="黑体" w:eastAsia="黑体" w:hAnsi="黑体" w:cs="仿宋_GB2312" w:hint="eastAsia"/>
          <w:sz w:val="30"/>
          <w:szCs w:val="30"/>
          <w:lang w:val="zh-CN"/>
        </w:rPr>
      </w:pPr>
      <w:hyperlink w:anchor="_Toc209177583" w:history="1">
        <w:r w:rsidRPr="00421AC6">
          <w:rPr>
            <w:rFonts w:ascii="黑体" w:eastAsia="黑体" w:hAnsi="黑体" w:cs="仿宋_GB2312" w:hint="eastAsia"/>
            <w:sz w:val="30"/>
            <w:szCs w:val="30"/>
            <w:lang w:val="zh-CN"/>
          </w:rPr>
          <w:t>第七章</w:t>
        </w:r>
        <w:r>
          <w:rPr>
            <w:rFonts w:ascii="黑体" w:eastAsia="黑体" w:hAnsi="黑体" w:cs="仿宋_GB2312" w:hint="eastAsia"/>
            <w:sz w:val="30"/>
            <w:szCs w:val="30"/>
            <w:lang w:val="zh-CN"/>
          </w:rPr>
          <w:t xml:space="preserve"> </w:t>
        </w:r>
        <w:r w:rsidRPr="00421AC6">
          <w:rPr>
            <w:rFonts w:ascii="黑体" w:eastAsia="黑体" w:hAnsi="黑体" w:cs="仿宋_GB2312" w:hint="eastAsia"/>
            <w:sz w:val="30"/>
            <w:szCs w:val="30"/>
            <w:lang w:val="zh-CN"/>
          </w:rPr>
          <w:t>塑造宜居集镇空间，提升集镇功能品质</w:t>
        </w:r>
        <w:r w:rsidRPr="00421AC6">
          <w:rPr>
            <w:rFonts w:ascii="黑体" w:eastAsia="黑体" w:hAnsi="黑体"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_Toc209177583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40</w:t>
        </w:r>
        <w:r w:rsidRPr="00421AC6">
          <w:rPr>
            <w:rFonts w:ascii="仿宋_GB2312" w:eastAsia="仿宋_GB2312" w:hAnsi="仿宋_GB2312" w:cs="仿宋_GB2312" w:hint="eastAsia"/>
            <w:webHidden/>
            <w:sz w:val="30"/>
            <w:szCs w:val="30"/>
            <w:lang w:val="zh-CN"/>
          </w:rPr>
          <w:fldChar w:fldCharType="end"/>
        </w:r>
      </w:hyperlink>
    </w:p>
    <w:p w14:paraId="1A27666D" w14:textId="121028C0"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84" w:history="1">
        <w:r w:rsidRPr="00421AC6">
          <w:rPr>
            <w:rFonts w:ascii="仿宋_GB2312" w:eastAsia="仿宋_GB2312" w:hAnsi="仿宋_GB2312" w:cs="仿宋_GB2312" w:hint="eastAsia"/>
            <w:sz w:val="30"/>
            <w:szCs w:val="30"/>
            <w:lang w:val="zh-CN"/>
          </w:rPr>
          <w:t>第一节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空间结构与用地布局</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_Toc209177584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40</w:t>
        </w:r>
        <w:r w:rsidRPr="00421AC6">
          <w:rPr>
            <w:rFonts w:ascii="仿宋_GB2312" w:eastAsia="仿宋_GB2312" w:hAnsi="仿宋_GB2312" w:cs="仿宋_GB2312" w:hint="eastAsia"/>
            <w:webHidden/>
            <w:sz w:val="30"/>
            <w:szCs w:val="30"/>
            <w:lang w:val="zh-CN"/>
          </w:rPr>
          <w:fldChar w:fldCharType="end"/>
        </w:r>
      </w:hyperlink>
    </w:p>
    <w:p w14:paraId="74912528" w14:textId="1913F48D"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85" w:history="1">
        <w:r w:rsidRPr="00421AC6">
          <w:rPr>
            <w:rFonts w:ascii="仿宋_GB2312" w:eastAsia="仿宋_GB2312" w:hAnsi="仿宋_GB2312" w:cs="仿宋_GB2312" w:hint="eastAsia"/>
            <w:sz w:val="30"/>
            <w:szCs w:val="30"/>
            <w:lang w:val="zh-CN"/>
          </w:rPr>
          <w:t>第二节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社区生活圈构建</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_Toc209177585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41</w:t>
        </w:r>
        <w:r w:rsidRPr="00421AC6">
          <w:rPr>
            <w:rFonts w:ascii="仿宋_GB2312" w:eastAsia="仿宋_GB2312" w:hAnsi="仿宋_GB2312" w:cs="仿宋_GB2312" w:hint="eastAsia"/>
            <w:webHidden/>
            <w:sz w:val="30"/>
            <w:szCs w:val="30"/>
            <w:lang w:val="zh-CN"/>
          </w:rPr>
          <w:fldChar w:fldCharType="end"/>
        </w:r>
      </w:hyperlink>
    </w:p>
    <w:p w14:paraId="7F4B6D42" w14:textId="74593574"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86" w:history="1">
        <w:r w:rsidRPr="00421AC6">
          <w:rPr>
            <w:rFonts w:ascii="仿宋_GB2312" w:eastAsia="仿宋_GB2312" w:hAnsi="仿宋_GB2312" w:cs="仿宋_GB2312" w:hint="eastAsia"/>
            <w:sz w:val="30"/>
            <w:szCs w:val="30"/>
            <w:lang w:val="zh-CN"/>
          </w:rPr>
          <w:t>第三节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空间形态与风貌管控</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_Toc209177586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41</w:t>
        </w:r>
        <w:r w:rsidRPr="00421AC6">
          <w:rPr>
            <w:rFonts w:ascii="仿宋_GB2312" w:eastAsia="仿宋_GB2312" w:hAnsi="仿宋_GB2312" w:cs="仿宋_GB2312" w:hint="eastAsia"/>
            <w:webHidden/>
            <w:sz w:val="30"/>
            <w:szCs w:val="30"/>
            <w:lang w:val="zh-CN"/>
          </w:rPr>
          <w:fldChar w:fldCharType="end"/>
        </w:r>
      </w:hyperlink>
    </w:p>
    <w:p w14:paraId="0BAB7564" w14:textId="38B2FA87"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87" w:history="1">
        <w:r w:rsidRPr="00421AC6">
          <w:rPr>
            <w:rFonts w:ascii="仿宋_GB2312" w:eastAsia="仿宋_GB2312" w:hAnsi="仿宋_GB2312" w:cs="仿宋_GB2312" w:hint="eastAsia"/>
            <w:sz w:val="30"/>
            <w:szCs w:val="30"/>
            <w:lang w:val="zh-CN"/>
          </w:rPr>
          <w:t>第四节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住房建设</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_Toc209177587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43</w:t>
        </w:r>
        <w:r w:rsidRPr="00421AC6">
          <w:rPr>
            <w:rFonts w:ascii="仿宋_GB2312" w:eastAsia="仿宋_GB2312" w:hAnsi="仿宋_GB2312" w:cs="仿宋_GB2312" w:hint="eastAsia"/>
            <w:webHidden/>
            <w:sz w:val="30"/>
            <w:szCs w:val="30"/>
            <w:lang w:val="zh-CN"/>
          </w:rPr>
          <w:fldChar w:fldCharType="end"/>
        </w:r>
      </w:hyperlink>
    </w:p>
    <w:p w14:paraId="4BC32CE8" w14:textId="0A633360"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88" w:history="1">
        <w:r w:rsidRPr="00421AC6">
          <w:rPr>
            <w:rFonts w:ascii="仿宋_GB2312" w:eastAsia="仿宋_GB2312" w:hAnsi="仿宋_GB2312" w:cs="仿宋_GB2312" w:hint="eastAsia"/>
            <w:sz w:val="30"/>
            <w:szCs w:val="30"/>
            <w:lang w:val="zh-CN"/>
          </w:rPr>
          <w:t>第五节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道路交通规划</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_Toc209177588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44</w:t>
        </w:r>
        <w:r w:rsidRPr="00421AC6">
          <w:rPr>
            <w:rFonts w:ascii="仿宋_GB2312" w:eastAsia="仿宋_GB2312" w:hAnsi="仿宋_GB2312" w:cs="仿宋_GB2312" w:hint="eastAsia"/>
            <w:webHidden/>
            <w:sz w:val="30"/>
            <w:szCs w:val="30"/>
            <w:lang w:val="zh-CN"/>
          </w:rPr>
          <w:fldChar w:fldCharType="end"/>
        </w:r>
      </w:hyperlink>
    </w:p>
    <w:p w14:paraId="199EA73C" w14:textId="6A54FC26"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89" w:history="1">
        <w:r w:rsidRPr="00421AC6">
          <w:rPr>
            <w:rFonts w:ascii="仿宋_GB2312" w:eastAsia="仿宋_GB2312" w:hAnsi="仿宋_GB2312" w:cs="仿宋_GB2312" w:hint="eastAsia"/>
            <w:sz w:val="30"/>
            <w:szCs w:val="30"/>
            <w:lang w:val="zh-CN"/>
          </w:rPr>
          <w:t>第六节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市政基础设施规划</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_Toc209177589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44</w:t>
        </w:r>
        <w:r w:rsidRPr="00421AC6">
          <w:rPr>
            <w:rFonts w:ascii="仿宋_GB2312" w:eastAsia="仿宋_GB2312" w:hAnsi="仿宋_GB2312" w:cs="仿宋_GB2312" w:hint="eastAsia"/>
            <w:webHidden/>
            <w:sz w:val="30"/>
            <w:szCs w:val="30"/>
            <w:lang w:val="zh-CN"/>
          </w:rPr>
          <w:fldChar w:fldCharType="end"/>
        </w:r>
      </w:hyperlink>
    </w:p>
    <w:p w14:paraId="7682724C" w14:textId="75D306DA"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90" w:history="1">
        <w:r w:rsidRPr="00421AC6">
          <w:rPr>
            <w:rFonts w:ascii="仿宋_GB2312" w:eastAsia="仿宋_GB2312" w:hAnsi="仿宋_GB2312" w:cs="仿宋_GB2312" w:hint="eastAsia"/>
            <w:sz w:val="30"/>
            <w:szCs w:val="30"/>
            <w:lang w:val="zh-CN"/>
          </w:rPr>
          <w:t>第七节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综合防灾减灾</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_Toc209177590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47</w:t>
        </w:r>
        <w:r w:rsidRPr="00421AC6">
          <w:rPr>
            <w:rFonts w:ascii="仿宋_GB2312" w:eastAsia="仿宋_GB2312" w:hAnsi="仿宋_GB2312" w:cs="仿宋_GB2312" w:hint="eastAsia"/>
            <w:webHidden/>
            <w:sz w:val="30"/>
            <w:szCs w:val="30"/>
            <w:lang w:val="zh-CN"/>
          </w:rPr>
          <w:fldChar w:fldCharType="end"/>
        </w:r>
      </w:hyperlink>
    </w:p>
    <w:p w14:paraId="0567D515" w14:textId="0A5E0DF1"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91" w:history="1">
        <w:r w:rsidRPr="00421AC6">
          <w:rPr>
            <w:rFonts w:ascii="仿宋_GB2312" w:eastAsia="仿宋_GB2312" w:hAnsi="仿宋_GB2312" w:cs="仿宋_GB2312" w:hint="eastAsia"/>
            <w:sz w:val="30"/>
            <w:szCs w:val="30"/>
            <w:lang w:val="zh-CN"/>
          </w:rPr>
          <w:t>第八节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五线管控</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_Toc209177591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49</w:t>
        </w:r>
        <w:r w:rsidRPr="00421AC6">
          <w:rPr>
            <w:rFonts w:ascii="仿宋_GB2312" w:eastAsia="仿宋_GB2312" w:hAnsi="仿宋_GB2312" w:cs="仿宋_GB2312" w:hint="eastAsia"/>
            <w:webHidden/>
            <w:sz w:val="30"/>
            <w:szCs w:val="30"/>
            <w:lang w:val="zh-CN"/>
          </w:rPr>
          <w:fldChar w:fldCharType="end"/>
        </w:r>
      </w:hyperlink>
    </w:p>
    <w:p w14:paraId="7B6649B0" w14:textId="659255E3" w:rsidR="00421AC6" w:rsidRPr="00421AC6" w:rsidRDefault="00421AC6" w:rsidP="00421AC6">
      <w:pPr>
        <w:pStyle w:val="TOC2"/>
        <w:tabs>
          <w:tab w:val="right" w:leader="dot" w:pos="8306"/>
        </w:tabs>
        <w:spacing w:line="600" w:lineRule="exact"/>
        <w:ind w:leftChars="0" w:left="0"/>
        <w:jc w:val="left"/>
        <w:rPr>
          <w:rFonts w:ascii="黑体" w:eastAsia="黑体" w:hAnsi="黑体" w:cs="仿宋_GB2312" w:hint="eastAsia"/>
          <w:sz w:val="30"/>
          <w:szCs w:val="30"/>
          <w:lang w:val="zh-CN"/>
        </w:rPr>
      </w:pPr>
      <w:hyperlink w:anchor="_Toc209177592" w:history="1">
        <w:r w:rsidRPr="00421AC6">
          <w:rPr>
            <w:rFonts w:ascii="黑体" w:eastAsia="黑体" w:hAnsi="黑体" w:cs="仿宋_GB2312" w:hint="eastAsia"/>
            <w:sz w:val="30"/>
            <w:szCs w:val="30"/>
            <w:lang w:val="zh-CN"/>
          </w:rPr>
          <w:t>第八章</w:t>
        </w:r>
        <w:r>
          <w:rPr>
            <w:rFonts w:ascii="黑体" w:eastAsia="黑体" w:hAnsi="黑体" w:cs="仿宋_GB2312" w:hint="eastAsia"/>
            <w:sz w:val="30"/>
            <w:szCs w:val="30"/>
            <w:lang w:val="zh-CN"/>
          </w:rPr>
          <w:t xml:space="preserve"> </w:t>
        </w:r>
        <w:r w:rsidRPr="00421AC6">
          <w:rPr>
            <w:rFonts w:ascii="黑体" w:eastAsia="黑体" w:hAnsi="黑体" w:cs="仿宋_GB2312" w:hint="eastAsia"/>
            <w:sz w:val="30"/>
            <w:szCs w:val="30"/>
            <w:lang w:val="zh-CN"/>
          </w:rPr>
          <w:t>保护传承文化遗产，塑造彰显特色风貌魅力</w:t>
        </w:r>
        <w:r w:rsidRPr="00421AC6">
          <w:rPr>
            <w:rFonts w:ascii="黑体" w:eastAsia="黑体" w:hAnsi="黑体"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_Toc209177592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51</w:t>
        </w:r>
        <w:r w:rsidRPr="00421AC6">
          <w:rPr>
            <w:rFonts w:ascii="仿宋_GB2312" w:eastAsia="仿宋_GB2312" w:hAnsi="仿宋_GB2312" w:cs="仿宋_GB2312" w:hint="eastAsia"/>
            <w:webHidden/>
            <w:sz w:val="30"/>
            <w:szCs w:val="30"/>
            <w:lang w:val="zh-CN"/>
          </w:rPr>
          <w:fldChar w:fldCharType="end"/>
        </w:r>
      </w:hyperlink>
    </w:p>
    <w:p w14:paraId="1E25D495" w14:textId="5B472176"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93" w:history="1">
        <w:r w:rsidRPr="00421AC6">
          <w:rPr>
            <w:rFonts w:ascii="仿宋_GB2312" w:eastAsia="仿宋_GB2312" w:hAnsi="仿宋_GB2312" w:cs="仿宋_GB2312" w:hint="eastAsia"/>
            <w:sz w:val="30"/>
            <w:szCs w:val="30"/>
            <w:lang w:val="zh-CN"/>
          </w:rPr>
          <w:t>第一节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历史文化保护</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_Toc209177593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51</w:t>
        </w:r>
        <w:r w:rsidRPr="00421AC6">
          <w:rPr>
            <w:rFonts w:ascii="仿宋_GB2312" w:eastAsia="仿宋_GB2312" w:hAnsi="仿宋_GB2312" w:cs="仿宋_GB2312" w:hint="eastAsia"/>
            <w:webHidden/>
            <w:sz w:val="30"/>
            <w:szCs w:val="30"/>
            <w:lang w:val="zh-CN"/>
          </w:rPr>
          <w:fldChar w:fldCharType="end"/>
        </w:r>
      </w:hyperlink>
    </w:p>
    <w:p w14:paraId="2C59247B" w14:textId="4D06A702"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94" w:history="1">
        <w:r w:rsidRPr="00421AC6">
          <w:rPr>
            <w:rFonts w:ascii="仿宋_GB2312" w:eastAsia="仿宋_GB2312" w:hAnsi="仿宋_GB2312" w:cs="仿宋_GB2312" w:hint="eastAsia"/>
            <w:sz w:val="30"/>
            <w:szCs w:val="30"/>
            <w:lang w:val="zh-CN"/>
          </w:rPr>
          <w:t>第一节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景观风貌引导</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_Toc209177594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52</w:t>
        </w:r>
        <w:r w:rsidRPr="00421AC6">
          <w:rPr>
            <w:rFonts w:ascii="仿宋_GB2312" w:eastAsia="仿宋_GB2312" w:hAnsi="仿宋_GB2312" w:cs="仿宋_GB2312" w:hint="eastAsia"/>
            <w:webHidden/>
            <w:sz w:val="30"/>
            <w:szCs w:val="30"/>
            <w:lang w:val="zh-CN"/>
          </w:rPr>
          <w:fldChar w:fldCharType="end"/>
        </w:r>
      </w:hyperlink>
    </w:p>
    <w:p w14:paraId="72D9600B" w14:textId="6B8FF7E4" w:rsidR="00421AC6" w:rsidRPr="00421AC6" w:rsidRDefault="00421AC6" w:rsidP="00421AC6">
      <w:pPr>
        <w:pStyle w:val="TOC2"/>
        <w:tabs>
          <w:tab w:val="right" w:leader="dot" w:pos="8306"/>
        </w:tabs>
        <w:spacing w:line="600" w:lineRule="exact"/>
        <w:ind w:leftChars="0" w:left="0"/>
        <w:jc w:val="left"/>
        <w:rPr>
          <w:rFonts w:ascii="黑体" w:eastAsia="黑体" w:hAnsi="黑体" w:cs="仿宋_GB2312" w:hint="eastAsia"/>
          <w:sz w:val="30"/>
          <w:szCs w:val="30"/>
          <w:lang w:val="zh-CN"/>
        </w:rPr>
      </w:pPr>
      <w:hyperlink w:anchor="_Toc209177595" w:history="1">
        <w:r w:rsidRPr="00421AC6">
          <w:rPr>
            <w:rFonts w:ascii="黑体" w:eastAsia="黑体" w:hAnsi="黑体" w:cs="仿宋_GB2312" w:hint="eastAsia"/>
            <w:sz w:val="30"/>
            <w:szCs w:val="30"/>
            <w:lang w:val="zh-CN"/>
          </w:rPr>
          <w:t>第九章</w:t>
        </w:r>
        <w:r>
          <w:rPr>
            <w:rFonts w:ascii="黑体" w:eastAsia="黑体" w:hAnsi="黑体" w:cs="仿宋_GB2312" w:hint="eastAsia"/>
            <w:sz w:val="30"/>
            <w:szCs w:val="30"/>
            <w:lang w:val="zh-CN"/>
          </w:rPr>
          <w:t xml:space="preserve"> </w:t>
        </w:r>
        <w:r w:rsidRPr="00421AC6">
          <w:rPr>
            <w:rFonts w:ascii="黑体" w:eastAsia="黑体" w:hAnsi="黑体" w:cs="仿宋_GB2312" w:hint="eastAsia"/>
            <w:sz w:val="30"/>
            <w:szCs w:val="30"/>
            <w:lang w:val="zh-CN"/>
          </w:rPr>
          <w:t>强化空间统筹，增强基础设施支撑保障能力</w:t>
        </w:r>
        <w:r w:rsidRPr="00421AC6">
          <w:rPr>
            <w:rFonts w:ascii="黑体" w:eastAsia="黑体" w:hAnsi="黑体"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_Toc209177595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54</w:t>
        </w:r>
        <w:r w:rsidRPr="00421AC6">
          <w:rPr>
            <w:rFonts w:ascii="仿宋_GB2312" w:eastAsia="仿宋_GB2312" w:hAnsi="仿宋_GB2312" w:cs="仿宋_GB2312" w:hint="eastAsia"/>
            <w:webHidden/>
            <w:sz w:val="30"/>
            <w:szCs w:val="30"/>
            <w:lang w:val="zh-CN"/>
          </w:rPr>
          <w:fldChar w:fldCharType="end"/>
        </w:r>
      </w:hyperlink>
    </w:p>
    <w:p w14:paraId="18466C47" w14:textId="68A5B6FA"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96" w:history="1">
        <w:r w:rsidRPr="00421AC6">
          <w:rPr>
            <w:rFonts w:ascii="仿宋_GB2312" w:eastAsia="仿宋_GB2312" w:hAnsi="仿宋_GB2312" w:cs="仿宋_GB2312" w:hint="eastAsia"/>
            <w:sz w:val="30"/>
            <w:szCs w:val="30"/>
            <w:lang w:val="zh-CN"/>
          </w:rPr>
          <w:t>第一节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综合交通规划</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_Toc209177596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54</w:t>
        </w:r>
        <w:r w:rsidRPr="00421AC6">
          <w:rPr>
            <w:rFonts w:ascii="仿宋_GB2312" w:eastAsia="仿宋_GB2312" w:hAnsi="仿宋_GB2312" w:cs="仿宋_GB2312" w:hint="eastAsia"/>
            <w:webHidden/>
            <w:sz w:val="30"/>
            <w:szCs w:val="30"/>
            <w:lang w:val="zh-CN"/>
          </w:rPr>
          <w:fldChar w:fldCharType="end"/>
        </w:r>
      </w:hyperlink>
    </w:p>
    <w:p w14:paraId="60B49105" w14:textId="45787980"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97" w:history="1">
        <w:r w:rsidRPr="00421AC6">
          <w:rPr>
            <w:rFonts w:ascii="仿宋_GB2312" w:eastAsia="仿宋_GB2312" w:hAnsi="仿宋_GB2312" w:cs="仿宋_GB2312" w:hint="eastAsia"/>
            <w:sz w:val="30"/>
            <w:szCs w:val="30"/>
            <w:lang w:val="zh-CN"/>
          </w:rPr>
          <w:t>第二节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水利基础设施网络</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_Toc209177597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56</w:t>
        </w:r>
        <w:r w:rsidRPr="00421AC6">
          <w:rPr>
            <w:rFonts w:ascii="仿宋_GB2312" w:eastAsia="仿宋_GB2312" w:hAnsi="仿宋_GB2312" w:cs="仿宋_GB2312" w:hint="eastAsia"/>
            <w:webHidden/>
            <w:sz w:val="30"/>
            <w:szCs w:val="30"/>
            <w:lang w:val="zh-CN"/>
          </w:rPr>
          <w:fldChar w:fldCharType="end"/>
        </w:r>
      </w:hyperlink>
    </w:p>
    <w:p w14:paraId="0A2C539F" w14:textId="781E43B3"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98" w:history="1">
        <w:r w:rsidRPr="00421AC6">
          <w:rPr>
            <w:rFonts w:ascii="仿宋_GB2312" w:eastAsia="仿宋_GB2312" w:hAnsi="仿宋_GB2312" w:cs="仿宋_GB2312" w:hint="eastAsia"/>
            <w:sz w:val="30"/>
            <w:szCs w:val="30"/>
            <w:lang w:val="zh-CN"/>
          </w:rPr>
          <w:t>第三节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基础设施规划</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_Toc209177598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57</w:t>
        </w:r>
        <w:r w:rsidRPr="00421AC6">
          <w:rPr>
            <w:rFonts w:ascii="仿宋_GB2312" w:eastAsia="仿宋_GB2312" w:hAnsi="仿宋_GB2312" w:cs="仿宋_GB2312" w:hint="eastAsia"/>
            <w:webHidden/>
            <w:sz w:val="30"/>
            <w:szCs w:val="30"/>
            <w:lang w:val="zh-CN"/>
          </w:rPr>
          <w:fldChar w:fldCharType="end"/>
        </w:r>
      </w:hyperlink>
    </w:p>
    <w:p w14:paraId="6190B654" w14:textId="06A0052E"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599" w:history="1">
        <w:r w:rsidRPr="00421AC6">
          <w:rPr>
            <w:rFonts w:ascii="仿宋_GB2312" w:eastAsia="仿宋_GB2312" w:hAnsi="仿宋_GB2312" w:cs="仿宋_GB2312" w:hint="eastAsia"/>
            <w:sz w:val="30"/>
            <w:szCs w:val="30"/>
            <w:lang w:val="zh-CN"/>
          </w:rPr>
          <w:t>第四节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综合防灾减灾体系</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_Toc209177599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61</w:t>
        </w:r>
        <w:r w:rsidRPr="00421AC6">
          <w:rPr>
            <w:rFonts w:ascii="仿宋_GB2312" w:eastAsia="仿宋_GB2312" w:hAnsi="仿宋_GB2312" w:cs="仿宋_GB2312" w:hint="eastAsia"/>
            <w:webHidden/>
            <w:sz w:val="30"/>
            <w:szCs w:val="30"/>
            <w:lang w:val="zh-CN"/>
          </w:rPr>
          <w:fldChar w:fldCharType="end"/>
        </w:r>
      </w:hyperlink>
    </w:p>
    <w:p w14:paraId="07AF9DDE" w14:textId="6DD4B410"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600" w:history="1">
        <w:r w:rsidRPr="00421AC6">
          <w:rPr>
            <w:rFonts w:ascii="仿宋_GB2312" w:eastAsia="仿宋_GB2312" w:hAnsi="仿宋_GB2312" w:cs="仿宋_GB2312" w:hint="eastAsia"/>
            <w:sz w:val="30"/>
            <w:szCs w:val="30"/>
            <w:lang w:val="zh-CN"/>
          </w:rPr>
          <w:t>第五节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保障基础设施用地</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_Toc209177600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64</w:t>
        </w:r>
        <w:r w:rsidRPr="00421AC6">
          <w:rPr>
            <w:rFonts w:ascii="仿宋_GB2312" w:eastAsia="仿宋_GB2312" w:hAnsi="仿宋_GB2312" w:cs="仿宋_GB2312" w:hint="eastAsia"/>
            <w:webHidden/>
            <w:sz w:val="30"/>
            <w:szCs w:val="30"/>
            <w:lang w:val="zh-CN"/>
          </w:rPr>
          <w:fldChar w:fldCharType="end"/>
        </w:r>
      </w:hyperlink>
    </w:p>
    <w:p w14:paraId="77480FF5" w14:textId="07F71E74" w:rsidR="00421AC6" w:rsidRPr="00421AC6" w:rsidRDefault="00421AC6" w:rsidP="00421AC6">
      <w:pPr>
        <w:pStyle w:val="TOC2"/>
        <w:tabs>
          <w:tab w:val="right" w:leader="dot" w:pos="8306"/>
        </w:tabs>
        <w:spacing w:line="600" w:lineRule="exact"/>
        <w:ind w:leftChars="0" w:left="0"/>
        <w:jc w:val="left"/>
        <w:rPr>
          <w:rFonts w:ascii="黑体" w:eastAsia="黑体" w:hAnsi="黑体" w:cs="仿宋_GB2312" w:hint="eastAsia"/>
          <w:sz w:val="30"/>
          <w:szCs w:val="30"/>
          <w:lang w:val="zh-CN"/>
        </w:rPr>
      </w:pPr>
      <w:hyperlink w:anchor="_Toc209177601" w:history="1">
        <w:r w:rsidRPr="00421AC6">
          <w:rPr>
            <w:rFonts w:ascii="黑体" w:eastAsia="黑体" w:hAnsi="黑体" w:cs="仿宋_GB2312" w:hint="eastAsia"/>
            <w:sz w:val="30"/>
            <w:szCs w:val="30"/>
            <w:lang w:val="zh-CN"/>
          </w:rPr>
          <w:t>第十章</w:t>
        </w:r>
        <w:r>
          <w:rPr>
            <w:rFonts w:ascii="黑体" w:eastAsia="黑体" w:hAnsi="黑体" w:cs="仿宋_GB2312" w:hint="eastAsia"/>
            <w:sz w:val="30"/>
            <w:szCs w:val="30"/>
            <w:lang w:val="zh-CN"/>
          </w:rPr>
          <w:t xml:space="preserve"> </w:t>
        </w:r>
        <w:r w:rsidRPr="00421AC6">
          <w:rPr>
            <w:rFonts w:ascii="黑体" w:eastAsia="黑体" w:hAnsi="黑体" w:cs="仿宋_GB2312" w:hint="eastAsia"/>
            <w:sz w:val="30"/>
            <w:szCs w:val="30"/>
            <w:lang w:val="zh-CN"/>
          </w:rPr>
          <w:t>完善体制机制，高质量做好规划实施保障</w:t>
        </w:r>
        <w:r w:rsidRPr="00421AC6">
          <w:rPr>
            <w:rFonts w:ascii="黑体" w:eastAsia="黑体" w:hAnsi="黑体"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_Toc209177601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67</w:t>
        </w:r>
        <w:r w:rsidRPr="00421AC6">
          <w:rPr>
            <w:rFonts w:ascii="仿宋_GB2312" w:eastAsia="仿宋_GB2312" w:hAnsi="仿宋_GB2312" w:cs="仿宋_GB2312" w:hint="eastAsia"/>
            <w:webHidden/>
            <w:sz w:val="30"/>
            <w:szCs w:val="30"/>
            <w:lang w:val="zh-CN"/>
          </w:rPr>
          <w:fldChar w:fldCharType="end"/>
        </w:r>
      </w:hyperlink>
    </w:p>
    <w:p w14:paraId="229920B1" w14:textId="60499A17"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602" w:history="1">
        <w:r w:rsidRPr="00421AC6">
          <w:rPr>
            <w:rFonts w:ascii="仿宋_GB2312" w:eastAsia="仿宋_GB2312" w:hAnsi="仿宋_GB2312" w:cs="仿宋_GB2312" w:hint="eastAsia"/>
            <w:sz w:val="30"/>
            <w:szCs w:val="30"/>
            <w:lang w:val="zh-CN"/>
          </w:rPr>
          <w:t>第一节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加强党的领导</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_Toc209177602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67</w:t>
        </w:r>
        <w:r w:rsidRPr="00421AC6">
          <w:rPr>
            <w:rFonts w:ascii="仿宋_GB2312" w:eastAsia="仿宋_GB2312" w:hAnsi="仿宋_GB2312" w:cs="仿宋_GB2312" w:hint="eastAsia"/>
            <w:webHidden/>
            <w:sz w:val="30"/>
            <w:szCs w:val="30"/>
            <w:lang w:val="zh-CN"/>
          </w:rPr>
          <w:fldChar w:fldCharType="end"/>
        </w:r>
      </w:hyperlink>
    </w:p>
    <w:p w14:paraId="6787F559" w14:textId="3150DB03"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603" w:history="1">
        <w:r w:rsidRPr="00421AC6">
          <w:rPr>
            <w:rFonts w:ascii="仿宋_GB2312" w:eastAsia="仿宋_GB2312" w:hAnsi="仿宋_GB2312" w:cs="仿宋_GB2312" w:hint="eastAsia"/>
            <w:sz w:val="30"/>
            <w:szCs w:val="30"/>
            <w:lang w:val="zh-CN"/>
          </w:rPr>
          <w:t>第二节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健全配套政策</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_Toc209177603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67</w:t>
        </w:r>
        <w:r w:rsidRPr="00421AC6">
          <w:rPr>
            <w:rFonts w:ascii="仿宋_GB2312" w:eastAsia="仿宋_GB2312" w:hAnsi="仿宋_GB2312" w:cs="仿宋_GB2312" w:hint="eastAsia"/>
            <w:webHidden/>
            <w:sz w:val="30"/>
            <w:szCs w:val="30"/>
            <w:lang w:val="zh-CN"/>
          </w:rPr>
          <w:fldChar w:fldCharType="end"/>
        </w:r>
      </w:hyperlink>
    </w:p>
    <w:p w14:paraId="65DC495F" w14:textId="335C1178"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604" w:history="1">
        <w:r w:rsidRPr="00421AC6">
          <w:rPr>
            <w:rFonts w:ascii="仿宋_GB2312" w:eastAsia="仿宋_GB2312" w:hAnsi="仿宋_GB2312" w:cs="仿宋_GB2312" w:hint="eastAsia"/>
            <w:sz w:val="30"/>
            <w:szCs w:val="30"/>
            <w:lang w:val="zh-CN"/>
          </w:rPr>
          <w:t>第三节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强化规划传导与用途管制</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_Toc209177604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68</w:t>
        </w:r>
        <w:r w:rsidRPr="00421AC6">
          <w:rPr>
            <w:rFonts w:ascii="仿宋_GB2312" w:eastAsia="仿宋_GB2312" w:hAnsi="仿宋_GB2312" w:cs="仿宋_GB2312" w:hint="eastAsia"/>
            <w:webHidden/>
            <w:sz w:val="30"/>
            <w:szCs w:val="30"/>
            <w:lang w:val="zh-CN"/>
          </w:rPr>
          <w:fldChar w:fldCharType="end"/>
        </w:r>
      </w:hyperlink>
    </w:p>
    <w:p w14:paraId="4EF7ACE2" w14:textId="0429C979" w:rsidR="00421AC6" w:rsidRPr="00421AC6" w:rsidRDefault="00421AC6" w:rsidP="00421AC6">
      <w:pPr>
        <w:pStyle w:val="TOC2"/>
        <w:tabs>
          <w:tab w:val="right" w:leader="dot" w:pos="8296"/>
        </w:tabs>
        <w:spacing w:line="600" w:lineRule="exact"/>
        <w:ind w:leftChars="0" w:left="0" w:firstLineChars="200" w:firstLine="600"/>
        <w:jc w:val="left"/>
        <w:rPr>
          <w:rFonts w:ascii="仿宋_GB2312" w:eastAsia="仿宋_GB2312" w:hAnsi="仿宋_GB2312" w:cs="仿宋_GB2312" w:hint="eastAsia"/>
          <w:sz w:val="30"/>
          <w:szCs w:val="30"/>
          <w:lang w:val="zh-CN"/>
        </w:rPr>
      </w:pPr>
      <w:hyperlink w:anchor="_Toc209177605" w:history="1">
        <w:r w:rsidRPr="00421AC6">
          <w:rPr>
            <w:rFonts w:ascii="仿宋_GB2312" w:eastAsia="仿宋_GB2312" w:hAnsi="仿宋_GB2312" w:cs="仿宋_GB2312" w:hint="eastAsia"/>
            <w:sz w:val="30"/>
            <w:szCs w:val="30"/>
            <w:lang w:val="zh-CN"/>
          </w:rPr>
          <w:t>第四节</w:t>
        </w:r>
        <w:r>
          <w:rPr>
            <w:rFonts w:ascii="仿宋_GB2312" w:eastAsia="仿宋_GB2312" w:hAnsi="仿宋_GB2312" w:cs="仿宋_GB2312" w:hint="eastAsia"/>
            <w:sz w:val="30"/>
            <w:szCs w:val="30"/>
            <w:lang w:val="zh-CN"/>
          </w:rPr>
          <w:t xml:space="preserve"> </w:t>
        </w:r>
        <w:r w:rsidRPr="00421AC6">
          <w:rPr>
            <w:rFonts w:ascii="仿宋_GB2312" w:eastAsia="仿宋_GB2312" w:hAnsi="仿宋_GB2312" w:cs="仿宋_GB2312" w:hint="eastAsia"/>
            <w:sz w:val="30"/>
            <w:szCs w:val="30"/>
            <w:lang w:val="zh-CN"/>
          </w:rPr>
          <w:t>近期安排</w:t>
        </w:r>
        <w:r w:rsidRPr="00421AC6">
          <w:rPr>
            <w:rFonts w:ascii="仿宋_GB2312" w:eastAsia="仿宋_GB2312" w:hAnsi="仿宋_GB2312" w:cs="仿宋_GB2312" w:hint="eastAsia"/>
            <w:webHidden/>
            <w:sz w:val="30"/>
            <w:szCs w:val="30"/>
            <w:lang w:val="zh-CN"/>
          </w:rPr>
          <w:tab/>
        </w:r>
        <w:r w:rsidRPr="00421AC6">
          <w:rPr>
            <w:rFonts w:ascii="仿宋_GB2312" w:eastAsia="仿宋_GB2312" w:hAnsi="仿宋_GB2312" w:cs="仿宋_GB2312" w:hint="eastAsia"/>
            <w:webHidden/>
            <w:sz w:val="30"/>
            <w:szCs w:val="30"/>
            <w:lang w:val="zh-CN"/>
          </w:rPr>
          <w:fldChar w:fldCharType="begin"/>
        </w:r>
        <w:r w:rsidRPr="00421AC6">
          <w:rPr>
            <w:rFonts w:ascii="仿宋_GB2312" w:eastAsia="仿宋_GB2312" w:hAnsi="仿宋_GB2312" w:cs="仿宋_GB2312" w:hint="eastAsia"/>
            <w:webHidden/>
            <w:sz w:val="30"/>
            <w:szCs w:val="30"/>
            <w:lang w:val="zh-CN"/>
          </w:rPr>
          <w:instrText xml:space="preserve"> PAGEREF _Toc209177605 \h </w:instrText>
        </w:r>
        <w:r w:rsidRPr="00421AC6">
          <w:rPr>
            <w:rFonts w:ascii="仿宋_GB2312" w:eastAsia="仿宋_GB2312" w:hAnsi="仿宋_GB2312" w:cs="仿宋_GB2312" w:hint="eastAsia"/>
            <w:webHidden/>
            <w:sz w:val="30"/>
            <w:szCs w:val="30"/>
            <w:lang w:val="zh-CN"/>
          </w:rPr>
        </w:r>
        <w:r w:rsidRPr="00421AC6">
          <w:rPr>
            <w:rFonts w:ascii="仿宋_GB2312" w:eastAsia="仿宋_GB2312" w:hAnsi="仿宋_GB2312" w:cs="仿宋_GB2312" w:hint="eastAsia"/>
            <w:webHidden/>
            <w:sz w:val="30"/>
            <w:szCs w:val="30"/>
            <w:lang w:val="zh-CN"/>
          </w:rPr>
          <w:fldChar w:fldCharType="separate"/>
        </w:r>
        <w:r w:rsidRPr="00421AC6">
          <w:rPr>
            <w:rFonts w:ascii="仿宋_GB2312" w:eastAsia="仿宋_GB2312" w:hAnsi="仿宋_GB2312" w:cs="仿宋_GB2312" w:hint="eastAsia"/>
            <w:webHidden/>
            <w:sz w:val="30"/>
            <w:szCs w:val="30"/>
            <w:lang w:val="zh-CN"/>
          </w:rPr>
          <w:t>69</w:t>
        </w:r>
        <w:r w:rsidRPr="00421AC6">
          <w:rPr>
            <w:rFonts w:ascii="仿宋_GB2312" w:eastAsia="仿宋_GB2312" w:hAnsi="仿宋_GB2312" w:cs="仿宋_GB2312" w:hint="eastAsia"/>
            <w:webHidden/>
            <w:sz w:val="30"/>
            <w:szCs w:val="30"/>
            <w:lang w:val="zh-CN"/>
          </w:rPr>
          <w:fldChar w:fldCharType="end"/>
        </w:r>
      </w:hyperlink>
    </w:p>
    <w:p w14:paraId="141663D1" w14:textId="0EB03F1C" w:rsidR="00280812" w:rsidRDefault="00000000" w:rsidP="00421AC6">
      <w:pPr>
        <w:pStyle w:val="TOC2"/>
        <w:tabs>
          <w:tab w:val="right" w:leader="dot" w:pos="8306"/>
        </w:tabs>
        <w:spacing w:line="600" w:lineRule="exact"/>
        <w:ind w:leftChars="0" w:left="0"/>
        <w:jc w:val="left"/>
      </w:pPr>
      <w:r w:rsidRPr="00421AC6">
        <w:rPr>
          <w:rFonts w:ascii="仿宋_GB2312" w:eastAsia="仿宋_GB2312" w:hAnsi="仿宋_GB2312" w:cs="仿宋_GB2312" w:hint="eastAsia"/>
          <w:sz w:val="30"/>
          <w:szCs w:val="30"/>
          <w:lang w:val="zh-CN"/>
        </w:rPr>
        <w:fldChar w:fldCharType="end"/>
      </w:r>
      <w:r>
        <w:br w:type="page"/>
      </w:r>
    </w:p>
    <w:p w14:paraId="14443F8A" w14:textId="77777777" w:rsidR="00280812" w:rsidRDefault="00280812">
      <w:pPr>
        <w:tabs>
          <w:tab w:val="left" w:pos="353"/>
        </w:tabs>
        <w:spacing w:beforeLines="100" w:before="312" w:afterLines="100" w:after="312" w:line="520" w:lineRule="exact"/>
        <w:jc w:val="center"/>
        <w:outlineLvl w:val="0"/>
        <w:rPr>
          <w:rFonts w:ascii="方正小标宋_GBK" w:eastAsia="方正小标宋_GBK" w:hAnsi="黑体" w:cs="Times New Roman" w:hint="eastAsia"/>
          <w:sz w:val="36"/>
          <w:szCs w:val="36"/>
        </w:rPr>
        <w:sectPr w:rsidR="00280812">
          <w:footerReference w:type="default" r:id="rId8"/>
          <w:pgSz w:w="11906" w:h="16838"/>
          <w:pgMar w:top="1440" w:right="1800" w:bottom="1440" w:left="1800" w:header="851" w:footer="992" w:gutter="0"/>
          <w:pgNumType w:start="1"/>
          <w:cols w:space="425"/>
          <w:docGrid w:type="lines" w:linePitch="312"/>
        </w:sectPr>
      </w:pPr>
    </w:p>
    <w:p w14:paraId="39FFFD27" w14:textId="77777777" w:rsidR="00280812" w:rsidRDefault="00000000">
      <w:pPr>
        <w:tabs>
          <w:tab w:val="left" w:pos="353"/>
        </w:tabs>
        <w:spacing w:beforeLines="100" w:before="312" w:afterLines="100" w:after="312" w:line="520" w:lineRule="exact"/>
        <w:jc w:val="center"/>
        <w:outlineLvl w:val="0"/>
        <w:rPr>
          <w:rFonts w:ascii="方正小标宋_GBK" w:eastAsia="方正小标宋_GBK" w:hAnsi="黑体" w:cs="Times New Roman" w:hint="eastAsia"/>
          <w:sz w:val="36"/>
          <w:szCs w:val="36"/>
        </w:rPr>
      </w:pPr>
      <w:bookmarkStart w:id="12" w:name="_Toc209177553"/>
      <w:r>
        <w:rPr>
          <w:rFonts w:ascii="方正小标宋_GBK" w:eastAsia="方正小标宋_GBK" w:hAnsi="黑体" w:cs="Times New Roman" w:hint="eastAsia"/>
          <w:sz w:val="36"/>
          <w:szCs w:val="36"/>
        </w:rPr>
        <w:lastRenderedPageBreak/>
        <w:t>前言</w:t>
      </w:r>
      <w:bookmarkEnd w:id="12"/>
    </w:p>
    <w:p w14:paraId="7FC2E7A6" w14:textId="77777777" w:rsidR="00280812" w:rsidRDefault="00000000">
      <w:pPr>
        <w:pStyle w:val="a7"/>
        <w:ind w:firstLine="640"/>
        <w:rPr>
          <w:lang w:bidi="ar"/>
        </w:rPr>
      </w:pPr>
      <w:r>
        <w:rPr>
          <w:rFonts w:hint="eastAsia"/>
          <w:lang w:bidi="ar"/>
        </w:rPr>
        <w:t>以习近平新时代中国特色社会主义思想为指导，立足青海“三个最大”省情定位、“三个更加重要”战略地位，推进“三个先行区”建设，科学把握新发展阶段、深入贯彻新发展理念、加快构建新发展格局，推进青藏高原生态保护和高质量发展，落实全省建设“六个现代化新青海”奋斗目标、着力打造生态文明高地、着力构建产业“四地”的要求，围绕建设国家可持续发展议程创新示范区、打造泛共和盆地绿色发展新增长极、紧抓区域发展重大战略机遇，守护好“碧波荡漾青海湖”。按照《中共中央 国务院关于建立国土空间规划体系并监督实施的若干意见》（中发〔2019〕18号）、《自然资源部关于全面开展国土空间规划工作的通知》（</w:t>
      </w:r>
      <w:proofErr w:type="gramStart"/>
      <w:r>
        <w:rPr>
          <w:rFonts w:hint="eastAsia"/>
          <w:lang w:bidi="ar"/>
        </w:rPr>
        <w:t>自然资发〔2019〕</w:t>
      </w:r>
      <w:proofErr w:type="gramEnd"/>
      <w:r>
        <w:rPr>
          <w:rFonts w:hint="eastAsia"/>
          <w:lang w:bidi="ar"/>
        </w:rPr>
        <w:t>87号）以及青海省《关于建立全省国土空间规划体系并监督实施的意见》（</w:t>
      </w:r>
      <w:proofErr w:type="gramStart"/>
      <w:r>
        <w:rPr>
          <w:rFonts w:hint="eastAsia"/>
          <w:lang w:bidi="ar"/>
        </w:rPr>
        <w:t>青办发</w:t>
      </w:r>
      <w:proofErr w:type="gramEnd"/>
      <w:r>
        <w:rPr>
          <w:rFonts w:hint="eastAsia"/>
          <w:lang w:bidi="ar"/>
        </w:rPr>
        <w:t>〔2020〕13号）等相关政策，构建共和县“两级三类”国土空间规划体系，编制《共和县铁盖乡国土空间总体规划（2021-2035年）》（以下简称《规划》）。</w:t>
      </w:r>
    </w:p>
    <w:p w14:paraId="733DC3A3" w14:textId="77777777" w:rsidR="00280812" w:rsidRDefault="00000000">
      <w:pPr>
        <w:pStyle w:val="a7"/>
        <w:ind w:firstLine="640"/>
        <w:rPr>
          <w:lang w:bidi="ar"/>
        </w:rPr>
      </w:pPr>
      <w:r>
        <w:rPr>
          <w:rFonts w:hint="eastAsia"/>
          <w:lang w:bidi="ar"/>
        </w:rPr>
        <w:t>《规划》是对《共和县国民经济和社会发展第十四个五年规划和二</w:t>
      </w:r>
      <w:r>
        <w:rPr>
          <w:rFonts w:ascii="微软雅黑" w:eastAsia="微软雅黑" w:hAnsi="微软雅黑" w:cs="微软雅黑" w:hint="eastAsia"/>
          <w:lang w:bidi="ar"/>
        </w:rPr>
        <w:t>〇</w:t>
      </w:r>
      <w:r>
        <w:rPr>
          <w:rFonts w:hAnsi="仿宋_GB2312" w:cs="仿宋_GB2312" w:hint="eastAsia"/>
          <w:lang w:bidi="ar"/>
        </w:rPr>
        <w:t>三五年远景目标纲要》和《共和县国土空间总体规划（</w:t>
      </w:r>
      <w:r>
        <w:rPr>
          <w:rFonts w:hint="eastAsia"/>
          <w:lang w:bidi="ar"/>
        </w:rPr>
        <w:t>2021-2035年）》的落实和细化，是统筹全乡国土空间保护、开发、利用、修复</w:t>
      </w:r>
      <w:proofErr w:type="gramStart"/>
      <w:r>
        <w:rPr>
          <w:rFonts w:hint="eastAsia"/>
          <w:lang w:bidi="ar"/>
        </w:rPr>
        <w:t>作出</w:t>
      </w:r>
      <w:proofErr w:type="gramEnd"/>
      <w:r>
        <w:rPr>
          <w:rFonts w:hint="eastAsia"/>
          <w:lang w:bidi="ar"/>
        </w:rPr>
        <w:t>的具体安排和部署，是各层次空间规划的编制依据，是开展各类开发保护建设</w:t>
      </w:r>
      <w:r>
        <w:rPr>
          <w:rFonts w:hint="eastAsia"/>
          <w:lang w:bidi="ar"/>
        </w:rPr>
        <w:lastRenderedPageBreak/>
        <w:t>活动、实施国土空间用途管制的基本依据。</w:t>
      </w:r>
    </w:p>
    <w:p w14:paraId="2D03A8B6" w14:textId="77777777" w:rsidR="00280812" w:rsidRDefault="00000000">
      <w:pPr>
        <w:pStyle w:val="a7"/>
        <w:ind w:firstLine="640"/>
        <w:rPr>
          <w:lang w:bidi="ar"/>
        </w:rPr>
      </w:pPr>
      <w:r>
        <w:rPr>
          <w:rFonts w:hint="eastAsia"/>
          <w:lang w:bidi="ar"/>
        </w:rPr>
        <w:t>本规划范围</w:t>
      </w:r>
      <w:proofErr w:type="gramStart"/>
      <w:r>
        <w:rPr>
          <w:rFonts w:hint="eastAsia"/>
          <w:lang w:bidi="ar"/>
        </w:rPr>
        <w:t>涉及乡域和</w:t>
      </w:r>
      <w:proofErr w:type="gramEnd"/>
      <w:r>
        <w:rPr>
          <w:rFonts w:hint="eastAsia"/>
          <w:lang w:bidi="ar"/>
        </w:rPr>
        <w:t>集镇两个层次。</w:t>
      </w:r>
      <w:proofErr w:type="gramStart"/>
      <w:r>
        <w:rPr>
          <w:rFonts w:hint="eastAsia"/>
          <w:lang w:bidi="ar"/>
        </w:rPr>
        <w:t>乡域规划</w:t>
      </w:r>
      <w:proofErr w:type="gramEnd"/>
      <w:r>
        <w:rPr>
          <w:rFonts w:hint="eastAsia"/>
          <w:lang w:bidi="ar"/>
        </w:rPr>
        <w:t>范围为铁盖</w:t>
      </w:r>
      <w:proofErr w:type="gramStart"/>
      <w:r>
        <w:rPr>
          <w:rFonts w:hint="eastAsia"/>
          <w:lang w:bidi="ar"/>
        </w:rPr>
        <w:t>乡行政</w:t>
      </w:r>
      <w:proofErr w:type="gramEnd"/>
      <w:r>
        <w:rPr>
          <w:rFonts w:hint="eastAsia"/>
          <w:lang w:bidi="ar"/>
        </w:rPr>
        <w:t>辖区内范围，统筹全域全要素规划管理，对国土空间开发保护做出的具体部署，对县级国土空间规划细化落实；集镇范围北至乡政府边界、南至学校南侧边界、</w:t>
      </w:r>
      <w:proofErr w:type="gramStart"/>
      <w:r>
        <w:rPr>
          <w:rFonts w:hint="eastAsia"/>
          <w:lang w:bidi="ar"/>
        </w:rPr>
        <w:t>东至吾雷村</w:t>
      </w:r>
      <w:proofErr w:type="gramEnd"/>
      <w:r>
        <w:rPr>
          <w:rFonts w:hint="eastAsia"/>
          <w:lang w:bidi="ar"/>
        </w:rPr>
        <w:t>、西至马汉台村，面积约14.65公顷，集镇范围内细化土地使用和空间布局，侧重功能完善和结构优化；</w:t>
      </w:r>
      <w:proofErr w:type="gramStart"/>
      <w:r>
        <w:rPr>
          <w:rFonts w:hint="eastAsia"/>
          <w:lang w:bidi="ar"/>
        </w:rPr>
        <w:t>乡域与</w:t>
      </w:r>
      <w:proofErr w:type="gramEnd"/>
      <w:r>
        <w:rPr>
          <w:rFonts w:hint="eastAsia"/>
          <w:lang w:bidi="ar"/>
        </w:rPr>
        <w:t>集镇要落实重要管控要素的系统传导和衔接。</w:t>
      </w:r>
    </w:p>
    <w:p w14:paraId="238739A1" w14:textId="77777777" w:rsidR="00280812" w:rsidRDefault="00000000">
      <w:pPr>
        <w:pStyle w:val="a7"/>
        <w:ind w:firstLine="640"/>
        <w:rPr>
          <w:lang w:bidi="ar"/>
        </w:rPr>
      </w:pPr>
      <w:r>
        <w:rPr>
          <w:rFonts w:hint="eastAsia"/>
          <w:lang w:bidi="ar"/>
        </w:rPr>
        <w:t>规划基期为2020年，规划期限为2021-2035年，近期到2025年，远期到2035年。</w:t>
      </w:r>
    </w:p>
    <w:p w14:paraId="0F651354" w14:textId="77777777" w:rsidR="00280812" w:rsidRDefault="00000000">
      <w:pPr>
        <w:pStyle w:val="a7"/>
        <w:ind w:firstLine="640"/>
        <w:rPr>
          <w:lang w:bidi="ar"/>
        </w:rPr>
      </w:pPr>
      <w:r>
        <w:rPr>
          <w:rFonts w:hint="eastAsia"/>
          <w:lang w:bidi="ar"/>
        </w:rPr>
        <w:t>文本中加</w:t>
      </w:r>
      <w:r>
        <w:rPr>
          <w:rFonts w:hint="eastAsia"/>
          <w:u w:val="single"/>
          <w:lang w:bidi="ar"/>
        </w:rPr>
        <w:t>下划线</w:t>
      </w:r>
      <w:r>
        <w:rPr>
          <w:rFonts w:hint="eastAsia"/>
          <w:lang w:bidi="ar"/>
        </w:rPr>
        <w:t>的内容以及附表中约束性指标为规划的强制性内容。本规划自海南州人民政府批复之日起生效，由铁盖乡人民政府组织实施，任何单位和个人不得违反和擅自修改。因国家重大战略调整、重大项目建设或者行政区划调整等确需修改本规划的，须按照法定程序进行修改。</w:t>
      </w:r>
    </w:p>
    <w:p w14:paraId="15BAA13E" w14:textId="77777777" w:rsidR="00280812" w:rsidRDefault="00000000">
      <w:pPr>
        <w:pStyle w:val="a7"/>
        <w:ind w:firstLine="640"/>
        <w:rPr>
          <w:lang w:bidi="ar"/>
        </w:rPr>
      </w:pPr>
      <w:r>
        <w:rPr>
          <w:lang w:bidi="ar"/>
        </w:rPr>
        <w:br w:type="page"/>
      </w:r>
    </w:p>
    <w:p w14:paraId="018D7F53" w14:textId="77777777" w:rsidR="00280812" w:rsidRDefault="00000000">
      <w:pPr>
        <w:pStyle w:val="1"/>
        <w:ind w:left="0" w:firstLine="0"/>
      </w:pPr>
      <w:bookmarkStart w:id="13" w:name="_Toc209177554"/>
      <w:r>
        <w:rPr>
          <w:rFonts w:hint="eastAsia"/>
        </w:rPr>
        <w:lastRenderedPageBreak/>
        <w:t>规划背景</w:t>
      </w:r>
      <w:bookmarkEnd w:id="13"/>
    </w:p>
    <w:p w14:paraId="6FABC4B0" w14:textId="77777777" w:rsidR="00280812" w:rsidRDefault="00000000">
      <w:pPr>
        <w:pStyle w:val="2"/>
        <w:rPr>
          <w:lang w:val="zh-CN"/>
        </w:rPr>
      </w:pPr>
      <w:bookmarkStart w:id="14" w:name="_Toc209177555"/>
      <w:r>
        <w:rPr>
          <w:rFonts w:hint="eastAsia"/>
          <w:lang w:val="zh-CN"/>
        </w:rPr>
        <w:t>禀赋与条件</w:t>
      </w:r>
      <w:bookmarkEnd w:id="14"/>
    </w:p>
    <w:p w14:paraId="21FD621F" w14:textId="77777777" w:rsidR="00280812" w:rsidRDefault="00000000">
      <w:pPr>
        <w:pStyle w:val="a0"/>
        <w:ind w:left="0" w:firstLineChars="200" w:firstLine="640"/>
      </w:pPr>
      <w:r>
        <w:rPr>
          <w:rFonts w:hint="eastAsia"/>
        </w:rPr>
        <w:t>基本概况</w:t>
      </w:r>
    </w:p>
    <w:p w14:paraId="1F6417D9" w14:textId="77777777" w:rsidR="00280812" w:rsidRDefault="00000000">
      <w:pPr>
        <w:pStyle w:val="a7"/>
        <w:ind w:firstLine="640"/>
      </w:pPr>
      <w:r>
        <w:rPr>
          <w:rFonts w:ascii="楷体_GB2312" w:eastAsia="楷体_GB2312" w:hAnsi="楷体_GB2312" w:cs="楷体_GB2312" w:hint="eastAsia"/>
        </w:rPr>
        <w:t>河流阶地明显。</w:t>
      </w:r>
      <w:r>
        <w:rPr>
          <w:rFonts w:hint="eastAsia"/>
        </w:rPr>
        <w:t>铁盖乡地处共和盆地</w:t>
      </w:r>
      <w:r>
        <w:rPr>
          <w:rFonts w:hAnsi="仿宋_GB2312" w:cs="仿宋_GB2312" w:hint="eastAsia"/>
          <w:szCs w:val="24"/>
          <w:lang w:bidi="ar"/>
        </w:rPr>
        <w:t>东部，</w:t>
      </w:r>
      <w:r>
        <w:t>黄河从盆地东部切穿而过，</w:t>
      </w:r>
      <w:r>
        <w:rPr>
          <w:rFonts w:hint="eastAsia"/>
        </w:rPr>
        <w:t>在铁盖乡境内形成西北高、东南低的河流阶地地形地貌，海拔</w:t>
      </w:r>
      <w:r>
        <w:rPr>
          <w:rFonts w:hAnsi="仿宋_GB2312" w:cs="仿宋_GB2312" w:hint="eastAsia"/>
          <w:szCs w:val="24"/>
          <w:lang w:bidi="ar"/>
        </w:rPr>
        <w:t>2600-3400</w:t>
      </w:r>
      <w:r>
        <w:rPr>
          <w:rFonts w:hint="eastAsia"/>
        </w:rPr>
        <w:t>米。</w:t>
      </w:r>
    </w:p>
    <w:p w14:paraId="0B21C1CB" w14:textId="77777777" w:rsidR="00280812" w:rsidRDefault="00000000">
      <w:pPr>
        <w:pStyle w:val="a7"/>
        <w:ind w:firstLine="640"/>
      </w:pPr>
      <w:r>
        <w:rPr>
          <w:rFonts w:ascii="楷体_GB2312" w:eastAsia="楷体_GB2312" w:hAnsi="楷体_GB2312" w:cs="楷体_GB2312" w:hint="eastAsia"/>
        </w:rPr>
        <w:t>生态功能突出。</w:t>
      </w:r>
      <w:r>
        <w:rPr>
          <w:rFonts w:hint="eastAsia"/>
        </w:rPr>
        <w:t>铁盖乡东、南界黄河和龙羊峡库区，是青海省境内黄河流域的上游山区。所处塔拉滩地区曾经是三江源地区风沙危害最严重的地区之一，境内</w:t>
      </w:r>
      <w:r>
        <w:t>以广阔的干旱荒漠草原为主</w:t>
      </w:r>
      <w:r>
        <w:rPr>
          <w:rFonts w:hint="eastAsia"/>
        </w:rPr>
        <w:t>。</w:t>
      </w:r>
    </w:p>
    <w:p w14:paraId="50EC95DE" w14:textId="77777777" w:rsidR="00280812" w:rsidRDefault="00000000">
      <w:pPr>
        <w:pStyle w:val="a7"/>
        <w:ind w:firstLine="640"/>
      </w:pPr>
      <w:r>
        <w:rPr>
          <w:rFonts w:ascii="楷体_GB2312" w:eastAsia="楷体_GB2312" w:hAnsi="楷体_GB2312" w:cs="楷体_GB2312" w:hint="eastAsia"/>
        </w:rPr>
        <w:t>清洁能源高地。</w:t>
      </w:r>
      <w:r>
        <w:rPr>
          <w:rFonts w:hint="eastAsia"/>
        </w:rPr>
        <w:t>塔拉滩地区地势平坦，且光能资源丰富，年均日照时间近3000小时。境内已建成全球</w:t>
      </w:r>
      <w:r>
        <w:t>最大装机容量光伏发电园区和水光互补发电站</w:t>
      </w:r>
      <w:r>
        <w:rPr>
          <w:rFonts w:hint="eastAsia"/>
        </w:rPr>
        <w:t>，年均发电量达到100亿千瓦时。</w:t>
      </w:r>
    </w:p>
    <w:p w14:paraId="3D6C897B" w14:textId="77777777" w:rsidR="00280812" w:rsidRDefault="00000000">
      <w:pPr>
        <w:pStyle w:val="a7"/>
        <w:ind w:firstLine="640"/>
      </w:pPr>
      <w:r>
        <w:rPr>
          <w:rFonts w:ascii="楷体_GB2312" w:eastAsia="楷体_GB2312" w:hAnsi="楷体_GB2312" w:cs="楷体_GB2312" w:hint="eastAsia"/>
        </w:rPr>
        <w:t>区位优势显著。</w:t>
      </w:r>
      <w:r>
        <w:rPr>
          <w:rFonts w:hint="eastAsia"/>
        </w:rPr>
        <w:t>铁盖乡九道班集镇是共和县南大门，乡集镇紧邻共和县城和龙羊峡水库，围绕现代生态农牧业、新型清洁能源</w:t>
      </w:r>
      <w:proofErr w:type="gramStart"/>
      <w:r>
        <w:rPr>
          <w:rFonts w:hint="eastAsia"/>
        </w:rPr>
        <w:t>以及文旅融合</w:t>
      </w:r>
      <w:proofErr w:type="gramEnd"/>
      <w:r>
        <w:rPr>
          <w:rFonts w:hint="eastAsia"/>
        </w:rPr>
        <w:t>建设，在县域</w:t>
      </w:r>
      <w:r>
        <w:t>经济社会发展和生态环境保护</w:t>
      </w:r>
      <w:r>
        <w:rPr>
          <w:rFonts w:hint="eastAsia"/>
        </w:rPr>
        <w:t>处于重要地位。</w:t>
      </w:r>
    </w:p>
    <w:p w14:paraId="108E7265" w14:textId="77777777" w:rsidR="00280812" w:rsidRDefault="00000000">
      <w:pPr>
        <w:pStyle w:val="a7"/>
        <w:ind w:firstLine="640"/>
      </w:pPr>
      <w:r>
        <w:rPr>
          <w:rFonts w:ascii="楷体_GB2312" w:eastAsia="楷体_GB2312" w:hAnsi="楷体_GB2312" w:cs="楷体_GB2312" w:hint="eastAsia"/>
        </w:rPr>
        <w:t>历史文化悠久。</w:t>
      </w:r>
      <w:r>
        <w:rPr>
          <w:rFonts w:hint="eastAsia"/>
        </w:rPr>
        <w:t>铁盖乡</w:t>
      </w:r>
      <w:r>
        <w:t>地处黄河上游龙羊峡地区</w:t>
      </w:r>
      <w:r>
        <w:rPr>
          <w:rFonts w:hint="eastAsia"/>
        </w:rPr>
        <w:t>，是黄河文化的重要展示区域，同时也是汉藏文</w:t>
      </w:r>
      <w:proofErr w:type="gramStart"/>
      <w:r>
        <w:rPr>
          <w:rFonts w:hint="eastAsia"/>
        </w:rPr>
        <w:t>化交往</w:t>
      </w:r>
      <w:proofErr w:type="gramEnd"/>
      <w:r>
        <w:rPr>
          <w:rFonts w:hint="eastAsia"/>
        </w:rPr>
        <w:t>交流交融区。境内分布有自旧石器时期至周朝的古遗址、古建筑、古墓葬等文物古迹13处，其中省级文物保护单位3处，县级文物保护单位2处。</w:t>
      </w:r>
    </w:p>
    <w:p w14:paraId="4674CD70" w14:textId="77777777" w:rsidR="00280812" w:rsidRDefault="00280812">
      <w:pPr>
        <w:pStyle w:val="a7"/>
        <w:ind w:firstLine="64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280812" w14:paraId="0891A751" w14:textId="77777777">
        <w:trPr>
          <w:trHeight w:val="472"/>
          <w:jc w:val="center"/>
        </w:trPr>
        <w:tc>
          <w:tcPr>
            <w:tcW w:w="8522" w:type="dxa"/>
            <w:tcBorders>
              <w:top w:val="single" w:sz="4" w:space="0" w:color="auto"/>
              <w:left w:val="single" w:sz="4" w:space="0" w:color="auto"/>
              <w:bottom w:val="single" w:sz="4" w:space="0" w:color="auto"/>
              <w:right w:val="single" w:sz="4" w:space="0" w:color="auto"/>
            </w:tcBorders>
          </w:tcPr>
          <w:p w14:paraId="585D2642" w14:textId="77777777" w:rsidR="00280812" w:rsidRDefault="00000000">
            <w:pPr>
              <w:pStyle w:val="af9"/>
              <w:rPr>
                <w:rFonts w:hint="eastAsia"/>
              </w:rPr>
            </w:pPr>
            <w:r>
              <w:rPr>
                <w:rFonts w:hint="eastAsia"/>
              </w:rPr>
              <w:t>专栏</w:t>
            </w:r>
            <w:r>
              <w:t xml:space="preserve">1 </w:t>
            </w:r>
            <w:r>
              <w:rPr>
                <w:rFonts w:hint="eastAsia"/>
              </w:rPr>
              <w:t>主要自然资源总体状况</w:t>
            </w:r>
          </w:p>
        </w:tc>
      </w:tr>
      <w:tr w:rsidR="00280812" w14:paraId="299D4BC0" w14:textId="77777777">
        <w:trPr>
          <w:trHeight w:val="472"/>
          <w:jc w:val="center"/>
        </w:trPr>
        <w:tc>
          <w:tcPr>
            <w:tcW w:w="8522" w:type="dxa"/>
            <w:tcBorders>
              <w:top w:val="single" w:sz="4" w:space="0" w:color="auto"/>
              <w:left w:val="single" w:sz="4" w:space="0" w:color="auto"/>
              <w:bottom w:val="single" w:sz="4" w:space="0" w:color="auto"/>
              <w:right w:val="single" w:sz="4" w:space="0" w:color="auto"/>
            </w:tcBorders>
          </w:tcPr>
          <w:p w14:paraId="4B9596B7" w14:textId="77777777" w:rsidR="00280812" w:rsidRDefault="00000000">
            <w:pPr>
              <w:pStyle w:val="af7"/>
              <w:ind w:firstLine="480"/>
              <w:rPr>
                <w:rFonts w:hint="eastAsia"/>
              </w:rPr>
            </w:pPr>
            <w:r>
              <w:rPr>
                <w:rStyle w:val="afc"/>
                <w:rFonts w:hint="eastAsia"/>
              </w:rPr>
              <w:t>土地资源。</w:t>
            </w:r>
            <w:r>
              <w:rPr>
                <w:rFonts w:hint="eastAsia"/>
              </w:rPr>
              <w:t>铁盖乡现状</w:t>
            </w:r>
            <w:r>
              <w:rPr>
                <w:rFonts w:ascii="仿宋_GB2312" w:hAnsi="仿宋_GB2312" w:cs="仿宋_GB2312" w:hint="eastAsia"/>
                <w:szCs w:val="24"/>
              </w:rPr>
              <w:t>耕地</w:t>
            </w:r>
            <w:r>
              <w:rPr>
                <w:rFonts w:ascii="仿宋_GB2312" w:hAnsi="仿宋_GB2312" w:cs="仿宋_GB2312"/>
                <w:szCs w:val="24"/>
              </w:rPr>
              <w:t>7.91</w:t>
            </w:r>
            <w:r>
              <w:rPr>
                <w:rFonts w:ascii="仿宋_GB2312" w:hAnsi="仿宋_GB2312" w:cs="仿宋_GB2312" w:hint="eastAsia"/>
                <w:szCs w:val="24"/>
              </w:rPr>
              <w:t>平方千米；园地</w:t>
            </w:r>
            <w:r>
              <w:rPr>
                <w:rFonts w:ascii="仿宋_GB2312" w:hAnsi="仿宋_GB2312" w:cs="仿宋_GB2312"/>
                <w:szCs w:val="24"/>
              </w:rPr>
              <w:t>0.10</w:t>
            </w:r>
            <w:r>
              <w:rPr>
                <w:rFonts w:ascii="仿宋_GB2312" w:hAnsi="仿宋_GB2312" w:cs="仿宋_GB2312" w:hint="eastAsia"/>
                <w:szCs w:val="24"/>
              </w:rPr>
              <w:t>平方千米；林地</w:t>
            </w:r>
            <w:r>
              <w:rPr>
                <w:rFonts w:ascii="仿宋_GB2312" w:hAnsi="仿宋_GB2312" w:cs="仿宋_GB2312"/>
                <w:szCs w:val="24"/>
              </w:rPr>
              <w:t>7.3</w:t>
            </w:r>
            <w:r>
              <w:rPr>
                <w:rFonts w:ascii="仿宋_GB2312" w:hAnsi="仿宋_GB2312" w:cs="仿宋_GB2312" w:hint="eastAsia"/>
                <w:szCs w:val="24"/>
              </w:rPr>
              <w:t>4平方千米；草地</w:t>
            </w:r>
            <w:r>
              <w:rPr>
                <w:rFonts w:ascii="仿宋_GB2312" w:hAnsi="仿宋_GB2312" w:cs="仿宋_GB2312"/>
                <w:szCs w:val="24"/>
              </w:rPr>
              <w:t>629.25</w:t>
            </w:r>
            <w:r>
              <w:rPr>
                <w:rFonts w:ascii="仿宋_GB2312" w:hAnsi="仿宋_GB2312" w:cs="仿宋_GB2312" w:hint="eastAsia"/>
                <w:szCs w:val="24"/>
              </w:rPr>
              <w:t>平方千米；湿地</w:t>
            </w:r>
            <w:r>
              <w:rPr>
                <w:rFonts w:ascii="仿宋_GB2312" w:hAnsi="仿宋_GB2312" w:cs="仿宋_GB2312"/>
                <w:szCs w:val="24"/>
              </w:rPr>
              <w:t>0.12</w:t>
            </w:r>
            <w:r>
              <w:rPr>
                <w:rFonts w:ascii="仿宋_GB2312" w:hAnsi="仿宋_GB2312" w:cs="仿宋_GB2312" w:hint="eastAsia"/>
                <w:szCs w:val="24"/>
              </w:rPr>
              <w:t>平方千米；农业设施建设用地4</w:t>
            </w:r>
            <w:r>
              <w:rPr>
                <w:rFonts w:ascii="仿宋_GB2312" w:hAnsi="仿宋_GB2312" w:cs="仿宋_GB2312"/>
                <w:szCs w:val="24"/>
              </w:rPr>
              <w:t>.91</w:t>
            </w:r>
            <w:r>
              <w:rPr>
                <w:rFonts w:ascii="仿宋_GB2312" w:hAnsi="仿宋_GB2312" w:cs="仿宋_GB2312" w:hint="eastAsia"/>
                <w:szCs w:val="24"/>
              </w:rPr>
              <w:t>平方千米；建设用地4</w:t>
            </w:r>
            <w:r>
              <w:rPr>
                <w:rFonts w:ascii="仿宋_GB2312" w:hAnsi="仿宋_GB2312" w:cs="仿宋_GB2312"/>
                <w:szCs w:val="24"/>
              </w:rPr>
              <w:t>4.58</w:t>
            </w:r>
            <w:r>
              <w:rPr>
                <w:rFonts w:ascii="仿宋_GB2312" w:hAnsi="仿宋_GB2312" w:cs="仿宋_GB2312" w:hint="eastAsia"/>
                <w:szCs w:val="24"/>
              </w:rPr>
              <w:t>平方千米；陆地水域</w:t>
            </w:r>
            <w:r>
              <w:rPr>
                <w:rFonts w:ascii="仿宋_GB2312" w:hAnsi="仿宋_GB2312" w:cs="仿宋_GB2312"/>
                <w:szCs w:val="24"/>
              </w:rPr>
              <w:t>0.69</w:t>
            </w:r>
            <w:r>
              <w:rPr>
                <w:rFonts w:ascii="仿宋_GB2312" w:hAnsi="仿宋_GB2312" w:cs="仿宋_GB2312" w:hint="eastAsia"/>
                <w:szCs w:val="24"/>
              </w:rPr>
              <w:t>平方千米，其他土地3</w:t>
            </w:r>
            <w:r>
              <w:rPr>
                <w:rFonts w:ascii="仿宋_GB2312" w:hAnsi="仿宋_GB2312" w:cs="仿宋_GB2312"/>
                <w:szCs w:val="24"/>
              </w:rPr>
              <w:t>07.26</w:t>
            </w:r>
            <w:r>
              <w:rPr>
                <w:rFonts w:ascii="仿宋_GB2312" w:hAnsi="仿宋_GB2312" w:cs="仿宋_GB2312" w:hint="eastAsia"/>
                <w:szCs w:val="24"/>
              </w:rPr>
              <w:t>平方千</w:t>
            </w:r>
            <w:r>
              <w:rPr>
                <w:rFonts w:hint="eastAsia"/>
              </w:rPr>
              <w:t>米。</w:t>
            </w:r>
          </w:p>
          <w:p w14:paraId="431FFAE5" w14:textId="77777777" w:rsidR="00280812" w:rsidRDefault="00000000">
            <w:pPr>
              <w:pStyle w:val="af7"/>
              <w:ind w:firstLine="480"/>
              <w:rPr>
                <w:rFonts w:hint="eastAsia"/>
              </w:rPr>
            </w:pPr>
            <w:r>
              <w:rPr>
                <w:rStyle w:val="afc"/>
                <w:rFonts w:hint="eastAsia"/>
              </w:rPr>
              <w:t>水资源。</w:t>
            </w:r>
            <w:r>
              <w:rPr>
                <w:rFonts w:hint="eastAsia"/>
              </w:rPr>
              <w:t>黄河由铁盖乡流入共和县</w:t>
            </w:r>
            <w:r>
              <w:rPr>
                <w:rFonts w:ascii="仿宋_GB2312" w:hAnsi="仿宋_GB2312" w:cs="仿宋_GB2312" w:hint="eastAsia"/>
                <w:szCs w:val="24"/>
              </w:rPr>
              <w:t>境内，经拉干峡、铁盖、</w:t>
            </w:r>
            <w:proofErr w:type="gramStart"/>
            <w:r>
              <w:rPr>
                <w:rFonts w:ascii="仿宋_GB2312" w:hAnsi="仿宋_GB2312" w:cs="仿宋_GB2312" w:hint="eastAsia"/>
                <w:szCs w:val="24"/>
              </w:rPr>
              <w:t>吾雷和曲沟</w:t>
            </w:r>
            <w:proofErr w:type="gramEnd"/>
            <w:r>
              <w:rPr>
                <w:rFonts w:ascii="仿宋_GB2312" w:hAnsi="仿宋_GB2312" w:cs="仿宋_GB2312" w:hint="eastAsia"/>
                <w:szCs w:val="24"/>
              </w:rPr>
              <w:t>河谷，从龙羊峡流入贵德县，共和县内流程90公里、流域面积2627.57平方千米。主要支流恰卜恰河，另有30余处小泉、沿河沟谷的雨水注入黄河。河床最宽处7000米，峡谷最窄处40米。每年12月结冰，次年3月</w:t>
            </w:r>
            <w:r>
              <w:rPr>
                <w:rFonts w:hint="eastAsia"/>
              </w:rPr>
              <w:t>解冻。</w:t>
            </w:r>
          </w:p>
          <w:p w14:paraId="658E3CA9" w14:textId="77777777" w:rsidR="00280812" w:rsidRDefault="00000000">
            <w:pPr>
              <w:pStyle w:val="af7"/>
              <w:ind w:firstLine="480"/>
              <w:rPr>
                <w:rFonts w:ascii="仿宋_GB2312" w:hAnsi="仿宋_GB2312" w:cs="仿宋_GB2312" w:hint="eastAsia"/>
                <w:szCs w:val="24"/>
              </w:rPr>
            </w:pPr>
            <w:r>
              <w:rPr>
                <w:rFonts w:ascii="楷体_GB2312" w:eastAsia="楷体_GB2312" w:hAnsi="仿宋_GB2312" w:cs="Times New Roman" w:hint="eastAsia"/>
                <w:szCs w:val="24"/>
              </w:rPr>
              <w:t>清洁能源。</w:t>
            </w:r>
            <w:r>
              <w:rPr>
                <w:rFonts w:ascii="仿宋_GB2312" w:hAnsi="仿宋_GB2312" w:cs="仿宋_GB2312" w:hint="eastAsia"/>
                <w:szCs w:val="24"/>
              </w:rPr>
              <w:t>海拔高，光照充足，蕴藏着极为丰富的光能资源。据测定，共和县各地日照百分率高达61%—69%，太阳辐射很强，年平均太阳辐射量为6564.26兆焦耳/平方米，年平均日照时数2097.8小时；风能可用时间频率在60%以上，全年时数超过5000小时，是青海省可用光能的主要地区之一。</w:t>
            </w:r>
          </w:p>
          <w:p w14:paraId="79EA3918" w14:textId="77777777" w:rsidR="00280812" w:rsidRDefault="00000000">
            <w:pPr>
              <w:pStyle w:val="af7"/>
              <w:ind w:firstLine="480"/>
              <w:rPr>
                <w:rFonts w:ascii="仿宋_GB2312" w:hAnsi="仿宋_GB2312" w:cs="Times New Roman" w:hint="eastAsia"/>
                <w:szCs w:val="24"/>
              </w:rPr>
            </w:pPr>
            <w:r>
              <w:rPr>
                <w:rFonts w:ascii="楷体_GB2312" w:eastAsia="楷体_GB2312" w:hAnsi="仿宋_GB2312" w:cs="Times New Roman" w:hint="eastAsia"/>
                <w:szCs w:val="24"/>
              </w:rPr>
              <w:t>野生动植物资源。</w:t>
            </w:r>
            <w:r>
              <w:rPr>
                <w:rFonts w:ascii="仿宋_GB2312" w:hAnsi="仿宋_GB2312" w:cs="Times New Roman" w:hint="eastAsia"/>
                <w:szCs w:val="24"/>
              </w:rPr>
              <w:t>共和县境内野生动植物资源丰富，其中列入国家一类保护的有雪豹、白唇鹿、普氏原</w:t>
            </w:r>
            <w:proofErr w:type="gramStart"/>
            <w:r>
              <w:rPr>
                <w:rFonts w:ascii="仿宋_GB2312" w:hAnsi="仿宋_GB2312" w:cs="Times New Roman" w:hint="eastAsia"/>
                <w:szCs w:val="24"/>
              </w:rPr>
              <w:t>羚</w:t>
            </w:r>
            <w:proofErr w:type="gramEnd"/>
            <w:r>
              <w:rPr>
                <w:rFonts w:ascii="仿宋_GB2312" w:hAnsi="仿宋_GB2312" w:cs="Times New Roman" w:hint="eastAsia"/>
                <w:szCs w:val="24"/>
              </w:rPr>
              <w:t>、野驴、黑颈鹤、金雕、黑鹳等7种；列入国家二类保护的有豺、石貂、</w:t>
            </w:r>
            <w:proofErr w:type="gramStart"/>
            <w:r>
              <w:rPr>
                <w:rFonts w:ascii="仿宋_GB2312" w:hAnsi="仿宋_GB2312" w:cs="Times New Roman" w:hint="eastAsia"/>
                <w:szCs w:val="24"/>
              </w:rPr>
              <w:t>麝</w:t>
            </w:r>
            <w:proofErr w:type="gramEnd"/>
            <w:r>
              <w:rPr>
                <w:rFonts w:ascii="仿宋_GB2312" w:hAnsi="仿宋_GB2312" w:cs="Times New Roman" w:hint="eastAsia"/>
                <w:szCs w:val="24"/>
              </w:rPr>
              <w:t>、水獭、荒漠猫、兔</w:t>
            </w:r>
            <w:proofErr w:type="gramStart"/>
            <w:r>
              <w:rPr>
                <w:rFonts w:ascii="仿宋_GB2312" w:hAnsi="仿宋_GB2312" w:cs="Times New Roman" w:hint="eastAsia"/>
                <w:szCs w:val="24"/>
              </w:rPr>
              <w:t>狲</w:t>
            </w:r>
            <w:proofErr w:type="gramEnd"/>
            <w:r>
              <w:rPr>
                <w:rFonts w:ascii="仿宋_GB2312" w:hAnsi="仿宋_GB2312" w:cs="Times New Roman" w:hint="eastAsia"/>
                <w:szCs w:val="24"/>
              </w:rPr>
              <w:t>、马鹿、黄羊、岩羊、藏雪鸡、蓝马鸡、棕熊、盘羊、大天鹅等；列入全省重点保护的有赤狐、艾虎、</w:t>
            </w:r>
            <w:proofErr w:type="gramStart"/>
            <w:r>
              <w:rPr>
                <w:rFonts w:ascii="仿宋_GB2312" w:hAnsi="仿宋_GB2312" w:cs="Times New Roman" w:hint="eastAsia"/>
                <w:szCs w:val="24"/>
              </w:rPr>
              <w:t>赤</w:t>
            </w:r>
            <w:proofErr w:type="gramEnd"/>
            <w:r>
              <w:rPr>
                <w:rFonts w:ascii="仿宋_GB2312" w:hAnsi="仿宋_GB2312" w:cs="Times New Roman" w:hint="eastAsia"/>
                <w:szCs w:val="24"/>
              </w:rPr>
              <w:t>麻鸭、毛腿沙鸡、</w:t>
            </w:r>
            <w:proofErr w:type="gramStart"/>
            <w:r>
              <w:rPr>
                <w:rFonts w:ascii="仿宋_GB2312" w:hAnsi="仿宋_GB2312" w:cs="Times New Roman" w:hint="eastAsia"/>
                <w:szCs w:val="24"/>
              </w:rPr>
              <w:t>棕头鸡等</w:t>
            </w:r>
            <w:proofErr w:type="gramEnd"/>
            <w:r>
              <w:rPr>
                <w:rFonts w:ascii="仿宋_GB2312" w:hAnsi="仿宋_GB2312" w:cs="Times New Roman" w:hint="eastAsia"/>
                <w:szCs w:val="24"/>
              </w:rPr>
              <w:t>。草药主要品种有冬虫夏草、甘草、唐古特大黄、达乌里龙胆、雪莲、麻黄、贝母、列当、羌活等200余种。</w:t>
            </w:r>
          </w:p>
        </w:tc>
      </w:tr>
    </w:tbl>
    <w:p w14:paraId="126FD7B3" w14:textId="77777777" w:rsidR="00280812" w:rsidRDefault="00000000">
      <w:pPr>
        <w:pStyle w:val="2"/>
        <w:ind w:left="0" w:firstLine="0"/>
        <w:rPr>
          <w:lang w:val="zh-CN"/>
        </w:rPr>
      </w:pPr>
      <w:bookmarkStart w:id="15" w:name="_Toc209177556"/>
      <w:r>
        <w:rPr>
          <w:rFonts w:hint="eastAsia"/>
          <w:lang w:val="zh-CN"/>
        </w:rPr>
        <w:t>现状与问题</w:t>
      </w:r>
      <w:bookmarkEnd w:id="15"/>
    </w:p>
    <w:p w14:paraId="67B2A46C" w14:textId="77777777" w:rsidR="00280812" w:rsidRDefault="00000000">
      <w:pPr>
        <w:pStyle w:val="a0"/>
        <w:ind w:left="0" w:firstLineChars="200" w:firstLine="640"/>
      </w:pPr>
      <w:r>
        <w:rPr>
          <w:rFonts w:hint="eastAsia"/>
        </w:rPr>
        <w:t>现状成效</w:t>
      </w:r>
    </w:p>
    <w:p w14:paraId="0B648989" w14:textId="77777777" w:rsidR="00280812" w:rsidRDefault="00000000">
      <w:pPr>
        <w:pStyle w:val="a7"/>
        <w:ind w:firstLine="640"/>
      </w:pPr>
      <w:r>
        <w:rPr>
          <w:rFonts w:ascii="楷体_GB2312" w:eastAsia="楷体_GB2312" w:hAnsi="楷体_GB2312" w:cs="楷体_GB2312" w:hint="eastAsia"/>
          <w:szCs w:val="32"/>
        </w:rPr>
        <w:t>生态环境质量持续改善。</w:t>
      </w:r>
      <w:r>
        <w:rPr>
          <w:rFonts w:hint="eastAsia"/>
        </w:rPr>
        <w:t>积极</w:t>
      </w:r>
      <w:r>
        <w:t>开展营造防风林、</w:t>
      </w:r>
      <w:proofErr w:type="gramStart"/>
      <w:r>
        <w:t>退牧还草</w:t>
      </w:r>
      <w:proofErr w:type="gramEnd"/>
      <w:r>
        <w:t>等一系列生态治理项目，塔拉滩封禁保护</w:t>
      </w:r>
      <w:r>
        <w:rPr>
          <w:rFonts w:hint="eastAsia"/>
        </w:rPr>
        <w:t>工程取得积极进展，光伏</w:t>
      </w:r>
      <w:proofErr w:type="gramStart"/>
      <w:r>
        <w:rPr>
          <w:rFonts w:hint="eastAsia"/>
        </w:rPr>
        <w:t>治沙成效</w:t>
      </w:r>
      <w:proofErr w:type="gramEnd"/>
      <w:r>
        <w:rPr>
          <w:rFonts w:hint="eastAsia"/>
        </w:rPr>
        <w:t>显著，塔拉滩“沙漠生态绿洲”初</w:t>
      </w:r>
      <w:r>
        <w:rPr>
          <w:rFonts w:hint="eastAsia"/>
        </w:rPr>
        <w:lastRenderedPageBreak/>
        <w:t>具雏形，初步探索出“</w:t>
      </w:r>
      <w:r>
        <w:t>牧光互补</w:t>
      </w:r>
      <w:r>
        <w:rPr>
          <w:rFonts w:hint="eastAsia"/>
        </w:rPr>
        <w:t>”可持续发展路径，生态系统保护和修复工程取得积极成效。</w:t>
      </w:r>
    </w:p>
    <w:p w14:paraId="60AEE8B9" w14:textId="77777777" w:rsidR="00280812" w:rsidRDefault="00000000">
      <w:pPr>
        <w:pStyle w:val="a7"/>
        <w:ind w:firstLine="640"/>
      </w:pPr>
      <w:r>
        <w:rPr>
          <w:rFonts w:ascii="楷体_GB2312" w:eastAsia="楷体_GB2312" w:hAnsi="楷体_GB2312" w:cs="楷体_GB2312" w:hint="eastAsia"/>
          <w:szCs w:val="32"/>
        </w:rPr>
        <w:t>耕地和永久基本农田得到有效保护。</w:t>
      </w:r>
      <w:r>
        <w:rPr>
          <w:rFonts w:hint="eastAsia"/>
        </w:rPr>
        <w:t>全乡耕地面积</w:t>
      </w:r>
      <w:r>
        <w:t>1.19</w:t>
      </w:r>
      <w:r>
        <w:rPr>
          <w:rFonts w:hint="eastAsia"/>
        </w:rPr>
        <w:t>万亩，超上轮规划目标0</w:t>
      </w:r>
      <w:r>
        <w:t>.11</w:t>
      </w:r>
      <w:r>
        <w:rPr>
          <w:rFonts w:hint="eastAsia"/>
        </w:rPr>
        <w:t>万亩；划定永久基本农田1</w:t>
      </w:r>
      <w:r>
        <w:t>.07</w:t>
      </w:r>
      <w:r>
        <w:rPr>
          <w:rFonts w:hint="eastAsia"/>
        </w:rPr>
        <w:t>万亩，超上轮规划目标</w:t>
      </w:r>
      <w:r>
        <w:t>0.09</w:t>
      </w:r>
      <w:r>
        <w:rPr>
          <w:rFonts w:hint="eastAsia"/>
        </w:rPr>
        <w:t>万亩，耕地得到有效保护。全乡积极推进高标准农田建设，提高耕地利用等别，切实维护粮食安全。</w:t>
      </w:r>
    </w:p>
    <w:p w14:paraId="261C94C7" w14:textId="77777777" w:rsidR="00280812" w:rsidRDefault="00000000">
      <w:pPr>
        <w:pStyle w:val="a7"/>
        <w:ind w:firstLine="640"/>
      </w:pPr>
      <w:r>
        <w:rPr>
          <w:rFonts w:ascii="楷体_GB2312" w:eastAsia="楷体_GB2312" w:hAnsi="楷体_GB2312" w:cs="楷体_GB2312" w:hint="eastAsia"/>
          <w:szCs w:val="32"/>
        </w:rPr>
        <w:t>国土空间发展格局基本形成。</w:t>
      </w:r>
      <w:r>
        <w:rPr>
          <w:rFonts w:hint="eastAsia"/>
        </w:rPr>
        <w:t>高原美丽乡村建设成效明显，合理安排用地布局，提高土地使用效率，切实改善农牧区人居环境。立足铁盖乡自然景观、人文资源和农牧业发展优势，以现代种植业、光伏畜牧业和生态旅游业为主的绿色产业体系基本形成，推动农业农村现代化发展。</w:t>
      </w:r>
    </w:p>
    <w:p w14:paraId="3345DF7B" w14:textId="77777777" w:rsidR="00280812" w:rsidRDefault="00000000">
      <w:pPr>
        <w:pStyle w:val="a0"/>
        <w:ind w:left="0" w:firstLineChars="200" w:firstLine="640"/>
      </w:pPr>
      <w:r>
        <w:rPr>
          <w:rFonts w:hint="eastAsia"/>
        </w:rPr>
        <w:t>主要问题</w:t>
      </w:r>
    </w:p>
    <w:p w14:paraId="686D8C50" w14:textId="77777777" w:rsidR="00280812" w:rsidRDefault="00000000">
      <w:pPr>
        <w:pStyle w:val="a7"/>
        <w:ind w:firstLine="640"/>
      </w:pPr>
      <w:bookmarkStart w:id="16" w:name="_Hlk163648870"/>
      <w:r>
        <w:rPr>
          <w:rFonts w:ascii="楷体_GB2312" w:eastAsia="楷体_GB2312" w:hAnsi="楷体_GB2312" w:cs="楷体_GB2312" w:hint="eastAsia"/>
        </w:rPr>
        <w:t>经济发展活力不足。</w:t>
      </w:r>
      <w:proofErr w:type="gramStart"/>
      <w:r>
        <w:rPr>
          <w:rFonts w:hint="eastAsia"/>
        </w:rPr>
        <w:t>乡域经济</w:t>
      </w:r>
      <w:proofErr w:type="gramEnd"/>
      <w:r>
        <w:rPr>
          <w:rFonts w:hint="eastAsia"/>
        </w:rPr>
        <w:t>结构虽趋于多元化发展，但部分产业尚未形成规模，基础设施建设项目落地难、投入少、建设薄弱、覆盖面不够，产业发展空间不足、综合配套待加强，自身“造血”功能不足。</w:t>
      </w:r>
    </w:p>
    <w:p w14:paraId="4DACD392" w14:textId="77777777" w:rsidR="00280812" w:rsidRDefault="00000000">
      <w:pPr>
        <w:pStyle w:val="a7"/>
        <w:ind w:firstLine="640"/>
      </w:pPr>
      <w:r>
        <w:rPr>
          <w:rFonts w:ascii="楷体_GB2312" w:eastAsia="楷体_GB2312" w:hAnsi="楷体_GB2312" w:cs="楷体_GB2312" w:hint="eastAsia"/>
        </w:rPr>
        <w:t>生态本底脆弱，保护难度大。</w:t>
      </w:r>
      <w:r>
        <w:rPr>
          <w:rFonts w:hint="eastAsia"/>
        </w:rPr>
        <w:t>铁盖乡位于共和盆地生态修复与治理重点区，是黄河沿岸生态脆弱区，同时</w:t>
      </w:r>
      <w:proofErr w:type="gramStart"/>
      <w:r>
        <w:rPr>
          <w:rFonts w:hint="eastAsia"/>
        </w:rPr>
        <w:t>铁盖乡沿黄</w:t>
      </w:r>
      <w:proofErr w:type="gramEnd"/>
      <w:r>
        <w:rPr>
          <w:rFonts w:hint="eastAsia"/>
        </w:rPr>
        <w:t>区属于地质灾害高易发区，草场退化严重、植被覆盖度低、水土流失严重等生态环境问题以及自然灾害风险带来的挑战，成为铁盖乡生态环境保护和可持续发展的难点重点。</w:t>
      </w:r>
    </w:p>
    <w:p w14:paraId="7A3D6133" w14:textId="77777777" w:rsidR="00280812" w:rsidRDefault="00000000">
      <w:pPr>
        <w:pStyle w:val="a7"/>
        <w:ind w:firstLine="640"/>
        <w:rPr>
          <w:rFonts w:ascii="楷体_GB2312" w:eastAsia="楷体_GB2312" w:hAnsi="楷体_GB2312" w:cs="楷体_GB2312" w:hint="eastAsia"/>
        </w:rPr>
      </w:pPr>
      <w:r>
        <w:rPr>
          <w:rFonts w:ascii="楷体_GB2312" w:eastAsia="楷体_GB2312" w:hAnsi="楷体_GB2312" w:cs="楷体_GB2312" w:hint="eastAsia"/>
        </w:rPr>
        <w:lastRenderedPageBreak/>
        <w:t>耕地质量整体不高，利用难度大。</w:t>
      </w:r>
      <w:r>
        <w:rPr>
          <w:rFonts w:hint="eastAsia"/>
        </w:rPr>
        <w:t>铁盖乡受地理条件制约，荒漠草原较多，耕地等</w:t>
      </w:r>
      <w:proofErr w:type="gramStart"/>
      <w:r>
        <w:rPr>
          <w:rFonts w:hint="eastAsia"/>
        </w:rPr>
        <w:t>别质量</w:t>
      </w:r>
      <w:proofErr w:type="gramEnd"/>
      <w:r>
        <w:rPr>
          <w:rFonts w:hint="eastAsia"/>
        </w:rPr>
        <w:t>整体不高，耕地后备资源开发利用潜力有限。根据共和县</w:t>
      </w:r>
      <w:proofErr w:type="gramStart"/>
      <w:r>
        <w:rPr>
          <w:rFonts w:hint="eastAsia"/>
        </w:rPr>
        <w:t>双评价</w:t>
      </w:r>
      <w:proofErr w:type="gramEnd"/>
      <w:r>
        <w:rPr>
          <w:rFonts w:hint="eastAsia"/>
        </w:rPr>
        <w:t>分析，农业开发适宜性较高的区域与城镇建设适宜性较高区域在空间上高度重叠，耕地保护与城镇建设发展之间存在矛盾。</w:t>
      </w:r>
    </w:p>
    <w:p w14:paraId="1FC6E794" w14:textId="77777777" w:rsidR="00280812" w:rsidRDefault="00000000">
      <w:pPr>
        <w:pStyle w:val="a7"/>
        <w:ind w:firstLine="640"/>
      </w:pPr>
      <w:r>
        <w:rPr>
          <w:rFonts w:ascii="楷体_GB2312" w:eastAsia="楷体_GB2312" w:hAnsi="楷体_GB2312" w:cs="楷体_GB2312" w:hint="eastAsia"/>
        </w:rPr>
        <w:t>重大设施支撑能力不强，人居环境有待提升。</w:t>
      </w:r>
      <w:r>
        <w:rPr>
          <w:rFonts w:hint="eastAsia"/>
        </w:rPr>
        <w:t>铁盖乡公共服务设施配套基本健全，但质量有待提高。高等级交通方式缺乏，通村道路等级低；部分村庄无集中污水处理设施，环卫设施覆盖不全，整体人居环境有待提升。</w:t>
      </w:r>
    </w:p>
    <w:p w14:paraId="03B44B25" w14:textId="77777777" w:rsidR="00280812" w:rsidRDefault="00000000">
      <w:pPr>
        <w:pStyle w:val="2"/>
        <w:ind w:left="0" w:firstLine="0"/>
        <w:rPr>
          <w:lang w:val="zh-CN"/>
        </w:rPr>
      </w:pPr>
      <w:bookmarkStart w:id="17" w:name="_Toc209177557"/>
      <w:bookmarkEnd w:id="16"/>
      <w:r>
        <w:rPr>
          <w:rFonts w:hint="eastAsia"/>
          <w:lang w:val="zh-CN"/>
        </w:rPr>
        <w:t>发展机遇</w:t>
      </w:r>
      <w:bookmarkEnd w:id="17"/>
    </w:p>
    <w:p w14:paraId="36B37E4B" w14:textId="77777777" w:rsidR="00280812" w:rsidRDefault="00000000">
      <w:pPr>
        <w:pStyle w:val="a0"/>
        <w:ind w:left="0" w:firstLineChars="200" w:firstLine="640"/>
      </w:pPr>
      <w:r>
        <w:rPr>
          <w:rFonts w:hint="eastAsia"/>
        </w:rPr>
        <w:t>国土空间开发保护机遇</w:t>
      </w:r>
    </w:p>
    <w:p w14:paraId="41F08AF5" w14:textId="77777777" w:rsidR="00280812" w:rsidRDefault="00000000">
      <w:pPr>
        <w:pStyle w:val="a7"/>
        <w:ind w:firstLine="640"/>
      </w:pPr>
      <w:r>
        <w:rPr>
          <w:rFonts w:ascii="楷体_GB2312" w:eastAsia="楷体_GB2312" w:hAnsi="楷体_GB2312" w:cs="楷体_GB2312" w:hint="eastAsia"/>
        </w:rPr>
        <w:t>生态文明建设新时代新要求带来的新机遇。</w:t>
      </w:r>
      <w:r>
        <w:rPr>
          <w:rFonts w:hint="eastAsia"/>
        </w:rPr>
        <w:t>坚持“山水林田湖草沙冰”一体化保护和系统治理，立足铁盖</w:t>
      </w:r>
      <w:proofErr w:type="gramStart"/>
      <w:r>
        <w:rPr>
          <w:rFonts w:hint="eastAsia"/>
        </w:rPr>
        <w:t>乡资源</w:t>
      </w:r>
      <w:proofErr w:type="gramEnd"/>
      <w:r>
        <w:rPr>
          <w:rFonts w:hint="eastAsia"/>
        </w:rPr>
        <w:t>禀赋，探索推进光伏治沙、养殖以及工业旅游等相关产业，探索“光伏+生态+畜牧业+旅游”发展模式，绿色、低碳、循环发展的新路子，打造清洁能源可持续利用示范样板。</w:t>
      </w:r>
    </w:p>
    <w:p w14:paraId="3BD99298" w14:textId="77777777" w:rsidR="00280812" w:rsidRDefault="00000000">
      <w:pPr>
        <w:pStyle w:val="a7"/>
        <w:ind w:firstLine="640"/>
      </w:pPr>
      <w:r>
        <w:rPr>
          <w:rFonts w:ascii="楷体_GB2312" w:eastAsia="楷体_GB2312" w:hAnsi="楷体_GB2312" w:cs="楷体_GB2312" w:hint="eastAsia"/>
        </w:rPr>
        <w:t>黄河流域生态保护和高质量发展战略带来的机遇。</w:t>
      </w:r>
      <w:r>
        <w:rPr>
          <w:rFonts w:hint="eastAsia"/>
        </w:rPr>
        <w:t>黄河流域生态保护和高质量发展是重大国家战略，是党和国家着眼中华民族伟大复兴、着眼经济社会发展大局、着眼黄河流域幸福安澜</w:t>
      </w:r>
      <w:proofErr w:type="gramStart"/>
      <w:r>
        <w:rPr>
          <w:rFonts w:hint="eastAsia"/>
        </w:rPr>
        <w:t>作出</w:t>
      </w:r>
      <w:proofErr w:type="gramEnd"/>
      <w:r>
        <w:rPr>
          <w:rFonts w:hint="eastAsia"/>
        </w:rPr>
        <w:t>的重大决策部署。铁盖乡地处泛共和盆地荒漠化治理区的沿黄片区，对提升流域生态系统功能稳定性作用重大。黄河流域生态保护和高质量发展战略</w:t>
      </w:r>
      <w:r>
        <w:rPr>
          <w:rFonts w:hint="eastAsia"/>
        </w:rPr>
        <w:lastRenderedPageBreak/>
        <w:t>的实施，将给铁盖发展带来重大机遇。</w:t>
      </w:r>
    </w:p>
    <w:p w14:paraId="01F275D0" w14:textId="77777777" w:rsidR="00280812" w:rsidRDefault="00000000">
      <w:pPr>
        <w:pStyle w:val="a7"/>
        <w:ind w:firstLine="640"/>
      </w:pPr>
      <w:r>
        <w:rPr>
          <w:rFonts w:ascii="楷体_GB2312" w:eastAsia="楷体_GB2312" w:hAnsi="楷体_GB2312" w:cs="楷体_GB2312" w:hint="eastAsia"/>
        </w:rPr>
        <w:t>国家深入实施乡村振兴战略带来新机遇。</w:t>
      </w:r>
      <w:r>
        <w:rPr>
          <w:rFonts w:hint="eastAsia"/>
        </w:rPr>
        <w:t>党的十九大提出实施乡村振兴战略，是以习近平同志为核心的党中央</w:t>
      </w:r>
      <w:proofErr w:type="gramStart"/>
      <w:r>
        <w:rPr>
          <w:rFonts w:hint="eastAsia"/>
        </w:rPr>
        <w:t>着眼党</w:t>
      </w:r>
      <w:proofErr w:type="gramEnd"/>
      <w:r>
        <w:rPr>
          <w:rFonts w:hint="eastAsia"/>
        </w:rPr>
        <w:t>和国家事业全局对“三农”工作</w:t>
      </w:r>
      <w:proofErr w:type="gramStart"/>
      <w:r>
        <w:rPr>
          <w:rFonts w:hint="eastAsia"/>
        </w:rPr>
        <w:t>作出</w:t>
      </w:r>
      <w:proofErr w:type="gramEnd"/>
      <w:r>
        <w:rPr>
          <w:rFonts w:hint="eastAsia"/>
        </w:rPr>
        <w:t>的重大决策部署，是决胜全面建成小康社会、全面建设社会主义现代化国家的重大历史任务。铁盖乡将按照产业兴旺、生态宜居、乡风文明、治理有效、生活富裕的总要求，加快乡村全面振兴步伐，加快农牧区农牧业发展、提升“三农”工作整体水平。</w:t>
      </w:r>
    </w:p>
    <w:p w14:paraId="3622D278" w14:textId="77777777" w:rsidR="00280812" w:rsidRDefault="00000000">
      <w:pPr>
        <w:pStyle w:val="a7"/>
        <w:ind w:firstLine="640"/>
      </w:pPr>
      <w:bookmarkStart w:id="18" w:name="_Hlk162619052"/>
      <w:r>
        <w:rPr>
          <w:rFonts w:ascii="楷体_GB2312" w:eastAsia="楷体_GB2312" w:hAnsi="楷体_GB2312" w:cs="楷体_GB2312" w:hint="eastAsia"/>
        </w:rPr>
        <w:t>部省共建高原美丽城镇</w:t>
      </w:r>
      <w:bookmarkEnd w:id="18"/>
      <w:r>
        <w:rPr>
          <w:rFonts w:ascii="楷体_GB2312" w:eastAsia="楷体_GB2312" w:hAnsi="楷体_GB2312" w:cs="楷体_GB2312" w:hint="eastAsia"/>
        </w:rPr>
        <w:t>为铁盖乡提供新机遇。</w:t>
      </w:r>
      <w:r>
        <w:t>为深入落实</w:t>
      </w:r>
      <w:r>
        <w:rPr>
          <w:rFonts w:hint="eastAsia"/>
        </w:rPr>
        <w:t>“</w:t>
      </w:r>
      <w:r>
        <w:t>美丽中国</w:t>
      </w:r>
      <w:r>
        <w:rPr>
          <w:rFonts w:hint="eastAsia"/>
        </w:rPr>
        <w:t>”</w:t>
      </w:r>
      <w:r>
        <w:t>战略</w:t>
      </w:r>
      <w:r>
        <w:rPr>
          <w:rFonts w:hint="eastAsia"/>
        </w:rPr>
        <w:t>，</w:t>
      </w:r>
      <w:r>
        <w:t>加快转变城镇发展方式</w:t>
      </w:r>
      <w:r>
        <w:rPr>
          <w:rFonts w:hint="eastAsia"/>
        </w:rPr>
        <w:t>，</w:t>
      </w:r>
      <w:r>
        <w:t>推动城镇提质增效</w:t>
      </w:r>
      <w:r>
        <w:rPr>
          <w:rFonts w:hint="eastAsia"/>
        </w:rPr>
        <w:t>，</w:t>
      </w:r>
      <w:r>
        <w:t>促进城乡统筹发展</w:t>
      </w:r>
      <w:r>
        <w:rPr>
          <w:rFonts w:hint="eastAsia"/>
        </w:rPr>
        <w:t>，铁盖乡作为恰卜恰镇—铁盖乡—龙羊峡镇城镇带上的节点，在生态环境共治共保、基础设施互联互通、公共服务设施共建共享、历史文化协同保护等方面迎来新的机遇，加强铁盖乡与龙羊峡景区一体化建设，实现景城布局协调、功能互补。</w:t>
      </w:r>
    </w:p>
    <w:p w14:paraId="640C2B93" w14:textId="77777777" w:rsidR="00280812" w:rsidRDefault="00000000">
      <w:pPr>
        <w:pStyle w:val="a7"/>
        <w:ind w:firstLine="640"/>
      </w:pPr>
      <w:r>
        <w:br w:type="page"/>
      </w:r>
    </w:p>
    <w:p w14:paraId="069BE1C8" w14:textId="77777777" w:rsidR="00280812" w:rsidRDefault="00000000">
      <w:pPr>
        <w:pStyle w:val="1"/>
        <w:ind w:left="0" w:firstLine="0"/>
      </w:pPr>
      <w:bookmarkStart w:id="19" w:name="_Toc209177558"/>
      <w:r>
        <w:rPr>
          <w:rFonts w:hint="eastAsia"/>
        </w:rPr>
        <w:lastRenderedPageBreak/>
        <w:t>总体定位与目标战略</w:t>
      </w:r>
      <w:bookmarkEnd w:id="19"/>
    </w:p>
    <w:p w14:paraId="11486794" w14:textId="77777777" w:rsidR="00280812" w:rsidRDefault="00000000">
      <w:pPr>
        <w:pStyle w:val="2"/>
        <w:numPr>
          <w:ilvl w:val="0"/>
          <w:numId w:val="5"/>
        </w:numPr>
        <w:rPr>
          <w:lang w:val="zh-CN"/>
        </w:rPr>
      </w:pPr>
      <w:bookmarkStart w:id="20" w:name="_Toc209177559"/>
      <w:r>
        <w:rPr>
          <w:rFonts w:hint="eastAsia"/>
          <w:lang w:val="zh-CN"/>
        </w:rPr>
        <w:t>指导思想</w:t>
      </w:r>
      <w:bookmarkEnd w:id="20"/>
    </w:p>
    <w:p w14:paraId="1D253744" w14:textId="77777777" w:rsidR="00280812" w:rsidRDefault="00000000">
      <w:pPr>
        <w:pStyle w:val="a0"/>
      </w:pPr>
      <w:r>
        <w:rPr>
          <w:rFonts w:hint="eastAsia"/>
        </w:rPr>
        <w:t>指导思想</w:t>
      </w:r>
    </w:p>
    <w:p w14:paraId="37C5EA45" w14:textId="77777777" w:rsidR="00280812" w:rsidRDefault="00000000">
      <w:pPr>
        <w:pStyle w:val="a7"/>
        <w:ind w:firstLine="640"/>
      </w:pPr>
      <w:r>
        <w:rPr>
          <w:rFonts w:hint="eastAsia"/>
        </w:rPr>
        <w:t>以习近平新时代中国特色社会主义思想为指导，全面贯彻落实党的二十大和二十届三中全会精神，深入</w:t>
      </w:r>
      <w:proofErr w:type="gramStart"/>
      <w:r>
        <w:rPr>
          <w:rFonts w:hint="eastAsia"/>
        </w:rPr>
        <w:t>践行</w:t>
      </w:r>
      <w:proofErr w:type="gramEnd"/>
      <w:r>
        <w:rPr>
          <w:rFonts w:hint="eastAsia"/>
        </w:rPr>
        <w:t>习近平生态文明思想，不折不扣落</w:t>
      </w:r>
      <w:proofErr w:type="gramStart"/>
      <w:r>
        <w:rPr>
          <w:rFonts w:hint="eastAsia"/>
        </w:rPr>
        <w:t>实习近</w:t>
      </w:r>
      <w:proofErr w:type="gramEnd"/>
      <w:r>
        <w:rPr>
          <w:rFonts w:hint="eastAsia"/>
        </w:rPr>
        <w:t>平总书记对青海工作的重大要求，立足“三个最大”省情定位和“三个更加重要”战略地位，完整准确全面贯彻新发展理念，加快融入新发展格局，着力推动高质量发展，坚持以人民为中心，锚定全县“123456”奋斗目标，围绕“农村基本具备现代生活条件”细化落实《共和县国土空间总体规划（2021—2035年）》，统筹高质量发展和高水平的安全，统筹划定落实耕地和永久基本农田、生态保护红线、城镇开发边界三条控制线，优化农业、生态、城镇等功能空间，整体谋划国土空间开发保护新格局，强化国土空间生态保护与修复，提高国土空间资源利用效率，为支撑</w:t>
      </w:r>
      <w:proofErr w:type="gramStart"/>
      <w:r>
        <w:rPr>
          <w:rFonts w:hint="eastAsia"/>
        </w:rPr>
        <w:t>铁盖乡更高质量</w:t>
      </w:r>
      <w:proofErr w:type="gramEnd"/>
      <w:r>
        <w:rPr>
          <w:rFonts w:hint="eastAsia"/>
        </w:rPr>
        <w:t>、更有效率、更加公平、更可持续、更为安全的发展，建设人与自然和谐共生的现代化筑牢根基。</w:t>
      </w:r>
    </w:p>
    <w:p w14:paraId="1396EBD5" w14:textId="77777777" w:rsidR="00280812" w:rsidRDefault="00000000">
      <w:pPr>
        <w:pStyle w:val="2"/>
        <w:numPr>
          <w:ilvl w:val="0"/>
          <w:numId w:val="5"/>
        </w:numPr>
        <w:rPr>
          <w:lang w:val="zh-CN"/>
        </w:rPr>
      </w:pPr>
      <w:bookmarkStart w:id="21" w:name="_Toc209177560"/>
      <w:r>
        <w:rPr>
          <w:rFonts w:hint="eastAsia"/>
          <w:lang w:val="zh-CN"/>
        </w:rPr>
        <w:t>总体定位</w:t>
      </w:r>
      <w:bookmarkEnd w:id="21"/>
    </w:p>
    <w:p w14:paraId="39B9659B" w14:textId="77777777" w:rsidR="00280812" w:rsidRDefault="00000000">
      <w:pPr>
        <w:pStyle w:val="a0"/>
        <w:ind w:left="0" w:firstLineChars="200" w:firstLine="640"/>
      </w:pPr>
      <w:r>
        <w:rPr>
          <w:rFonts w:hint="eastAsia"/>
        </w:rPr>
        <w:t>总体定位</w:t>
      </w:r>
    </w:p>
    <w:p w14:paraId="4F4492BE" w14:textId="77777777" w:rsidR="00280812" w:rsidRDefault="00000000">
      <w:pPr>
        <w:pStyle w:val="a7"/>
        <w:ind w:firstLine="640"/>
        <w:rPr>
          <w:rFonts w:hAnsi="仿宋_GB2312" w:cs="仿宋_GB2312" w:hint="eastAsia"/>
          <w:szCs w:val="32"/>
        </w:rPr>
      </w:pPr>
      <w:bookmarkStart w:id="22" w:name="_Hlk177562175"/>
      <w:r>
        <w:rPr>
          <w:rFonts w:ascii="楷体_GB2312" w:eastAsia="楷体_GB2312" w:hAnsi="楷体_GB2312" w:cs="楷体_GB2312" w:hint="eastAsia"/>
          <w:szCs w:val="32"/>
        </w:rPr>
        <w:t>沿黄生态旅游发展区。</w:t>
      </w:r>
      <w:r>
        <w:rPr>
          <w:rFonts w:hAnsi="仿宋_GB2312" w:cs="仿宋_GB2312" w:hint="eastAsia"/>
          <w:szCs w:val="32"/>
        </w:rPr>
        <w:t>落实沿黄地区高质量发展要求，铁盖乡作为共和县产业发展重点片区，充分发挥地理优势、资源环境优势，</w:t>
      </w:r>
      <w:r>
        <w:rPr>
          <w:rFonts w:hAnsi="仿宋_GB2312" w:cs="仿宋_GB2312"/>
          <w:szCs w:val="32"/>
        </w:rPr>
        <w:t>加强基础设施建设，提升公共服务水平，</w:t>
      </w:r>
      <w:r>
        <w:rPr>
          <w:rFonts w:hAnsi="仿宋_GB2312" w:cs="仿宋_GB2312" w:hint="eastAsia"/>
          <w:szCs w:val="32"/>
        </w:rPr>
        <w:lastRenderedPageBreak/>
        <w:t>优化旅游配套服务功能，推动龙羊峡铁盖休闲度假旅游区建设，全面助力</w:t>
      </w:r>
      <w:r>
        <w:rPr>
          <w:rFonts w:hAnsi="仿宋_GB2312" w:cs="仿宋_GB2312"/>
          <w:szCs w:val="32"/>
        </w:rPr>
        <w:t>共和县乡村振兴</w:t>
      </w:r>
      <w:r>
        <w:rPr>
          <w:rFonts w:hAnsi="仿宋_GB2312" w:cs="仿宋_GB2312" w:hint="eastAsia"/>
          <w:szCs w:val="32"/>
        </w:rPr>
        <w:t>发展</w:t>
      </w:r>
      <w:r>
        <w:rPr>
          <w:rFonts w:hAnsi="仿宋_GB2312" w:cs="仿宋_GB2312"/>
          <w:szCs w:val="32"/>
        </w:rPr>
        <w:t>。</w:t>
      </w:r>
    </w:p>
    <w:p w14:paraId="25D53271" w14:textId="77777777" w:rsidR="00280812" w:rsidRDefault="00000000">
      <w:pPr>
        <w:pStyle w:val="a7"/>
        <w:ind w:firstLine="640"/>
      </w:pPr>
      <w:r>
        <w:rPr>
          <w:rFonts w:ascii="楷体_GB2312" w:eastAsia="楷体_GB2312" w:hAnsi="楷体_GB2312" w:cs="楷体_GB2312" w:hint="eastAsia"/>
          <w:szCs w:val="32"/>
        </w:rPr>
        <w:t>共和县光伏发电示范小镇。</w:t>
      </w:r>
      <w:r>
        <w:rPr>
          <w:rFonts w:hint="eastAsia"/>
        </w:rPr>
        <w:t>充分利用光照资源和地理条件，持续推进</w:t>
      </w:r>
      <w:proofErr w:type="gramStart"/>
      <w:r>
        <w:rPr>
          <w:rFonts w:hint="eastAsia"/>
        </w:rPr>
        <w:t>铁盖乡光伏</w:t>
      </w:r>
      <w:proofErr w:type="gramEnd"/>
      <w:r>
        <w:rPr>
          <w:rFonts w:hint="eastAsia"/>
        </w:rPr>
        <w:t>规模化开发，</w:t>
      </w:r>
      <w:r>
        <w:t>通过推动光</w:t>
      </w:r>
      <w:proofErr w:type="gramStart"/>
      <w:r>
        <w:t>伏产业</w:t>
      </w:r>
      <w:proofErr w:type="gramEnd"/>
      <w:r>
        <w:t>与农业、旅游业等产业的融合发展，构建多元化、复合型的</w:t>
      </w:r>
      <w:r>
        <w:rPr>
          <w:rFonts w:hint="eastAsia"/>
        </w:rPr>
        <w:t>发展模式，助力共和县建成全国清洁能源生产基地</w:t>
      </w:r>
      <w:r>
        <w:t>。</w:t>
      </w:r>
    </w:p>
    <w:p w14:paraId="1A775FC7" w14:textId="77777777" w:rsidR="00280812" w:rsidRDefault="00000000">
      <w:pPr>
        <w:pStyle w:val="a7"/>
        <w:ind w:firstLine="640"/>
        <w:rPr>
          <w:rFonts w:ascii="楷体_GB2312" w:eastAsia="楷体_GB2312" w:hAnsi="楷体_GB2312" w:cs="楷体_GB2312" w:hint="eastAsia"/>
          <w:color w:val="FF0000"/>
          <w:szCs w:val="32"/>
        </w:rPr>
      </w:pPr>
      <w:r>
        <w:rPr>
          <w:rFonts w:ascii="楷体_GB2312" w:eastAsia="楷体_GB2312" w:hAnsi="楷体_GB2312" w:cs="楷体_GB2312" w:hint="eastAsia"/>
          <w:szCs w:val="32"/>
        </w:rPr>
        <w:t>现代循环农牧业生产示范基地。</w:t>
      </w:r>
      <w:r>
        <w:rPr>
          <w:rFonts w:hAnsi="仿宋_GB2312" w:cs="仿宋_GB2312" w:hint="eastAsia"/>
          <w:szCs w:val="32"/>
        </w:rPr>
        <w:t>立足产业发展基础</w:t>
      </w:r>
      <w:proofErr w:type="gramStart"/>
      <w:r>
        <w:rPr>
          <w:rFonts w:hAnsi="仿宋_GB2312" w:cs="仿宋_GB2312" w:hint="eastAsia"/>
          <w:szCs w:val="32"/>
        </w:rPr>
        <w:t>和乡域农牧业</w:t>
      </w:r>
      <w:proofErr w:type="gramEnd"/>
      <w:r>
        <w:rPr>
          <w:rFonts w:hAnsi="仿宋_GB2312" w:cs="仿宋_GB2312" w:hint="eastAsia"/>
          <w:szCs w:val="32"/>
        </w:rPr>
        <w:t>资源条件，调整优化农牧业产业结构，推动农牧业由增产转向提质，提高生产质量效益，打造现代循环农牧业生产示范基地。</w:t>
      </w:r>
    </w:p>
    <w:p w14:paraId="713A2705" w14:textId="77777777" w:rsidR="00280812" w:rsidRDefault="00000000">
      <w:pPr>
        <w:pStyle w:val="2"/>
        <w:numPr>
          <w:ilvl w:val="0"/>
          <w:numId w:val="5"/>
        </w:numPr>
        <w:rPr>
          <w:lang w:val="zh-CN"/>
        </w:rPr>
      </w:pPr>
      <w:bookmarkStart w:id="23" w:name="_Toc209177561"/>
      <w:bookmarkEnd w:id="22"/>
      <w:r>
        <w:rPr>
          <w:rFonts w:hint="eastAsia"/>
          <w:lang w:val="zh-CN"/>
        </w:rPr>
        <w:t>开发保护目标与战略</w:t>
      </w:r>
      <w:bookmarkEnd w:id="23"/>
    </w:p>
    <w:p w14:paraId="5EF7CCE5" w14:textId="77777777" w:rsidR="00280812" w:rsidRDefault="00000000">
      <w:pPr>
        <w:pStyle w:val="a0"/>
        <w:ind w:left="0" w:firstLineChars="200" w:firstLine="640"/>
      </w:pPr>
      <w:r>
        <w:rPr>
          <w:rFonts w:hint="eastAsia"/>
        </w:rPr>
        <w:t>国土空间开发保护目标</w:t>
      </w:r>
    </w:p>
    <w:p w14:paraId="637C648D" w14:textId="77777777" w:rsidR="00280812" w:rsidRDefault="00000000">
      <w:pPr>
        <w:pStyle w:val="a7"/>
        <w:ind w:firstLine="640"/>
      </w:pPr>
      <w:r>
        <w:rPr>
          <w:rFonts w:hint="eastAsia"/>
        </w:rPr>
        <w:t>2035年，围绕二</w:t>
      </w:r>
      <w:r>
        <w:rPr>
          <w:rFonts w:ascii="微软雅黑" w:eastAsia="微软雅黑" w:hAnsi="微软雅黑" w:cs="微软雅黑" w:hint="eastAsia"/>
        </w:rPr>
        <w:t>〇</w:t>
      </w:r>
      <w:r>
        <w:rPr>
          <w:rFonts w:hAnsi="仿宋_GB2312" w:cs="仿宋_GB2312" w:hint="eastAsia"/>
        </w:rPr>
        <w:t>三五年社会经济发展远景目标，强化空间保护与发展支撑，充分保障社会经济发展总体目标实现的空间基础，全面落实生态文明建设和高质量发展的要求。</w:t>
      </w:r>
      <w:r>
        <w:t>通过优化城乡空间布局、加强城乡基础设施建设、促进城乡产业协同发展等措施，</w:t>
      </w:r>
      <w:r>
        <w:rPr>
          <w:rFonts w:hint="eastAsia"/>
        </w:rPr>
        <w:t>科学配置国土空间资源，强化国土空间底线管控，提升资源利用效率，加强全域全要素用途管制与自然资源统一管理，提升城乡空间品质，推进国土空间治理现代化，全面实施国土空间监测预警和绩效考核机制，形成以国土空间规划为基础，以统一用途管制为手段的国土空间开发保护制度。</w:t>
      </w:r>
    </w:p>
    <w:p w14:paraId="3C21E44A" w14:textId="77777777" w:rsidR="00280812" w:rsidRDefault="00000000">
      <w:pPr>
        <w:pStyle w:val="a7"/>
        <w:ind w:firstLine="640"/>
      </w:pPr>
      <w:bookmarkStart w:id="24" w:name="_Hlk163649487"/>
      <w:r>
        <w:rPr>
          <w:rFonts w:ascii="楷体_GB2312" w:eastAsia="楷体_GB2312" w:hAnsi="楷体_GB2312" w:cs="楷体_GB2312" w:hint="eastAsia"/>
        </w:rPr>
        <w:t>国土空间综合承载能力全面增强。</w:t>
      </w:r>
      <w:r>
        <w:rPr>
          <w:rFonts w:hint="eastAsia"/>
        </w:rPr>
        <w:t>生态系统功能和稳</w:t>
      </w:r>
      <w:r>
        <w:rPr>
          <w:rFonts w:hint="eastAsia"/>
        </w:rPr>
        <w:lastRenderedPageBreak/>
        <w:t>定性明显增强；耕地可持续生产能力稳步提高，特色化农业发展格局得到凸显；城乡安全保障能力显著提升，高效韧性的基础设施网络基本建成，实现人与自然和谐共生。</w:t>
      </w:r>
    </w:p>
    <w:p w14:paraId="7B3FC325" w14:textId="77777777" w:rsidR="00280812" w:rsidRDefault="00000000">
      <w:pPr>
        <w:pStyle w:val="a7"/>
        <w:ind w:firstLine="640"/>
      </w:pPr>
      <w:r>
        <w:rPr>
          <w:rFonts w:ascii="楷体_GB2312" w:eastAsia="楷体_GB2312" w:hAnsi="楷体_GB2312" w:cs="楷体_GB2312" w:hint="eastAsia"/>
        </w:rPr>
        <w:t>国土空间保护水平大幅提高。</w:t>
      </w:r>
      <w:r>
        <w:rPr>
          <w:rFonts w:hint="eastAsia"/>
        </w:rPr>
        <w:t>坚决遏制耕地“非农化”、永久基本农田“非粮化”，严控建设用地占用耕地，切实落实耕地占补平衡。沿</w:t>
      </w:r>
      <w:proofErr w:type="gramStart"/>
      <w:r>
        <w:rPr>
          <w:rFonts w:hint="eastAsia"/>
        </w:rPr>
        <w:t>黄区域</w:t>
      </w:r>
      <w:proofErr w:type="gramEnd"/>
      <w:r>
        <w:rPr>
          <w:rFonts w:hint="eastAsia"/>
        </w:rPr>
        <w:t>生态系统得到全面保护，塔拉滩生态脆弱和退化严重区域得到有效治理，生态环境质量持续优化，山水林田湖草沙</w:t>
      </w:r>
      <w:proofErr w:type="gramStart"/>
      <w:r>
        <w:rPr>
          <w:rFonts w:hint="eastAsia"/>
        </w:rPr>
        <w:t>冰治理</w:t>
      </w:r>
      <w:proofErr w:type="gramEnd"/>
      <w:r>
        <w:rPr>
          <w:rFonts w:hint="eastAsia"/>
        </w:rPr>
        <w:t>系统推进。</w:t>
      </w:r>
    </w:p>
    <w:p w14:paraId="582E6198" w14:textId="77777777" w:rsidR="00280812" w:rsidRDefault="00000000">
      <w:pPr>
        <w:pStyle w:val="a7"/>
        <w:ind w:firstLine="640"/>
        <w:rPr>
          <w:rFonts w:ascii="楷体_GB2312" w:eastAsia="楷体_GB2312" w:hAnsi="楷体_GB2312" w:cs="楷体_GB2312" w:hint="eastAsia"/>
        </w:rPr>
      </w:pPr>
      <w:r>
        <w:rPr>
          <w:rFonts w:ascii="楷体_GB2312" w:eastAsia="楷体_GB2312" w:hAnsi="楷体_GB2312" w:cs="楷体_GB2312" w:hint="eastAsia"/>
        </w:rPr>
        <w:t>国土空间总体格局显著优化，开发利用水平明显提高。</w:t>
      </w:r>
      <w:proofErr w:type="gramStart"/>
      <w:r>
        <w:rPr>
          <w:rFonts w:hint="eastAsia"/>
        </w:rPr>
        <w:t>乡域功能</w:t>
      </w:r>
      <w:proofErr w:type="gramEnd"/>
      <w:r>
        <w:rPr>
          <w:rFonts w:hint="eastAsia"/>
        </w:rPr>
        <w:t>结构持续完善，生态、生产、生活空间安排更加均衡，居住用地规模稳步提升，公共服务用地保障有力，产业用地规模保持合理水平。新增建设用地供给更加精准，低效用地全面盘活。</w:t>
      </w:r>
    </w:p>
    <w:p w14:paraId="0662E781" w14:textId="77777777" w:rsidR="00280812" w:rsidRDefault="00000000">
      <w:pPr>
        <w:pStyle w:val="a7"/>
        <w:ind w:firstLine="640"/>
      </w:pPr>
      <w:r>
        <w:rPr>
          <w:rFonts w:ascii="楷体_GB2312" w:eastAsia="楷体_GB2312" w:hAnsi="楷体_GB2312" w:cs="楷体_GB2312" w:hint="eastAsia"/>
        </w:rPr>
        <w:t>城乡人居环境品质再上新台阶。</w:t>
      </w:r>
      <w:r>
        <w:rPr>
          <w:rFonts w:hint="eastAsia"/>
        </w:rPr>
        <w:t>集镇综合服务能力持续提升，城乡基本公共服务实现均等化、普惠化、品质化，高原美丽乡村建设取得重大进展，乡村振兴战略取得实质性进展。</w:t>
      </w:r>
    </w:p>
    <w:p w14:paraId="62E52246" w14:textId="77777777" w:rsidR="00280812" w:rsidRDefault="00000000">
      <w:pPr>
        <w:pStyle w:val="a7"/>
        <w:ind w:firstLine="640"/>
      </w:pPr>
      <w:r>
        <w:rPr>
          <w:rFonts w:ascii="楷体_GB2312" w:eastAsia="楷体_GB2312" w:hAnsi="楷体_GB2312" w:cs="楷体_GB2312" w:hint="eastAsia"/>
        </w:rPr>
        <w:t>国土空间治理水平有效提升。</w:t>
      </w:r>
      <w:r>
        <w:rPr>
          <w:rFonts w:hint="eastAsia"/>
        </w:rPr>
        <w:t>“多规合一”的国土空间规划体系全面建立，统一的国土空间用途管制制度全面实施，与主体功能区相适应的差异化绩效考核制度更加健全，国土空间基础信息平台高效运行，国土空间治理能力现代化目标基本实现。</w:t>
      </w:r>
      <w:bookmarkEnd w:id="24"/>
    </w:p>
    <w:p w14:paraId="16EC1D9E" w14:textId="77777777" w:rsidR="00280812" w:rsidRDefault="00280812">
      <w:pPr>
        <w:pStyle w:val="a7"/>
        <w:ind w:firstLine="640"/>
      </w:pPr>
    </w:p>
    <w:p w14:paraId="534E3294" w14:textId="77777777" w:rsidR="00280812" w:rsidRDefault="00000000">
      <w:pPr>
        <w:pStyle w:val="a7"/>
        <w:ind w:firstLineChars="0" w:firstLine="0"/>
        <w:jc w:val="center"/>
      </w:pPr>
      <w:r>
        <w:rPr>
          <w:rFonts w:hint="eastAsia"/>
        </w:rPr>
        <w:lastRenderedPageBreak/>
        <w:t>国土空间开发保护主要指标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567"/>
        <w:gridCol w:w="1132"/>
        <w:gridCol w:w="1135"/>
        <w:gridCol w:w="1133"/>
        <w:gridCol w:w="848"/>
        <w:gridCol w:w="795"/>
      </w:tblGrid>
      <w:tr w:rsidR="00280812" w14:paraId="3552FD8C" w14:textId="77777777">
        <w:trPr>
          <w:trHeight w:val="285"/>
        </w:trPr>
        <w:tc>
          <w:tcPr>
            <w:tcW w:w="414" w:type="pct"/>
            <w:vMerge w:val="restart"/>
            <w:shd w:val="clear" w:color="auto" w:fill="auto"/>
            <w:vAlign w:val="center"/>
          </w:tcPr>
          <w:p w14:paraId="17448A62" w14:textId="77777777" w:rsidR="00280812" w:rsidRDefault="00000000">
            <w:pPr>
              <w:widowControl/>
              <w:spacing w:line="500" w:lineRule="exact"/>
              <w:jc w:val="center"/>
              <w:rPr>
                <w:rFonts w:ascii="仿宋_GB2312" w:eastAsia="仿宋_GB2312" w:hAnsi="微软雅黑" w:cs="宋体" w:hint="eastAsia"/>
                <w:b/>
                <w:bCs/>
                <w:color w:val="000000"/>
                <w:kern w:val="0"/>
                <w:sz w:val="22"/>
              </w:rPr>
            </w:pPr>
            <w:r>
              <w:rPr>
                <w:rFonts w:ascii="仿宋_GB2312" w:eastAsia="仿宋_GB2312" w:hAnsi="微软雅黑" w:cs="宋体" w:hint="eastAsia"/>
                <w:b/>
                <w:bCs/>
                <w:color w:val="000000"/>
                <w:kern w:val="0"/>
                <w:sz w:val="22"/>
              </w:rPr>
              <w:t>序号</w:t>
            </w:r>
          </w:p>
        </w:tc>
        <w:tc>
          <w:tcPr>
            <w:tcW w:w="1547" w:type="pct"/>
            <w:vMerge w:val="restart"/>
            <w:shd w:val="clear" w:color="auto" w:fill="auto"/>
            <w:vAlign w:val="center"/>
          </w:tcPr>
          <w:p w14:paraId="3B7D9B7B" w14:textId="77777777" w:rsidR="00280812" w:rsidRDefault="00000000">
            <w:pPr>
              <w:widowControl/>
              <w:spacing w:line="500" w:lineRule="exact"/>
              <w:jc w:val="center"/>
              <w:rPr>
                <w:rFonts w:ascii="仿宋_GB2312" w:eastAsia="仿宋_GB2312" w:hAnsi="微软雅黑" w:cs="宋体" w:hint="eastAsia"/>
                <w:b/>
                <w:bCs/>
                <w:color w:val="000000"/>
                <w:kern w:val="0"/>
                <w:sz w:val="22"/>
              </w:rPr>
            </w:pPr>
            <w:r>
              <w:rPr>
                <w:rFonts w:ascii="仿宋_GB2312" w:eastAsia="仿宋_GB2312" w:hAnsi="微软雅黑" w:cs="宋体" w:hint="eastAsia"/>
                <w:b/>
                <w:bCs/>
                <w:color w:val="000000"/>
                <w:kern w:val="0"/>
                <w:sz w:val="22"/>
              </w:rPr>
              <w:t>指标项</w:t>
            </w:r>
          </w:p>
        </w:tc>
        <w:tc>
          <w:tcPr>
            <w:tcW w:w="682" w:type="pct"/>
            <w:vMerge w:val="restart"/>
            <w:shd w:val="clear" w:color="auto" w:fill="auto"/>
            <w:vAlign w:val="center"/>
          </w:tcPr>
          <w:p w14:paraId="5CC29B45" w14:textId="77777777" w:rsidR="00280812" w:rsidRDefault="00000000">
            <w:pPr>
              <w:widowControl/>
              <w:spacing w:line="500" w:lineRule="exact"/>
              <w:jc w:val="center"/>
              <w:rPr>
                <w:rFonts w:ascii="仿宋_GB2312" w:eastAsia="仿宋_GB2312" w:hAnsi="微软雅黑" w:cs="宋体" w:hint="eastAsia"/>
                <w:b/>
                <w:bCs/>
                <w:color w:val="000000"/>
                <w:kern w:val="0"/>
                <w:sz w:val="22"/>
              </w:rPr>
            </w:pPr>
            <w:r>
              <w:rPr>
                <w:rFonts w:ascii="仿宋_GB2312" w:eastAsia="仿宋_GB2312" w:hAnsi="微软雅黑" w:cs="宋体" w:hint="eastAsia"/>
                <w:b/>
                <w:bCs/>
                <w:color w:val="000000"/>
                <w:kern w:val="0"/>
                <w:sz w:val="22"/>
              </w:rPr>
              <w:t>基期值2020年</w:t>
            </w:r>
          </w:p>
        </w:tc>
        <w:tc>
          <w:tcPr>
            <w:tcW w:w="1367" w:type="pct"/>
            <w:gridSpan w:val="2"/>
            <w:shd w:val="clear" w:color="auto" w:fill="auto"/>
            <w:noWrap/>
            <w:vAlign w:val="center"/>
          </w:tcPr>
          <w:p w14:paraId="30CB7AE3" w14:textId="77777777" w:rsidR="00280812" w:rsidRDefault="00000000">
            <w:pPr>
              <w:widowControl/>
              <w:spacing w:line="500" w:lineRule="exact"/>
              <w:jc w:val="center"/>
              <w:rPr>
                <w:rFonts w:ascii="仿宋_GB2312" w:eastAsia="仿宋_GB2312" w:hAnsi="等线" w:cs="宋体" w:hint="eastAsia"/>
                <w:b/>
                <w:bCs/>
                <w:color w:val="000000"/>
                <w:kern w:val="0"/>
                <w:sz w:val="22"/>
              </w:rPr>
            </w:pPr>
            <w:r>
              <w:rPr>
                <w:rFonts w:ascii="仿宋_GB2312" w:eastAsia="仿宋_GB2312" w:hAnsi="等线" w:cs="宋体" w:hint="eastAsia"/>
                <w:b/>
                <w:bCs/>
                <w:color w:val="000000"/>
                <w:kern w:val="0"/>
                <w:sz w:val="22"/>
              </w:rPr>
              <w:t>目标值</w:t>
            </w:r>
          </w:p>
        </w:tc>
        <w:tc>
          <w:tcPr>
            <w:tcW w:w="511" w:type="pct"/>
            <w:vMerge w:val="restart"/>
            <w:shd w:val="clear" w:color="auto" w:fill="auto"/>
            <w:vAlign w:val="center"/>
          </w:tcPr>
          <w:p w14:paraId="0936219F" w14:textId="77777777" w:rsidR="00280812" w:rsidRDefault="00000000">
            <w:pPr>
              <w:widowControl/>
              <w:spacing w:line="500" w:lineRule="exact"/>
              <w:jc w:val="center"/>
              <w:rPr>
                <w:rFonts w:ascii="仿宋_GB2312" w:eastAsia="仿宋_GB2312" w:hAnsi="微软雅黑" w:cs="宋体" w:hint="eastAsia"/>
                <w:b/>
                <w:bCs/>
                <w:color w:val="000000"/>
                <w:kern w:val="0"/>
                <w:sz w:val="22"/>
              </w:rPr>
            </w:pPr>
            <w:r>
              <w:rPr>
                <w:rFonts w:ascii="仿宋_GB2312" w:eastAsia="仿宋_GB2312" w:hAnsi="微软雅黑" w:cs="宋体" w:hint="eastAsia"/>
                <w:b/>
                <w:bCs/>
                <w:color w:val="000000"/>
                <w:kern w:val="0"/>
                <w:sz w:val="22"/>
              </w:rPr>
              <w:t>指标属性</w:t>
            </w:r>
          </w:p>
        </w:tc>
        <w:tc>
          <w:tcPr>
            <w:tcW w:w="476" w:type="pct"/>
            <w:vMerge w:val="restart"/>
            <w:shd w:val="clear" w:color="auto" w:fill="auto"/>
            <w:vAlign w:val="center"/>
          </w:tcPr>
          <w:p w14:paraId="7CB48B5A" w14:textId="77777777" w:rsidR="00280812" w:rsidRDefault="00000000">
            <w:pPr>
              <w:widowControl/>
              <w:spacing w:line="500" w:lineRule="exact"/>
              <w:jc w:val="center"/>
              <w:rPr>
                <w:rFonts w:ascii="仿宋_GB2312" w:eastAsia="仿宋_GB2312" w:hAnsi="微软雅黑" w:cs="宋体" w:hint="eastAsia"/>
                <w:b/>
                <w:bCs/>
                <w:color w:val="000000"/>
                <w:kern w:val="0"/>
                <w:sz w:val="22"/>
              </w:rPr>
            </w:pPr>
            <w:r>
              <w:rPr>
                <w:rFonts w:ascii="仿宋_GB2312" w:eastAsia="仿宋_GB2312" w:hAnsi="微软雅黑" w:cs="宋体" w:hint="eastAsia"/>
                <w:b/>
                <w:bCs/>
                <w:color w:val="000000"/>
                <w:kern w:val="0"/>
                <w:sz w:val="22"/>
              </w:rPr>
              <w:t>指标层级</w:t>
            </w:r>
          </w:p>
        </w:tc>
      </w:tr>
      <w:tr w:rsidR="00280812" w14:paraId="4BC6AC8C" w14:textId="77777777">
        <w:trPr>
          <w:trHeight w:val="345"/>
        </w:trPr>
        <w:tc>
          <w:tcPr>
            <w:tcW w:w="414" w:type="pct"/>
            <w:vMerge/>
            <w:vAlign w:val="center"/>
          </w:tcPr>
          <w:p w14:paraId="4BD5B575" w14:textId="77777777" w:rsidR="00280812" w:rsidRDefault="00280812">
            <w:pPr>
              <w:widowControl/>
              <w:spacing w:line="500" w:lineRule="exact"/>
              <w:jc w:val="left"/>
              <w:rPr>
                <w:rFonts w:ascii="仿宋_GB2312" w:eastAsia="仿宋_GB2312" w:hAnsi="微软雅黑" w:cs="宋体" w:hint="eastAsia"/>
                <w:color w:val="000000"/>
                <w:kern w:val="0"/>
                <w:sz w:val="22"/>
              </w:rPr>
            </w:pPr>
          </w:p>
        </w:tc>
        <w:tc>
          <w:tcPr>
            <w:tcW w:w="1547" w:type="pct"/>
            <w:vMerge/>
            <w:vAlign w:val="center"/>
          </w:tcPr>
          <w:p w14:paraId="609F1BEC" w14:textId="77777777" w:rsidR="00280812" w:rsidRDefault="00280812">
            <w:pPr>
              <w:widowControl/>
              <w:spacing w:line="500" w:lineRule="exact"/>
              <w:jc w:val="left"/>
              <w:rPr>
                <w:rFonts w:ascii="仿宋_GB2312" w:eastAsia="仿宋_GB2312" w:hAnsi="微软雅黑" w:cs="宋体" w:hint="eastAsia"/>
                <w:color w:val="000000"/>
                <w:kern w:val="0"/>
                <w:sz w:val="22"/>
              </w:rPr>
            </w:pPr>
          </w:p>
        </w:tc>
        <w:tc>
          <w:tcPr>
            <w:tcW w:w="682" w:type="pct"/>
            <w:vMerge/>
            <w:vAlign w:val="center"/>
          </w:tcPr>
          <w:p w14:paraId="52FF2571" w14:textId="77777777" w:rsidR="00280812" w:rsidRDefault="00280812">
            <w:pPr>
              <w:widowControl/>
              <w:spacing w:line="500" w:lineRule="exact"/>
              <w:jc w:val="left"/>
              <w:rPr>
                <w:rFonts w:ascii="仿宋_GB2312" w:eastAsia="仿宋_GB2312" w:hAnsi="微软雅黑" w:cs="宋体" w:hint="eastAsia"/>
                <w:color w:val="000000"/>
                <w:kern w:val="0"/>
                <w:sz w:val="22"/>
              </w:rPr>
            </w:pPr>
          </w:p>
        </w:tc>
        <w:tc>
          <w:tcPr>
            <w:tcW w:w="684" w:type="pct"/>
            <w:shd w:val="clear" w:color="auto" w:fill="auto"/>
            <w:vAlign w:val="center"/>
          </w:tcPr>
          <w:p w14:paraId="214C51CB" w14:textId="77777777" w:rsidR="00280812" w:rsidRDefault="00000000">
            <w:pPr>
              <w:widowControl/>
              <w:spacing w:line="500" w:lineRule="exact"/>
              <w:jc w:val="center"/>
              <w:rPr>
                <w:rFonts w:ascii="仿宋_GB2312" w:eastAsia="仿宋_GB2312" w:hAnsi="微软雅黑" w:cs="宋体" w:hint="eastAsia"/>
                <w:b/>
                <w:bCs/>
                <w:color w:val="000000"/>
                <w:kern w:val="0"/>
                <w:sz w:val="22"/>
              </w:rPr>
            </w:pPr>
            <w:r>
              <w:rPr>
                <w:rFonts w:ascii="仿宋_GB2312" w:eastAsia="仿宋_GB2312" w:hAnsi="微软雅黑" w:cs="宋体" w:hint="eastAsia"/>
                <w:b/>
                <w:bCs/>
                <w:color w:val="000000"/>
                <w:kern w:val="0"/>
                <w:sz w:val="22"/>
              </w:rPr>
              <w:t>2025年</w:t>
            </w:r>
          </w:p>
        </w:tc>
        <w:tc>
          <w:tcPr>
            <w:tcW w:w="682" w:type="pct"/>
            <w:shd w:val="clear" w:color="auto" w:fill="auto"/>
            <w:vAlign w:val="center"/>
          </w:tcPr>
          <w:p w14:paraId="07EAA840" w14:textId="77777777" w:rsidR="00280812" w:rsidRDefault="00000000">
            <w:pPr>
              <w:widowControl/>
              <w:spacing w:line="500" w:lineRule="exact"/>
              <w:jc w:val="center"/>
              <w:rPr>
                <w:rFonts w:ascii="仿宋_GB2312" w:eastAsia="仿宋_GB2312" w:hAnsi="微软雅黑" w:cs="宋体" w:hint="eastAsia"/>
                <w:b/>
                <w:bCs/>
                <w:color w:val="000000"/>
                <w:kern w:val="0"/>
                <w:sz w:val="22"/>
              </w:rPr>
            </w:pPr>
            <w:r>
              <w:rPr>
                <w:rFonts w:ascii="仿宋_GB2312" w:eastAsia="仿宋_GB2312" w:hAnsi="微软雅黑" w:cs="宋体" w:hint="eastAsia"/>
                <w:b/>
                <w:bCs/>
                <w:color w:val="000000"/>
                <w:kern w:val="0"/>
                <w:sz w:val="22"/>
              </w:rPr>
              <w:t>2035年</w:t>
            </w:r>
          </w:p>
        </w:tc>
        <w:tc>
          <w:tcPr>
            <w:tcW w:w="511" w:type="pct"/>
            <w:vMerge/>
            <w:vAlign w:val="center"/>
          </w:tcPr>
          <w:p w14:paraId="50454803" w14:textId="77777777" w:rsidR="00280812" w:rsidRDefault="00280812">
            <w:pPr>
              <w:widowControl/>
              <w:spacing w:line="500" w:lineRule="exact"/>
              <w:jc w:val="left"/>
              <w:rPr>
                <w:rFonts w:ascii="仿宋_GB2312" w:eastAsia="仿宋_GB2312" w:hAnsi="微软雅黑" w:cs="宋体" w:hint="eastAsia"/>
                <w:color w:val="000000"/>
                <w:kern w:val="0"/>
                <w:sz w:val="22"/>
              </w:rPr>
            </w:pPr>
          </w:p>
        </w:tc>
        <w:tc>
          <w:tcPr>
            <w:tcW w:w="476" w:type="pct"/>
            <w:vMerge/>
            <w:vAlign w:val="center"/>
          </w:tcPr>
          <w:p w14:paraId="0CE86DBD" w14:textId="77777777" w:rsidR="00280812" w:rsidRDefault="00280812">
            <w:pPr>
              <w:widowControl/>
              <w:spacing w:line="500" w:lineRule="exact"/>
              <w:jc w:val="left"/>
              <w:rPr>
                <w:rFonts w:ascii="仿宋_GB2312" w:eastAsia="仿宋_GB2312" w:hAnsi="微软雅黑" w:cs="宋体" w:hint="eastAsia"/>
                <w:color w:val="000000"/>
                <w:kern w:val="0"/>
                <w:sz w:val="22"/>
              </w:rPr>
            </w:pPr>
          </w:p>
        </w:tc>
      </w:tr>
      <w:tr w:rsidR="00280812" w14:paraId="7D9D60C8" w14:textId="77777777">
        <w:trPr>
          <w:trHeight w:val="345"/>
        </w:trPr>
        <w:tc>
          <w:tcPr>
            <w:tcW w:w="5000" w:type="pct"/>
            <w:gridSpan w:val="7"/>
            <w:shd w:val="clear" w:color="auto" w:fill="auto"/>
            <w:vAlign w:val="center"/>
          </w:tcPr>
          <w:p w14:paraId="1FD65C3D"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一、空间底线</w:t>
            </w:r>
          </w:p>
        </w:tc>
      </w:tr>
      <w:tr w:rsidR="00280812" w14:paraId="635EE1BB" w14:textId="77777777">
        <w:trPr>
          <w:trHeight w:val="690"/>
        </w:trPr>
        <w:tc>
          <w:tcPr>
            <w:tcW w:w="414" w:type="pct"/>
            <w:shd w:val="clear" w:color="auto" w:fill="auto"/>
            <w:vAlign w:val="center"/>
          </w:tcPr>
          <w:p w14:paraId="1996C395"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1</w:t>
            </w:r>
          </w:p>
        </w:tc>
        <w:tc>
          <w:tcPr>
            <w:tcW w:w="1547" w:type="pct"/>
            <w:shd w:val="clear" w:color="auto" w:fill="auto"/>
            <w:vAlign w:val="center"/>
          </w:tcPr>
          <w:p w14:paraId="47D9E666"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用水总量（</w:t>
            </w:r>
            <w:proofErr w:type="gramStart"/>
            <w:r>
              <w:rPr>
                <w:rFonts w:ascii="仿宋_GB2312" w:eastAsia="仿宋_GB2312" w:hAnsi="微软雅黑" w:cs="宋体" w:hint="eastAsia"/>
                <w:color w:val="000000"/>
                <w:kern w:val="0"/>
                <w:sz w:val="22"/>
              </w:rPr>
              <w:t>亿立方米</w:t>
            </w:r>
            <w:proofErr w:type="gramEnd"/>
            <w:r>
              <w:rPr>
                <w:rFonts w:ascii="仿宋_GB2312" w:eastAsia="仿宋_GB2312" w:hAnsi="微软雅黑" w:cs="宋体" w:hint="eastAsia"/>
                <w:color w:val="000000"/>
                <w:kern w:val="0"/>
                <w:sz w:val="22"/>
              </w:rPr>
              <w:t>）</w:t>
            </w:r>
          </w:p>
        </w:tc>
        <w:tc>
          <w:tcPr>
            <w:tcW w:w="682" w:type="pct"/>
            <w:shd w:val="clear" w:color="auto" w:fill="auto"/>
            <w:vAlign w:val="center"/>
          </w:tcPr>
          <w:p w14:paraId="0D68A489"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根据上级下达指标确定</w:t>
            </w:r>
          </w:p>
        </w:tc>
        <w:tc>
          <w:tcPr>
            <w:tcW w:w="684" w:type="pct"/>
            <w:shd w:val="clear" w:color="auto" w:fill="auto"/>
            <w:vAlign w:val="center"/>
          </w:tcPr>
          <w:p w14:paraId="027CC835"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根据上级下达指标确定</w:t>
            </w:r>
          </w:p>
        </w:tc>
        <w:tc>
          <w:tcPr>
            <w:tcW w:w="682" w:type="pct"/>
            <w:shd w:val="clear" w:color="auto" w:fill="auto"/>
            <w:vAlign w:val="center"/>
          </w:tcPr>
          <w:p w14:paraId="081941B8"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根据上级下达指标确定</w:t>
            </w:r>
          </w:p>
        </w:tc>
        <w:tc>
          <w:tcPr>
            <w:tcW w:w="511" w:type="pct"/>
            <w:shd w:val="clear" w:color="auto" w:fill="auto"/>
            <w:vAlign w:val="center"/>
          </w:tcPr>
          <w:p w14:paraId="4BFAE69E"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约束性</w:t>
            </w:r>
          </w:p>
        </w:tc>
        <w:tc>
          <w:tcPr>
            <w:tcW w:w="476" w:type="pct"/>
            <w:shd w:val="clear" w:color="auto" w:fill="auto"/>
            <w:vAlign w:val="center"/>
          </w:tcPr>
          <w:p w14:paraId="736E23C3" w14:textId="77777777" w:rsidR="00280812" w:rsidRDefault="00000000">
            <w:pPr>
              <w:widowControl/>
              <w:spacing w:line="500" w:lineRule="exact"/>
              <w:jc w:val="center"/>
              <w:rPr>
                <w:rFonts w:ascii="仿宋_GB2312" w:eastAsia="仿宋_GB2312" w:hAnsi="微软雅黑" w:cs="宋体" w:hint="eastAsia"/>
                <w:color w:val="000000"/>
                <w:kern w:val="0"/>
                <w:sz w:val="22"/>
              </w:rPr>
            </w:pPr>
            <w:proofErr w:type="gramStart"/>
            <w:r>
              <w:rPr>
                <w:rFonts w:ascii="仿宋_GB2312" w:eastAsia="仿宋_GB2312" w:hAnsi="微软雅黑" w:cs="宋体" w:hint="eastAsia"/>
                <w:color w:val="000000"/>
                <w:kern w:val="0"/>
                <w:sz w:val="22"/>
              </w:rPr>
              <w:t>乡域</w:t>
            </w:r>
            <w:proofErr w:type="gramEnd"/>
          </w:p>
        </w:tc>
      </w:tr>
      <w:tr w:rsidR="00280812" w14:paraId="296D7E55" w14:textId="77777777">
        <w:trPr>
          <w:trHeight w:val="345"/>
        </w:trPr>
        <w:tc>
          <w:tcPr>
            <w:tcW w:w="414" w:type="pct"/>
            <w:shd w:val="clear" w:color="auto" w:fill="auto"/>
            <w:vAlign w:val="center"/>
          </w:tcPr>
          <w:p w14:paraId="4A06A05E"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2</w:t>
            </w:r>
          </w:p>
        </w:tc>
        <w:tc>
          <w:tcPr>
            <w:tcW w:w="1547" w:type="pct"/>
            <w:shd w:val="clear" w:color="auto" w:fill="auto"/>
            <w:vAlign w:val="center"/>
          </w:tcPr>
          <w:p w14:paraId="7B432364"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耕地保有量（万亩）</w:t>
            </w:r>
          </w:p>
        </w:tc>
        <w:tc>
          <w:tcPr>
            <w:tcW w:w="682" w:type="pct"/>
            <w:shd w:val="clear" w:color="auto" w:fill="auto"/>
            <w:vAlign w:val="center"/>
          </w:tcPr>
          <w:p w14:paraId="59B1AD16"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1.1863</w:t>
            </w:r>
          </w:p>
        </w:tc>
        <w:tc>
          <w:tcPr>
            <w:tcW w:w="684" w:type="pct"/>
            <w:shd w:val="clear" w:color="auto" w:fill="auto"/>
            <w:vAlign w:val="center"/>
          </w:tcPr>
          <w:p w14:paraId="104A0547"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≥1.1547</w:t>
            </w:r>
          </w:p>
        </w:tc>
        <w:tc>
          <w:tcPr>
            <w:tcW w:w="682" w:type="pct"/>
            <w:shd w:val="clear" w:color="auto" w:fill="auto"/>
            <w:vAlign w:val="center"/>
          </w:tcPr>
          <w:p w14:paraId="02B937EF"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≥1.1547</w:t>
            </w:r>
          </w:p>
        </w:tc>
        <w:tc>
          <w:tcPr>
            <w:tcW w:w="511" w:type="pct"/>
            <w:shd w:val="clear" w:color="auto" w:fill="auto"/>
            <w:vAlign w:val="center"/>
          </w:tcPr>
          <w:p w14:paraId="16A375B6"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约束性</w:t>
            </w:r>
          </w:p>
        </w:tc>
        <w:tc>
          <w:tcPr>
            <w:tcW w:w="476" w:type="pct"/>
            <w:shd w:val="clear" w:color="auto" w:fill="auto"/>
            <w:vAlign w:val="center"/>
          </w:tcPr>
          <w:p w14:paraId="17E78F34" w14:textId="77777777" w:rsidR="00280812" w:rsidRDefault="00000000">
            <w:pPr>
              <w:widowControl/>
              <w:spacing w:line="500" w:lineRule="exact"/>
              <w:jc w:val="center"/>
              <w:rPr>
                <w:rFonts w:ascii="仿宋_GB2312" w:eastAsia="仿宋_GB2312" w:hAnsi="微软雅黑" w:cs="宋体" w:hint="eastAsia"/>
                <w:color w:val="000000"/>
                <w:kern w:val="0"/>
                <w:sz w:val="22"/>
              </w:rPr>
            </w:pPr>
            <w:proofErr w:type="gramStart"/>
            <w:r>
              <w:rPr>
                <w:rFonts w:ascii="仿宋_GB2312" w:eastAsia="仿宋_GB2312" w:hAnsi="微软雅黑" w:cs="宋体" w:hint="eastAsia"/>
                <w:color w:val="000000"/>
                <w:kern w:val="0"/>
                <w:sz w:val="22"/>
              </w:rPr>
              <w:t>乡域</w:t>
            </w:r>
            <w:proofErr w:type="gramEnd"/>
          </w:p>
        </w:tc>
      </w:tr>
      <w:tr w:rsidR="00280812" w14:paraId="16016B4F" w14:textId="77777777">
        <w:trPr>
          <w:trHeight w:val="345"/>
        </w:trPr>
        <w:tc>
          <w:tcPr>
            <w:tcW w:w="414" w:type="pct"/>
            <w:shd w:val="clear" w:color="auto" w:fill="auto"/>
            <w:vAlign w:val="center"/>
          </w:tcPr>
          <w:p w14:paraId="68943E72"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3</w:t>
            </w:r>
          </w:p>
        </w:tc>
        <w:tc>
          <w:tcPr>
            <w:tcW w:w="1547" w:type="pct"/>
            <w:shd w:val="clear" w:color="auto" w:fill="auto"/>
            <w:vAlign w:val="center"/>
          </w:tcPr>
          <w:p w14:paraId="1A2C84C4"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永久基本农田保护面积（万亩）</w:t>
            </w:r>
          </w:p>
        </w:tc>
        <w:tc>
          <w:tcPr>
            <w:tcW w:w="682" w:type="pct"/>
            <w:shd w:val="clear" w:color="auto" w:fill="auto"/>
            <w:vAlign w:val="center"/>
          </w:tcPr>
          <w:p w14:paraId="38EE1584"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1.0717</w:t>
            </w:r>
          </w:p>
        </w:tc>
        <w:tc>
          <w:tcPr>
            <w:tcW w:w="684" w:type="pct"/>
            <w:shd w:val="clear" w:color="auto" w:fill="auto"/>
            <w:vAlign w:val="center"/>
          </w:tcPr>
          <w:p w14:paraId="20BC3947"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≥1.0717</w:t>
            </w:r>
          </w:p>
        </w:tc>
        <w:tc>
          <w:tcPr>
            <w:tcW w:w="682" w:type="pct"/>
            <w:shd w:val="clear" w:color="auto" w:fill="auto"/>
            <w:vAlign w:val="center"/>
          </w:tcPr>
          <w:p w14:paraId="6FEE27D7"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≥1.0717</w:t>
            </w:r>
          </w:p>
        </w:tc>
        <w:tc>
          <w:tcPr>
            <w:tcW w:w="511" w:type="pct"/>
            <w:shd w:val="clear" w:color="auto" w:fill="auto"/>
            <w:vAlign w:val="center"/>
          </w:tcPr>
          <w:p w14:paraId="1E7B5526"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约束性</w:t>
            </w:r>
          </w:p>
        </w:tc>
        <w:tc>
          <w:tcPr>
            <w:tcW w:w="476" w:type="pct"/>
            <w:shd w:val="clear" w:color="auto" w:fill="auto"/>
            <w:vAlign w:val="center"/>
          </w:tcPr>
          <w:p w14:paraId="7C7E57F6" w14:textId="77777777" w:rsidR="00280812" w:rsidRDefault="00000000">
            <w:pPr>
              <w:widowControl/>
              <w:spacing w:line="500" w:lineRule="exact"/>
              <w:jc w:val="center"/>
              <w:rPr>
                <w:rFonts w:ascii="仿宋_GB2312" w:eastAsia="仿宋_GB2312" w:hAnsi="微软雅黑" w:cs="宋体" w:hint="eastAsia"/>
                <w:color w:val="000000"/>
                <w:kern w:val="0"/>
                <w:sz w:val="22"/>
              </w:rPr>
            </w:pPr>
            <w:proofErr w:type="gramStart"/>
            <w:r>
              <w:rPr>
                <w:rFonts w:ascii="仿宋_GB2312" w:eastAsia="仿宋_GB2312" w:hAnsi="微软雅黑" w:cs="宋体" w:hint="eastAsia"/>
                <w:color w:val="000000"/>
                <w:kern w:val="0"/>
                <w:sz w:val="22"/>
              </w:rPr>
              <w:t>乡域</w:t>
            </w:r>
            <w:proofErr w:type="gramEnd"/>
          </w:p>
        </w:tc>
      </w:tr>
      <w:tr w:rsidR="00280812" w14:paraId="59593FF3" w14:textId="77777777">
        <w:trPr>
          <w:trHeight w:val="345"/>
        </w:trPr>
        <w:tc>
          <w:tcPr>
            <w:tcW w:w="414" w:type="pct"/>
            <w:shd w:val="clear" w:color="auto" w:fill="auto"/>
            <w:vAlign w:val="center"/>
          </w:tcPr>
          <w:p w14:paraId="4F7E81C0"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4</w:t>
            </w:r>
          </w:p>
        </w:tc>
        <w:tc>
          <w:tcPr>
            <w:tcW w:w="1547" w:type="pct"/>
            <w:shd w:val="clear" w:color="auto" w:fill="auto"/>
            <w:vAlign w:val="center"/>
          </w:tcPr>
          <w:p w14:paraId="43448A9A"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村庄建设边界扩展倍数</w:t>
            </w:r>
          </w:p>
        </w:tc>
        <w:tc>
          <w:tcPr>
            <w:tcW w:w="682" w:type="pct"/>
            <w:shd w:val="clear" w:color="auto" w:fill="auto"/>
            <w:vAlign w:val="center"/>
          </w:tcPr>
          <w:p w14:paraId="37860658"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w:t>
            </w:r>
          </w:p>
        </w:tc>
        <w:tc>
          <w:tcPr>
            <w:tcW w:w="684" w:type="pct"/>
            <w:shd w:val="clear" w:color="auto" w:fill="auto"/>
            <w:vAlign w:val="center"/>
          </w:tcPr>
          <w:p w14:paraId="2BAE33FD"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≤1.0</w:t>
            </w:r>
          </w:p>
        </w:tc>
        <w:tc>
          <w:tcPr>
            <w:tcW w:w="682" w:type="pct"/>
            <w:shd w:val="clear" w:color="auto" w:fill="auto"/>
            <w:vAlign w:val="center"/>
          </w:tcPr>
          <w:p w14:paraId="550D3877"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≤1.0</w:t>
            </w:r>
          </w:p>
        </w:tc>
        <w:tc>
          <w:tcPr>
            <w:tcW w:w="511" w:type="pct"/>
            <w:shd w:val="clear" w:color="auto" w:fill="auto"/>
            <w:vAlign w:val="center"/>
          </w:tcPr>
          <w:p w14:paraId="773C18F9"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约束性</w:t>
            </w:r>
          </w:p>
        </w:tc>
        <w:tc>
          <w:tcPr>
            <w:tcW w:w="476" w:type="pct"/>
            <w:shd w:val="clear" w:color="auto" w:fill="auto"/>
            <w:vAlign w:val="center"/>
          </w:tcPr>
          <w:p w14:paraId="5797104D" w14:textId="77777777" w:rsidR="00280812" w:rsidRDefault="00000000">
            <w:pPr>
              <w:widowControl/>
              <w:spacing w:line="500" w:lineRule="exact"/>
              <w:jc w:val="center"/>
              <w:rPr>
                <w:rFonts w:ascii="仿宋_GB2312" w:eastAsia="仿宋_GB2312" w:hAnsi="微软雅黑" w:cs="宋体" w:hint="eastAsia"/>
                <w:color w:val="000000"/>
                <w:kern w:val="0"/>
                <w:sz w:val="22"/>
              </w:rPr>
            </w:pPr>
            <w:proofErr w:type="gramStart"/>
            <w:r>
              <w:rPr>
                <w:rFonts w:ascii="仿宋_GB2312" w:eastAsia="仿宋_GB2312" w:hAnsi="微软雅黑" w:cs="宋体" w:hint="eastAsia"/>
                <w:color w:val="000000"/>
                <w:kern w:val="0"/>
                <w:sz w:val="22"/>
              </w:rPr>
              <w:t>乡域</w:t>
            </w:r>
            <w:proofErr w:type="gramEnd"/>
          </w:p>
        </w:tc>
      </w:tr>
      <w:tr w:rsidR="00280812" w14:paraId="00F8256F" w14:textId="77777777">
        <w:trPr>
          <w:trHeight w:val="345"/>
        </w:trPr>
        <w:tc>
          <w:tcPr>
            <w:tcW w:w="414" w:type="pct"/>
            <w:shd w:val="clear" w:color="auto" w:fill="auto"/>
            <w:vAlign w:val="center"/>
          </w:tcPr>
          <w:p w14:paraId="4FF72F48"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5</w:t>
            </w:r>
          </w:p>
        </w:tc>
        <w:tc>
          <w:tcPr>
            <w:tcW w:w="1547" w:type="pct"/>
            <w:shd w:val="clear" w:color="auto" w:fill="auto"/>
            <w:vAlign w:val="center"/>
          </w:tcPr>
          <w:p w14:paraId="58DDCD79"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森林覆盖率（%）</w:t>
            </w:r>
          </w:p>
        </w:tc>
        <w:tc>
          <w:tcPr>
            <w:tcW w:w="682" w:type="pct"/>
            <w:shd w:val="clear" w:color="auto" w:fill="auto"/>
            <w:vAlign w:val="center"/>
          </w:tcPr>
          <w:p w14:paraId="50207F83"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 xml:space="preserve">2.98 </w:t>
            </w:r>
          </w:p>
        </w:tc>
        <w:tc>
          <w:tcPr>
            <w:tcW w:w="684" w:type="pct"/>
            <w:shd w:val="clear" w:color="auto" w:fill="auto"/>
            <w:vAlign w:val="center"/>
          </w:tcPr>
          <w:p w14:paraId="09C8954B"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≥3.17</w:t>
            </w:r>
          </w:p>
        </w:tc>
        <w:tc>
          <w:tcPr>
            <w:tcW w:w="682" w:type="pct"/>
            <w:shd w:val="clear" w:color="auto" w:fill="auto"/>
            <w:vAlign w:val="center"/>
          </w:tcPr>
          <w:p w14:paraId="6F140368"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≥3.72</w:t>
            </w:r>
          </w:p>
        </w:tc>
        <w:tc>
          <w:tcPr>
            <w:tcW w:w="511" w:type="pct"/>
            <w:shd w:val="clear" w:color="auto" w:fill="auto"/>
            <w:vAlign w:val="center"/>
          </w:tcPr>
          <w:p w14:paraId="6DD3B094"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预期性</w:t>
            </w:r>
          </w:p>
        </w:tc>
        <w:tc>
          <w:tcPr>
            <w:tcW w:w="476" w:type="pct"/>
            <w:shd w:val="clear" w:color="auto" w:fill="auto"/>
            <w:vAlign w:val="center"/>
          </w:tcPr>
          <w:p w14:paraId="6D2A0B15" w14:textId="77777777" w:rsidR="00280812" w:rsidRDefault="00000000">
            <w:pPr>
              <w:widowControl/>
              <w:spacing w:line="500" w:lineRule="exact"/>
              <w:jc w:val="center"/>
              <w:rPr>
                <w:rFonts w:ascii="仿宋_GB2312" w:eastAsia="仿宋_GB2312" w:hAnsi="微软雅黑" w:cs="宋体" w:hint="eastAsia"/>
                <w:color w:val="000000"/>
                <w:kern w:val="0"/>
                <w:sz w:val="22"/>
              </w:rPr>
            </w:pPr>
            <w:proofErr w:type="gramStart"/>
            <w:r>
              <w:rPr>
                <w:rFonts w:ascii="仿宋_GB2312" w:eastAsia="仿宋_GB2312" w:hAnsi="微软雅黑" w:cs="宋体" w:hint="eastAsia"/>
                <w:color w:val="000000"/>
                <w:kern w:val="0"/>
                <w:sz w:val="22"/>
              </w:rPr>
              <w:t>乡域</w:t>
            </w:r>
            <w:proofErr w:type="gramEnd"/>
          </w:p>
        </w:tc>
      </w:tr>
      <w:tr w:rsidR="00280812" w14:paraId="61FBE81C" w14:textId="77777777">
        <w:trPr>
          <w:trHeight w:val="345"/>
        </w:trPr>
        <w:tc>
          <w:tcPr>
            <w:tcW w:w="5000" w:type="pct"/>
            <w:gridSpan w:val="7"/>
            <w:shd w:val="clear" w:color="auto" w:fill="auto"/>
            <w:vAlign w:val="center"/>
          </w:tcPr>
          <w:p w14:paraId="4AC0D017"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二、空间结构与效率</w:t>
            </w:r>
          </w:p>
        </w:tc>
      </w:tr>
      <w:tr w:rsidR="00280812" w14:paraId="28AD82F6" w14:textId="77777777">
        <w:trPr>
          <w:trHeight w:val="345"/>
        </w:trPr>
        <w:tc>
          <w:tcPr>
            <w:tcW w:w="414" w:type="pct"/>
            <w:shd w:val="clear" w:color="auto" w:fill="auto"/>
            <w:vAlign w:val="center"/>
          </w:tcPr>
          <w:p w14:paraId="180452BD"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6</w:t>
            </w:r>
          </w:p>
        </w:tc>
        <w:tc>
          <w:tcPr>
            <w:tcW w:w="1547" w:type="pct"/>
            <w:shd w:val="clear" w:color="auto" w:fill="auto"/>
            <w:vAlign w:val="center"/>
          </w:tcPr>
          <w:p w14:paraId="78E6EAF5"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人均应急避难场所面积（平方米）</w:t>
            </w:r>
          </w:p>
        </w:tc>
        <w:tc>
          <w:tcPr>
            <w:tcW w:w="682" w:type="pct"/>
            <w:shd w:val="clear" w:color="auto" w:fill="auto"/>
            <w:noWrap/>
            <w:vAlign w:val="center"/>
          </w:tcPr>
          <w:p w14:paraId="4DD0B216"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 xml:space="preserve">1.10 </w:t>
            </w:r>
          </w:p>
        </w:tc>
        <w:tc>
          <w:tcPr>
            <w:tcW w:w="684" w:type="pct"/>
            <w:shd w:val="clear" w:color="auto" w:fill="auto"/>
            <w:noWrap/>
            <w:vAlign w:val="center"/>
          </w:tcPr>
          <w:p w14:paraId="5A4CE436"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≥1.5</w:t>
            </w:r>
          </w:p>
        </w:tc>
        <w:tc>
          <w:tcPr>
            <w:tcW w:w="682" w:type="pct"/>
            <w:shd w:val="clear" w:color="auto" w:fill="auto"/>
            <w:noWrap/>
            <w:vAlign w:val="center"/>
          </w:tcPr>
          <w:p w14:paraId="52DBCCE0"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≥1.5</w:t>
            </w:r>
          </w:p>
        </w:tc>
        <w:tc>
          <w:tcPr>
            <w:tcW w:w="511" w:type="pct"/>
            <w:shd w:val="clear" w:color="auto" w:fill="auto"/>
            <w:vAlign w:val="center"/>
          </w:tcPr>
          <w:p w14:paraId="554F7E5F"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预期性</w:t>
            </w:r>
          </w:p>
        </w:tc>
        <w:tc>
          <w:tcPr>
            <w:tcW w:w="476" w:type="pct"/>
            <w:shd w:val="clear" w:color="auto" w:fill="auto"/>
            <w:vAlign w:val="center"/>
          </w:tcPr>
          <w:p w14:paraId="65AFE9E9"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集镇</w:t>
            </w:r>
          </w:p>
        </w:tc>
      </w:tr>
      <w:tr w:rsidR="00280812" w14:paraId="3C24C274" w14:textId="77777777">
        <w:trPr>
          <w:trHeight w:val="345"/>
        </w:trPr>
        <w:tc>
          <w:tcPr>
            <w:tcW w:w="414" w:type="pct"/>
            <w:shd w:val="clear" w:color="auto" w:fill="auto"/>
            <w:vAlign w:val="center"/>
          </w:tcPr>
          <w:p w14:paraId="2385DFC0"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7</w:t>
            </w:r>
          </w:p>
        </w:tc>
        <w:tc>
          <w:tcPr>
            <w:tcW w:w="1547" w:type="pct"/>
            <w:shd w:val="clear" w:color="auto" w:fill="auto"/>
            <w:vAlign w:val="center"/>
          </w:tcPr>
          <w:p w14:paraId="67566731"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道路网密度</w:t>
            </w:r>
          </w:p>
          <w:p w14:paraId="61E58E0F"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（千米/平方公里）</w:t>
            </w:r>
          </w:p>
        </w:tc>
        <w:tc>
          <w:tcPr>
            <w:tcW w:w="682" w:type="pct"/>
            <w:shd w:val="clear" w:color="auto" w:fill="auto"/>
            <w:vAlign w:val="center"/>
          </w:tcPr>
          <w:p w14:paraId="3E87AFF7"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 xml:space="preserve">6.50 </w:t>
            </w:r>
          </w:p>
        </w:tc>
        <w:tc>
          <w:tcPr>
            <w:tcW w:w="684" w:type="pct"/>
            <w:shd w:val="clear" w:color="auto" w:fill="auto"/>
            <w:vAlign w:val="center"/>
          </w:tcPr>
          <w:p w14:paraId="76765A63"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≥7.0</w:t>
            </w:r>
          </w:p>
        </w:tc>
        <w:tc>
          <w:tcPr>
            <w:tcW w:w="682" w:type="pct"/>
            <w:shd w:val="clear" w:color="auto" w:fill="auto"/>
            <w:vAlign w:val="center"/>
          </w:tcPr>
          <w:p w14:paraId="357688FE"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≥8.0</w:t>
            </w:r>
          </w:p>
        </w:tc>
        <w:tc>
          <w:tcPr>
            <w:tcW w:w="511" w:type="pct"/>
            <w:shd w:val="clear" w:color="auto" w:fill="auto"/>
            <w:vAlign w:val="center"/>
          </w:tcPr>
          <w:p w14:paraId="1F724A06"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约束性</w:t>
            </w:r>
          </w:p>
        </w:tc>
        <w:tc>
          <w:tcPr>
            <w:tcW w:w="476" w:type="pct"/>
            <w:shd w:val="clear" w:color="auto" w:fill="auto"/>
            <w:vAlign w:val="center"/>
          </w:tcPr>
          <w:p w14:paraId="7E8E822C"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集镇</w:t>
            </w:r>
          </w:p>
        </w:tc>
      </w:tr>
      <w:tr w:rsidR="00280812" w14:paraId="78F5AA49" w14:textId="77777777">
        <w:trPr>
          <w:trHeight w:val="345"/>
        </w:trPr>
        <w:tc>
          <w:tcPr>
            <w:tcW w:w="414" w:type="pct"/>
            <w:shd w:val="clear" w:color="auto" w:fill="auto"/>
            <w:vAlign w:val="center"/>
          </w:tcPr>
          <w:p w14:paraId="6944A857"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8</w:t>
            </w:r>
          </w:p>
        </w:tc>
        <w:tc>
          <w:tcPr>
            <w:tcW w:w="1547" w:type="pct"/>
            <w:shd w:val="clear" w:color="auto" w:fill="auto"/>
            <w:vAlign w:val="center"/>
          </w:tcPr>
          <w:p w14:paraId="09FB0765"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人均村庄建设用地面积（平方米）</w:t>
            </w:r>
          </w:p>
        </w:tc>
        <w:tc>
          <w:tcPr>
            <w:tcW w:w="682" w:type="pct"/>
            <w:shd w:val="clear" w:color="auto" w:fill="auto"/>
            <w:vAlign w:val="center"/>
          </w:tcPr>
          <w:p w14:paraId="7E5775D8"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 xml:space="preserve">562.46 </w:t>
            </w:r>
          </w:p>
        </w:tc>
        <w:tc>
          <w:tcPr>
            <w:tcW w:w="684" w:type="pct"/>
            <w:shd w:val="clear" w:color="auto" w:fill="auto"/>
            <w:vAlign w:val="center"/>
          </w:tcPr>
          <w:p w14:paraId="7C50DC98"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≤200</w:t>
            </w:r>
          </w:p>
        </w:tc>
        <w:tc>
          <w:tcPr>
            <w:tcW w:w="682" w:type="pct"/>
            <w:shd w:val="clear" w:color="auto" w:fill="auto"/>
            <w:vAlign w:val="center"/>
          </w:tcPr>
          <w:p w14:paraId="452BC09C"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≤180</w:t>
            </w:r>
          </w:p>
        </w:tc>
        <w:tc>
          <w:tcPr>
            <w:tcW w:w="511" w:type="pct"/>
            <w:shd w:val="clear" w:color="auto" w:fill="auto"/>
            <w:vAlign w:val="center"/>
          </w:tcPr>
          <w:p w14:paraId="3A88F138"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预期性</w:t>
            </w:r>
          </w:p>
        </w:tc>
        <w:tc>
          <w:tcPr>
            <w:tcW w:w="476" w:type="pct"/>
            <w:shd w:val="clear" w:color="auto" w:fill="auto"/>
            <w:vAlign w:val="center"/>
          </w:tcPr>
          <w:p w14:paraId="329AD54D" w14:textId="77777777" w:rsidR="00280812" w:rsidRDefault="00000000">
            <w:pPr>
              <w:widowControl/>
              <w:spacing w:line="500" w:lineRule="exact"/>
              <w:jc w:val="center"/>
              <w:rPr>
                <w:rFonts w:ascii="仿宋_GB2312" w:eastAsia="仿宋_GB2312" w:hAnsi="微软雅黑" w:cs="宋体" w:hint="eastAsia"/>
                <w:color w:val="000000"/>
                <w:kern w:val="0"/>
                <w:sz w:val="22"/>
              </w:rPr>
            </w:pPr>
            <w:proofErr w:type="gramStart"/>
            <w:r>
              <w:rPr>
                <w:rFonts w:ascii="仿宋_GB2312" w:eastAsia="仿宋_GB2312" w:hAnsi="微软雅黑" w:cs="宋体" w:hint="eastAsia"/>
                <w:color w:val="000000"/>
                <w:kern w:val="0"/>
                <w:sz w:val="22"/>
              </w:rPr>
              <w:t>乡域</w:t>
            </w:r>
            <w:proofErr w:type="gramEnd"/>
          </w:p>
        </w:tc>
      </w:tr>
      <w:tr w:rsidR="00280812" w14:paraId="2AEB36E5" w14:textId="77777777">
        <w:trPr>
          <w:trHeight w:val="315"/>
        </w:trPr>
        <w:tc>
          <w:tcPr>
            <w:tcW w:w="5000" w:type="pct"/>
            <w:gridSpan w:val="7"/>
            <w:shd w:val="clear" w:color="auto" w:fill="auto"/>
            <w:vAlign w:val="center"/>
          </w:tcPr>
          <w:p w14:paraId="03929F05"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三、空间品质</w:t>
            </w:r>
          </w:p>
        </w:tc>
      </w:tr>
      <w:tr w:rsidR="00280812" w14:paraId="764E33C1" w14:textId="77777777">
        <w:trPr>
          <w:trHeight w:val="345"/>
        </w:trPr>
        <w:tc>
          <w:tcPr>
            <w:tcW w:w="414" w:type="pct"/>
            <w:shd w:val="clear" w:color="auto" w:fill="auto"/>
            <w:vAlign w:val="center"/>
          </w:tcPr>
          <w:p w14:paraId="1CA5ABE3"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9</w:t>
            </w:r>
          </w:p>
        </w:tc>
        <w:tc>
          <w:tcPr>
            <w:tcW w:w="1547" w:type="pct"/>
            <w:shd w:val="clear" w:color="auto" w:fill="auto"/>
            <w:vAlign w:val="center"/>
          </w:tcPr>
          <w:p w14:paraId="1ABFDBE3"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公共绿地、广场用地步行 5 分钟覆盖率（%）</w:t>
            </w:r>
          </w:p>
        </w:tc>
        <w:tc>
          <w:tcPr>
            <w:tcW w:w="682" w:type="pct"/>
            <w:shd w:val="clear" w:color="auto" w:fill="auto"/>
            <w:vAlign w:val="center"/>
          </w:tcPr>
          <w:p w14:paraId="4D6364B0"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80</w:t>
            </w:r>
          </w:p>
        </w:tc>
        <w:tc>
          <w:tcPr>
            <w:tcW w:w="684" w:type="pct"/>
            <w:shd w:val="clear" w:color="auto" w:fill="auto"/>
            <w:vAlign w:val="center"/>
          </w:tcPr>
          <w:p w14:paraId="791A89E1"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95</w:t>
            </w:r>
          </w:p>
        </w:tc>
        <w:tc>
          <w:tcPr>
            <w:tcW w:w="682" w:type="pct"/>
            <w:shd w:val="clear" w:color="auto" w:fill="auto"/>
            <w:vAlign w:val="center"/>
          </w:tcPr>
          <w:p w14:paraId="0A2863B2"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98</w:t>
            </w:r>
          </w:p>
        </w:tc>
        <w:tc>
          <w:tcPr>
            <w:tcW w:w="511" w:type="pct"/>
            <w:shd w:val="clear" w:color="auto" w:fill="auto"/>
            <w:vAlign w:val="center"/>
          </w:tcPr>
          <w:p w14:paraId="4A8546F4"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预期性</w:t>
            </w:r>
          </w:p>
        </w:tc>
        <w:tc>
          <w:tcPr>
            <w:tcW w:w="476" w:type="pct"/>
            <w:shd w:val="clear" w:color="auto" w:fill="auto"/>
            <w:vAlign w:val="center"/>
          </w:tcPr>
          <w:p w14:paraId="75FFEDAE"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集镇</w:t>
            </w:r>
          </w:p>
        </w:tc>
      </w:tr>
      <w:tr w:rsidR="00280812" w14:paraId="2E88D88F" w14:textId="77777777">
        <w:trPr>
          <w:trHeight w:val="345"/>
        </w:trPr>
        <w:tc>
          <w:tcPr>
            <w:tcW w:w="414" w:type="pct"/>
            <w:shd w:val="clear" w:color="auto" w:fill="auto"/>
            <w:vAlign w:val="center"/>
          </w:tcPr>
          <w:p w14:paraId="31246395"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10</w:t>
            </w:r>
          </w:p>
        </w:tc>
        <w:tc>
          <w:tcPr>
            <w:tcW w:w="1547" w:type="pct"/>
            <w:shd w:val="clear" w:color="auto" w:fill="auto"/>
            <w:vAlign w:val="center"/>
          </w:tcPr>
          <w:p w14:paraId="5C0D1754"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乡镇生活垃圾处理率（%）</w:t>
            </w:r>
          </w:p>
        </w:tc>
        <w:tc>
          <w:tcPr>
            <w:tcW w:w="682" w:type="pct"/>
            <w:shd w:val="clear" w:color="auto" w:fill="auto"/>
            <w:vAlign w:val="center"/>
          </w:tcPr>
          <w:p w14:paraId="7D44E74D"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75</w:t>
            </w:r>
          </w:p>
        </w:tc>
        <w:tc>
          <w:tcPr>
            <w:tcW w:w="684" w:type="pct"/>
            <w:shd w:val="clear" w:color="auto" w:fill="auto"/>
            <w:vAlign w:val="center"/>
          </w:tcPr>
          <w:p w14:paraId="576A637E"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85</w:t>
            </w:r>
          </w:p>
        </w:tc>
        <w:tc>
          <w:tcPr>
            <w:tcW w:w="682" w:type="pct"/>
            <w:shd w:val="clear" w:color="auto" w:fill="auto"/>
            <w:vAlign w:val="center"/>
          </w:tcPr>
          <w:p w14:paraId="2777AF9E"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100</w:t>
            </w:r>
          </w:p>
        </w:tc>
        <w:tc>
          <w:tcPr>
            <w:tcW w:w="511" w:type="pct"/>
            <w:shd w:val="clear" w:color="auto" w:fill="auto"/>
            <w:vAlign w:val="center"/>
          </w:tcPr>
          <w:p w14:paraId="359907E2"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预期性</w:t>
            </w:r>
          </w:p>
        </w:tc>
        <w:tc>
          <w:tcPr>
            <w:tcW w:w="476" w:type="pct"/>
            <w:shd w:val="clear" w:color="auto" w:fill="auto"/>
            <w:vAlign w:val="center"/>
          </w:tcPr>
          <w:p w14:paraId="4AD02784" w14:textId="77777777" w:rsidR="00280812" w:rsidRDefault="00000000">
            <w:pPr>
              <w:widowControl/>
              <w:spacing w:line="500" w:lineRule="exact"/>
              <w:jc w:val="center"/>
              <w:rPr>
                <w:rFonts w:ascii="仿宋_GB2312" w:eastAsia="仿宋_GB2312" w:hAnsi="微软雅黑" w:cs="宋体" w:hint="eastAsia"/>
                <w:color w:val="000000"/>
                <w:kern w:val="0"/>
                <w:sz w:val="22"/>
              </w:rPr>
            </w:pPr>
            <w:proofErr w:type="gramStart"/>
            <w:r>
              <w:rPr>
                <w:rFonts w:ascii="仿宋_GB2312" w:eastAsia="仿宋_GB2312" w:hAnsi="微软雅黑" w:cs="宋体" w:hint="eastAsia"/>
                <w:color w:val="000000"/>
                <w:kern w:val="0"/>
                <w:sz w:val="22"/>
              </w:rPr>
              <w:t>乡域</w:t>
            </w:r>
            <w:proofErr w:type="gramEnd"/>
          </w:p>
        </w:tc>
      </w:tr>
      <w:tr w:rsidR="00280812" w14:paraId="576AC65A" w14:textId="77777777">
        <w:trPr>
          <w:trHeight w:val="345"/>
        </w:trPr>
        <w:tc>
          <w:tcPr>
            <w:tcW w:w="414" w:type="pct"/>
            <w:shd w:val="clear" w:color="auto" w:fill="auto"/>
            <w:vAlign w:val="center"/>
          </w:tcPr>
          <w:p w14:paraId="52E8A51D"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lastRenderedPageBreak/>
              <w:t>11</w:t>
            </w:r>
          </w:p>
        </w:tc>
        <w:tc>
          <w:tcPr>
            <w:tcW w:w="1547" w:type="pct"/>
            <w:shd w:val="clear" w:color="auto" w:fill="auto"/>
            <w:vAlign w:val="center"/>
          </w:tcPr>
          <w:p w14:paraId="42132818"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乡镇污水处理率（%）</w:t>
            </w:r>
          </w:p>
        </w:tc>
        <w:tc>
          <w:tcPr>
            <w:tcW w:w="682" w:type="pct"/>
            <w:shd w:val="clear" w:color="auto" w:fill="auto"/>
            <w:vAlign w:val="center"/>
          </w:tcPr>
          <w:p w14:paraId="73F60365"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20</w:t>
            </w:r>
          </w:p>
        </w:tc>
        <w:tc>
          <w:tcPr>
            <w:tcW w:w="684" w:type="pct"/>
            <w:shd w:val="clear" w:color="auto" w:fill="auto"/>
            <w:vAlign w:val="center"/>
          </w:tcPr>
          <w:p w14:paraId="3FED425C"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40</w:t>
            </w:r>
          </w:p>
        </w:tc>
        <w:tc>
          <w:tcPr>
            <w:tcW w:w="682" w:type="pct"/>
            <w:shd w:val="clear" w:color="auto" w:fill="auto"/>
            <w:vAlign w:val="center"/>
          </w:tcPr>
          <w:p w14:paraId="0C17A941"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100</w:t>
            </w:r>
          </w:p>
        </w:tc>
        <w:tc>
          <w:tcPr>
            <w:tcW w:w="511" w:type="pct"/>
            <w:shd w:val="clear" w:color="auto" w:fill="auto"/>
            <w:vAlign w:val="center"/>
          </w:tcPr>
          <w:p w14:paraId="02C4D053"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预期性</w:t>
            </w:r>
          </w:p>
        </w:tc>
        <w:tc>
          <w:tcPr>
            <w:tcW w:w="476" w:type="pct"/>
            <w:shd w:val="clear" w:color="auto" w:fill="auto"/>
            <w:vAlign w:val="center"/>
          </w:tcPr>
          <w:p w14:paraId="5378ABFC" w14:textId="77777777" w:rsidR="00280812" w:rsidRDefault="00000000">
            <w:pPr>
              <w:widowControl/>
              <w:spacing w:line="500" w:lineRule="exact"/>
              <w:jc w:val="center"/>
              <w:rPr>
                <w:rFonts w:ascii="仿宋_GB2312" w:eastAsia="仿宋_GB2312" w:hAnsi="微软雅黑" w:cs="宋体" w:hint="eastAsia"/>
                <w:color w:val="000000"/>
                <w:kern w:val="0"/>
                <w:sz w:val="22"/>
              </w:rPr>
            </w:pPr>
            <w:proofErr w:type="gramStart"/>
            <w:r>
              <w:rPr>
                <w:rFonts w:ascii="仿宋_GB2312" w:eastAsia="仿宋_GB2312" w:hAnsi="微软雅黑" w:cs="宋体" w:hint="eastAsia"/>
                <w:color w:val="000000"/>
                <w:kern w:val="0"/>
                <w:sz w:val="22"/>
              </w:rPr>
              <w:t>乡域</w:t>
            </w:r>
            <w:proofErr w:type="gramEnd"/>
          </w:p>
        </w:tc>
      </w:tr>
      <w:tr w:rsidR="00280812" w14:paraId="1E9C6923" w14:textId="77777777">
        <w:trPr>
          <w:trHeight w:val="345"/>
        </w:trPr>
        <w:tc>
          <w:tcPr>
            <w:tcW w:w="414" w:type="pct"/>
            <w:shd w:val="clear" w:color="auto" w:fill="auto"/>
            <w:vAlign w:val="center"/>
          </w:tcPr>
          <w:p w14:paraId="36485971"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12</w:t>
            </w:r>
          </w:p>
        </w:tc>
        <w:tc>
          <w:tcPr>
            <w:tcW w:w="1547" w:type="pct"/>
            <w:shd w:val="clear" w:color="auto" w:fill="auto"/>
            <w:vAlign w:val="center"/>
          </w:tcPr>
          <w:p w14:paraId="109C095D"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农村生活垃圾处理率（%）</w:t>
            </w:r>
          </w:p>
        </w:tc>
        <w:tc>
          <w:tcPr>
            <w:tcW w:w="682" w:type="pct"/>
            <w:shd w:val="clear" w:color="auto" w:fill="auto"/>
            <w:vAlign w:val="center"/>
          </w:tcPr>
          <w:p w14:paraId="4D1FE8EF"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80</w:t>
            </w:r>
          </w:p>
        </w:tc>
        <w:tc>
          <w:tcPr>
            <w:tcW w:w="684" w:type="pct"/>
            <w:shd w:val="clear" w:color="auto" w:fill="auto"/>
            <w:vAlign w:val="center"/>
          </w:tcPr>
          <w:p w14:paraId="5C3802D9"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90</w:t>
            </w:r>
          </w:p>
        </w:tc>
        <w:tc>
          <w:tcPr>
            <w:tcW w:w="682" w:type="pct"/>
            <w:shd w:val="clear" w:color="auto" w:fill="auto"/>
            <w:vAlign w:val="center"/>
          </w:tcPr>
          <w:p w14:paraId="6BD2197E"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100</w:t>
            </w:r>
          </w:p>
        </w:tc>
        <w:tc>
          <w:tcPr>
            <w:tcW w:w="511" w:type="pct"/>
            <w:shd w:val="clear" w:color="auto" w:fill="auto"/>
            <w:vAlign w:val="center"/>
          </w:tcPr>
          <w:p w14:paraId="7628EEBB" w14:textId="77777777" w:rsidR="00280812" w:rsidRDefault="00000000">
            <w:pPr>
              <w:widowControl/>
              <w:spacing w:line="500" w:lineRule="exact"/>
              <w:jc w:val="center"/>
              <w:rPr>
                <w:rFonts w:ascii="仿宋_GB2312" w:eastAsia="仿宋_GB2312" w:hAnsi="微软雅黑" w:cs="宋体" w:hint="eastAsia"/>
                <w:color w:val="000000"/>
                <w:kern w:val="0"/>
                <w:sz w:val="22"/>
              </w:rPr>
            </w:pPr>
            <w:r>
              <w:rPr>
                <w:rFonts w:ascii="仿宋_GB2312" w:eastAsia="仿宋_GB2312" w:hAnsi="微软雅黑" w:cs="宋体" w:hint="eastAsia"/>
                <w:color w:val="000000"/>
                <w:kern w:val="0"/>
                <w:sz w:val="22"/>
              </w:rPr>
              <w:t>预期性</w:t>
            </w:r>
          </w:p>
        </w:tc>
        <w:tc>
          <w:tcPr>
            <w:tcW w:w="476" w:type="pct"/>
            <w:shd w:val="clear" w:color="auto" w:fill="auto"/>
            <w:vAlign w:val="center"/>
          </w:tcPr>
          <w:p w14:paraId="1B5B74CC" w14:textId="77777777" w:rsidR="00280812" w:rsidRDefault="00000000">
            <w:pPr>
              <w:widowControl/>
              <w:spacing w:line="500" w:lineRule="exact"/>
              <w:jc w:val="center"/>
              <w:rPr>
                <w:rFonts w:ascii="仿宋_GB2312" w:eastAsia="仿宋_GB2312" w:hAnsi="微软雅黑" w:cs="宋体" w:hint="eastAsia"/>
                <w:color w:val="000000"/>
                <w:kern w:val="0"/>
                <w:sz w:val="22"/>
              </w:rPr>
            </w:pPr>
            <w:proofErr w:type="gramStart"/>
            <w:r>
              <w:rPr>
                <w:rFonts w:ascii="仿宋_GB2312" w:eastAsia="仿宋_GB2312" w:hAnsi="微软雅黑" w:cs="宋体" w:hint="eastAsia"/>
                <w:color w:val="000000"/>
                <w:kern w:val="0"/>
                <w:sz w:val="22"/>
              </w:rPr>
              <w:t>乡域</w:t>
            </w:r>
            <w:proofErr w:type="gramEnd"/>
          </w:p>
        </w:tc>
      </w:tr>
    </w:tbl>
    <w:p w14:paraId="21292BE6" w14:textId="77777777" w:rsidR="00280812" w:rsidRDefault="00000000">
      <w:pPr>
        <w:pStyle w:val="a0"/>
        <w:ind w:left="0" w:firstLineChars="200" w:firstLine="640"/>
      </w:pPr>
      <w:r>
        <w:rPr>
          <w:rFonts w:hint="eastAsia"/>
        </w:rPr>
        <w:t>国土空间开发保护战略</w:t>
      </w:r>
    </w:p>
    <w:p w14:paraId="059E2032" w14:textId="77777777" w:rsidR="00280812" w:rsidRDefault="00000000">
      <w:pPr>
        <w:pStyle w:val="a7"/>
        <w:ind w:firstLine="640"/>
      </w:pPr>
      <w:bookmarkStart w:id="25" w:name="_Hlk163652612"/>
      <w:r>
        <w:rPr>
          <w:rFonts w:ascii="楷体_GB2312" w:eastAsia="楷体_GB2312" w:hAnsi="楷体_GB2312" w:cs="楷体_GB2312" w:hint="eastAsia"/>
          <w:szCs w:val="32"/>
        </w:rPr>
        <w:t>生态优先，绿色发展</w:t>
      </w:r>
      <w:bookmarkStart w:id="26" w:name="_Hlk148270179"/>
      <w:r>
        <w:rPr>
          <w:rFonts w:ascii="楷体_GB2312" w:eastAsia="楷体_GB2312" w:hAnsi="楷体_GB2312" w:cs="楷体_GB2312" w:hint="eastAsia"/>
          <w:szCs w:val="32"/>
        </w:rPr>
        <w:t>。</w:t>
      </w:r>
      <w:r>
        <w:t>坚定</w:t>
      </w:r>
      <w:proofErr w:type="gramStart"/>
      <w:r>
        <w:t>践行</w:t>
      </w:r>
      <w:proofErr w:type="gramEnd"/>
      <w:r>
        <w:rPr>
          <w:rFonts w:hint="eastAsia"/>
        </w:rPr>
        <w:t>“</w:t>
      </w:r>
      <w:r>
        <w:t>绿水青山就是金山银山</w:t>
      </w:r>
      <w:r>
        <w:rPr>
          <w:rFonts w:hint="eastAsia"/>
        </w:rPr>
        <w:t>”</w:t>
      </w:r>
      <w:r>
        <w:t>的发展理念，以</w:t>
      </w:r>
      <w:r>
        <w:rPr>
          <w:rFonts w:hint="eastAsia"/>
        </w:rPr>
        <w:t>铁盖</w:t>
      </w:r>
      <w:r>
        <w:t>乡生态环境为本底，加强对</w:t>
      </w:r>
      <w:r>
        <w:rPr>
          <w:rFonts w:hint="eastAsia"/>
        </w:rPr>
        <w:t>黄河流域以及塔拉滩地区</w:t>
      </w:r>
      <w:r>
        <w:t>生态环境保护，构筑城乡绿色发展的根基；以全域土地整治和生态修复为重要抓手，增加耕地数量、提升耕地质量等级、优化农田灌溉体系，构筑</w:t>
      </w:r>
      <w:r>
        <w:rPr>
          <w:rFonts w:hint="eastAsia"/>
        </w:rPr>
        <w:t>铁盖乡</w:t>
      </w:r>
      <w:r>
        <w:t>生态</w:t>
      </w:r>
      <w:r>
        <w:rPr>
          <w:rFonts w:hint="eastAsia"/>
        </w:rPr>
        <w:t>保护格局</w:t>
      </w:r>
      <w:r>
        <w:t>。</w:t>
      </w:r>
    </w:p>
    <w:bookmarkEnd w:id="26"/>
    <w:p w14:paraId="1E45DC48" w14:textId="77777777" w:rsidR="00280812" w:rsidRDefault="00000000">
      <w:pPr>
        <w:pStyle w:val="a7"/>
        <w:ind w:firstLine="640"/>
      </w:pPr>
      <w:r>
        <w:rPr>
          <w:rFonts w:ascii="楷体_GB2312" w:eastAsia="楷体_GB2312" w:hAnsi="楷体_GB2312" w:cs="楷体_GB2312" w:hint="eastAsia"/>
          <w:szCs w:val="32"/>
        </w:rPr>
        <w:t>产业为纲，融合发展</w:t>
      </w:r>
      <w:bookmarkStart w:id="27" w:name="_Hlk148270212"/>
      <w:r>
        <w:rPr>
          <w:rFonts w:ascii="楷体_GB2312" w:eastAsia="楷体_GB2312" w:hAnsi="楷体_GB2312" w:cs="楷体_GB2312" w:hint="eastAsia"/>
          <w:szCs w:val="32"/>
        </w:rPr>
        <w:t>。</w:t>
      </w:r>
      <w:r>
        <w:rPr>
          <w:rFonts w:hint="eastAsia"/>
        </w:rPr>
        <w:t>铁盖乡按照“粮经兼顾、农牧结合、种养联动、资源循环”的思路，积极调整优化农牧业产业结构。大力发展乡村旅游业，提升旅游服务水平，</w:t>
      </w:r>
      <w:r>
        <w:t>提升</w:t>
      </w:r>
      <w:r>
        <w:rPr>
          <w:rFonts w:hint="eastAsia"/>
        </w:rPr>
        <w:t>铁盖乡农牧旅</w:t>
      </w:r>
      <w:r>
        <w:t>融合发展的实力。</w:t>
      </w:r>
    </w:p>
    <w:bookmarkEnd w:id="27"/>
    <w:p w14:paraId="63FD4071" w14:textId="77777777" w:rsidR="00280812" w:rsidRDefault="00000000">
      <w:pPr>
        <w:pStyle w:val="a7"/>
        <w:ind w:firstLine="640"/>
      </w:pPr>
      <w:r>
        <w:rPr>
          <w:rFonts w:ascii="楷体_GB2312" w:eastAsia="楷体_GB2312" w:hAnsi="楷体_GB2312" w:cs="楷体_GB2312" w:hint="eastAsia"/>
          <w:szCs w:val="32"/>
        </w:rPr>
        <w:t>适当集聚，品质发展</w:t>
      </w:r>
      <w:bookmarkStart w:id="28" w:name="_Hlk148270232"/>
      <w:r>
        <w:rPr>
          <w:rFonts w:ascii="楷体_GB2312" w:eastAsia="楷体_GB2312" w:hAnsi="楷体_GB2312" w:cs="楷体_GB2312" w:hint="eastAsia"/>
          <w:szCs w:val="32"/>
        </w:rPr>
        <w:t>。</w:t>
      </w:r>
      <w:r>
        <w:rPr>
          <w:rFonts w:hint="eastAsia"/>
        </w:rPr>
        <w:t>围绕满足人民群众对美好生活的向往，铁盖</w:t>
      </w:r>
      <w:proofErr w:type="gramStart"/>
      <w:r>
        <w:rPr>
          <w:rFonts w:hint="eastAsia"/>
        </w:rPr>
        <w:t>乡</w:t>
      </w:r>
      <w:r>
        <w:t>按照</w:t>
      </w:r>
      <w:proofErr w:type="gramEnd"/>
      <w:r>
        <w:t>内涵提升、集约高效的发展要求，建立层次分明、主次有序、分工明确的乡村体系。</w:t>
      </w:r>
      <w:proofErr w:type="gramStart"/>
      <w:r>
        <w:t>完善</w:t>
      </w:r>
      <w:r>
        <w:rPr>
          <w:rFonts w:hint="eastAsia"/>
        </w:rPr>
        <w:t>乡</w:t>
      </w:r>
      <w:proofErr w:type="gramEnd"/>
      <w:r>
        <w:rPr>
          <w:rFonts w:hint="eastAsia"/>
        </w:rPr>
        <w:t>集镇</w:t>
      </w:r>
      <w:r>
        <w:t>和中心村的基础设施和公共服务设施，推进城乡服务设施向乡村延伸，提升人居环境，提高村民生活品质</w:t>
      </w:r>
      <w:r>
        <w:rPr>
          <w:rFonts w:hint="eastAsia"/>
        </w:rPr>
        <w:t>。</w:t>
      </w:r>
      <w:bookmarkEnd w:id="25"/>
      <w:bookmarkEnd w:id="28"/>
    </w:p>
    <w:p w14:paraId="111EEAEC" w14:textId="77777777" w:rsidR="00280812" w:rsidRDefault="00000000">
      <w:pPr>
        <w:pStyle w:val="2"/>
        <w:numPr>
          <w:ilvl w:val="0"/>
          <w:numId w:val="5"/>
        </w:numPr>
        <w:rPr>
          <w:lang w:val="zh-CN"/>
        </w:rPr>
      </w:pPr>
      <w:bookmarkStart w:id="29" w:name="_Toc164418042"/>
      <w:bookmarkStart w:id="30" w:name="_Hlk148270252"/>
      <w:bookmarkStart w:id="31" w:name="_Toc209177562"/>
      <w:r>
        <w:rPr>
          <w:rFonts w:hint="eastAsia"/>
          <w:lang w:val="zh-CN"/>
        </w:rPr>
        <w:t>区域协同</w:t>
      </w:r>
      <w:bookmarkEnd w:id="29"/>
      <w:bookmarkEnd w:id="31"/>
    </w:p>
    <w:p w14:paraId="6A2721AB" w14:textId="77777777" w:rsidR="00280812" w:rsidRDefault="00000000">
      <w:pPr>
        <w:pStyle w:val="a0"/>
        <w:ind w:left="0" w:firstLineChars="200" w:firstLine="640"/>
      </w:pPr>
      <w:r>
        <w:rPr>
          <w:rFonts w:hint="eastAsia"/>
        </w:rPr>
        <w:t>生态环境共治共保</w:t>
      </w:r>
    </w:p>
    <w:p w14:paraId="7A439753" w14:textId="77777777" w:rsidR="00280812" w:rsidRDefault="00000000">
      <w:pPr>
        <w:pStyle w:val="a7"/>
        <w:ind w:firstLine="640"/>
      </w:pPr>
      <w:r>
        <w:rPr>
          <w:rFonts w:hint="eastAsia"/>
        </w:rPr>
        <w:t>与龙羊峡镇协同推进黄河流域生态保护和综合治理，</w:t>
      </w:r>
      <w:r>
        <w:rPr>
          <w:rFonts w:hint="eastAsia"/>
        </w:rPr>
        <w:lastRenderedPageBreak/>
        <w:t>组织实施国土绿化工程、防风治沙和水土保持等重点生态建设项目，</w:t>
      </w:r>
      <w:r>
        <w:t>不断筑牢</w:t>
      </w:r>
      <w:r>
        <w:rPr>
          <w:rFonts w:hint="eastAsia"/>
        </w:rPr>
        <w:t>共和县</w:t>
      </w:r>
      <w:r>
        <w:t>生态安全屏障</w:t>
      </w:r>
      <w:r>
        <w:rPr>
          <w:rFonts w:hint="eastAsia"/>
        </w:rPr>
        <w:t>，推动黄河流域生态保护和高质量发展。</w:t>
      </w:r>
    </w:p>
    <w:p w14:paraId="0E11552C" w14:textId="77777777" w:rsidR="00280812" w:rsidRDefault="00000000">
      <w:pPr>
        <w:pStyle w:val="a0"/>
        <w:ind w:left="0" w:firstLineChars="200" w:firstLine="640"/>
      </w:pPr>
      <w:r>
        <w:rPr>
          <w:rFonts w:hint="eastAsia"/>
        </w:rPr>
        <w:t>基础设施互联互通</w:t>
      </w:r>
    </w:p>
    <w:p w14:paraId="49FD42F0" w14:textId="77777777" w:rsidR="00280812" w:rsidRDefault="00000000">
      <w:pPr>
        <w:pStyle w:val="a7"/>
        <w:ind w:firstLine="640"/>
      </w:pPr>
      <w:r>
        <w:rPr>
          <w:rFonts w:hint="eastAsia"/>
        </w:rPr>
        <w:t>积极</w:t>
      </w:r>
      <w:r>
        <w:t>推动能源、交通、信息三大基础设施网络互联互通、融合发展。</w:t>
      </w:r>
      <w:r>
        <w:rPr>
          <w:rFonts w:hint="eastAsia"/>
        </w:rPr>
        <w:t>提升道路交通等级，</w:t>
      </w:r>
      <w:r>
        <w:t>加快城乡基础设施互联互通，</w:t>
      </w:r>
      <w:r>
        <w:rPr>
          <w:rFonts w:hint="eastAsia"/>
        </w:rPr>
        <w:t>支撑沿黄地区资源要素充分、高效流动，推动沿黄城乡协同发展，</w:t>
      </w:r>
      <w:r>
        <w:t>改善沿线乡镇人居环境，带动沿线居民就业创收，推动</w:t>
      </w:r>
      <w:r>
        <w:rPr>
          <w:rFonts w:hint="eastAsia"/>
        </w:rPr>
        <w:t>共和县</w:t>
      </w:r>
      <w:r>
        <w:t>乡村振兴发展，为建设</w:t>
      </w:r>
      <w:r>
        <w:rPr>
          <w:rFonts w:hint="eastAsia"/>
        </w:rPr>
        <w:t>高原</w:t>
      </w:r>
      <w:r>
        <w:t>美丽乡</w:t>
      </w:r>
      <w:r>
        <w:rPr>
          <w:rFonts w:hint="eastAsia"/>
        </w:rPr>
        <w:t>村</w:t>
      </w:r>
      <w:r>
        <w:t>，实现全面建成小康社会奠定基础。</w:t>
      </w:r>
    </w:p>
    <w:p w14:paraId="13FDD5BF" w14:textId="77777777" w:rsidR="00280812" w:rsidRDefault="00000000">
      <w:pPr>
        <w:pStyle w:val="a0"/>
        <w:ind w:left="0" w:firstLineChars="200" w:firstLine="640"/>
      </w:pPr>
      <w:r>
        <w:rPr>
          <w:rFonts w:hint="eastAsia"/>
        </w:rPr>
        <w:t>公共服务设施共建共享</w:t>
      </w:r>
    </w:p>
    <w:p w14:paraId="0BFDAABA" w14:textId="77777777" w:rsidR="00280812" w:rsidRDefault="00000000">
      <w:pPr>
        <w:pStyle w:val="a7"/>
        <w:ind w:firstLine="640"/>
      </w:pPr>
      <w:r>
        <w:rPr>
          <w:rFonts w:hint="eastAsia"/>
        </w:rPr>
        <w:t>持续优化教育、医疗、文化等公共资源配置，增强服务功能。加快打造现代服务业高地，积极发展酒店、餐饮、物流、旅游服务等现代服务业，发挥连接县城、服务乡村作用，推动城乡基础设施一体化、基本公共服务均等化，加快城乡融合发展步伐。</w:t>
      </w:r>
    </w:p>
    <w:p w14:paraId="1D8B46BD" w14:textId="77777777" w:rsidR="00280812" w:rsidRDefault="00000000">
      <w:pPr>
        <w:pStyle w:val="a0"/>
        <w:ind w:left="0" w:firstLineChars="200" w:firstLine="640"/>
      </w:pPr>
      <w:proofErr w:type="gramStart"/>
      <w:r>
        <w:rPr>
          <w:rFonts w:hint="eastAsia"/>
        </w:rPr>
        <w:t>邻避设施</w:t>
      </w:r>
      <w:proofErr w:type="gramEnd"/>
      <w:r>
        <w:rPr>
          <w:rFonts w:hint="eastAsia"/>
        </w:rPr>
        <w:t>布局合理</w:t>
      </w:r>
    </w:p>
    <w:p w14:paraId="032577BD" w14:textId="77777777" w:rsidR="00280812" w:rsidRDefault="00000000">
      <w:pPr>
        <w:pStyle w:val="a7"/>
        <w:ind w:firstLine="640"/>
      </w:pPr>
      <w:proofErr w:type="gramStart"/>
      <w:r>
        <w:rPr>
          <w:rFonts w:hint="eastAsia"/>
        </w:rPr>
        <w:t>邻避设施</w:t>
      </w:r>
      <w:proofErr w:type="gramEnd"/>
      <w:r>
        <w:rPr>
          <w:rFonts w:hint="eastAsia"/>
        </w:rPr>
        <w:t>规划布局应尽量具有前瞻性，留足发展空间和余量。铁盖乡新建污水处理厂和垃圾处理厂周围人口稀疏，对居民生活的影响比较小。</w:t>
      </w:r>
    </w:p>
    <w:p w14:paraId="4F6F2E2E" w14:textId="77777777" w:rsidR="00280812" w:rsidRDefault="00000000">
      <w:pPr>
        <w:pStyle w:val="a0"/>
        <w:ind w:left="0" w:firstLineChars="200" w:firstLine="640"/>
      </w:pPr>
      <w:r>
        <w:rPr>
          <w:rFonts w:hint="eastAsia"/>
        </w:rPr>
        <w:t>历史文化协同保护</w:t>
      </w:r>
    </w:p>
    <w:p w14:paraId="774B6E1B" w14:textId="77777777" w:rsidR="00280812" w:rsidRDefault="00000000">
      <w:pPr>
        <w:pStyle w:val="a7"/>
        <w:ind w:firstLine="640"/>
      </w:pPr>
      <w:r>
        <w:rPr>
          <w:rFonts w:hint="eastAsia"/>
        </w:rPr>
        <w:t>以服务黄河流域生态保护和高质量发展为主线，充分挖掘和研究黄河文化内涵，进行系统化的挖掘、整理和融</w:t>
      </w:r>
      <w:r>
        <w:rPr>
          <w:rFonts w:hint="eastAsia"/>
        </w:rPr>
        <w:lastRenderedPageBreak/>
        <w:t>合，着力保护黄河文化遗产资源，加强公共文化产品和服务供给，更好满足人民群众精神文化生活需要。</w:t>
      </w:r>
    </w:p>
    <w:p w14:paraId="23CBF906" w14:textId="77777777" w:rsidR="00280812" w:rsidRDefault="00000000">
      <w:pPr>
        <w:pStyle w:val="a7"/>
        <w:ind w:firstLine="640"/>
      </w:pPr>
      <w:r>
        <w:rPr>
          <w:rFonts w:hint="eastAsia"/>
        </w:rPr>
        <w:t>立足黄河流域乡土特色和地域特点，协同沿线乡镇积极建设沿</w:t>
      </w:r>
      <w:proofErr w:type="gramStart"/>
      <w:r>
        <w:rPr>
          <w:rFonts w:hint="eastAsia"/>
        </w:rPr>
        <w:t>黄文化</w:t>
      </w:r>
      <w:proofErr w:type="gramEnd"/>
      <w:r>
        <w:rPr>
          <w:rFonts w:hint="eastAsia"/>
        </w:rPr>
        <w:t>旅游城镇，发展乡村休闲旅游，积极融入黄河流域山水林田湖草</w:t>
      </w:r>
      <w:proofErr w:type="gramStart"/>
      <w:r>
        <w:rPr>
          <w:rFonts w:hint="eastAsia"/>
        </w:rPr>
        <w:t>沙自然</w:t>
      </w:r>
      <w:proofErr w:type="gramEnd"/>
      <w:r>
        <w:rPr>
          <w:rFonts w:hint="eastAsia"/>
        </w:rPr>
        <w:t>风貌。分级推进乡村振兴发展，重点发展上合乐寺村、下合乐寺村和</w:t>
      </w:r>
      <w:proofErr w:type="gramStart"/>
      <w:r>
        <w:rPr>
          <w:rFonts w:hint="eastAsia"/>
        </w:rPr>
        <w:t>托勒台村</w:t>
      </w:r>
      <w:proofErr w:type="gramEnd"/>
      <w:r>
        <w:rPr>
          <w:rFonts w:hint="eastAsia"/>
        </w:rPr>
        <w:t>等作为沿</w:t>
      </w:r>
      <w:proofErr w:type="gramStart"/>
      <w:r>
        <w:rPr>
          <w:rFonts w:hint="eastAsia"/>
        </w:rPr>
        <w:t>黄旅游</w:t>
      </w:r>
      <w:proofErr w:type="gramEnd"/>
      <w:r>
        <w:rPr>
          <w:rFonts w:hint="eastAsia"/>
        </w:rPr>
        <w:t>节点，发挥特色优势，促进农村产业融合发展。</w:t>
      </w:r>
    </w:p>
    <w:p w14:paraId="631D0E5B" w14:textId="77777777" w:rsidR="00280812" w:rsidRDefault="00000000">
      <w:pPr>
        <w:pStyle w:val="a0"/>
        <w:ind w:left="0" w:firstLineChars="200" w:firstLine="640"/>
      </w:pPr>
      <w:r>
        <w:rPr>
          <w:rFonts w:hint="eastAsia"/>
        </w:rPr>
        <w:t>镇村联动</w:t>
      </w:r>
    </w:p>
    <w:p w14:paraId="6CBC9538" w14:textId="77777777" w:rsidR="00280812" w:rsidRDefault="00000000">
      <w:pPr>
        <w:pStyle w:val="a7"/>
        <w:ind w:firstLine="640"/>
      </w:pPr>
      <w:r>
        <w:t>依托</w:t>
      </w:r>
      <w:r>
        <w:rPr>
          <w:rFonts w:hint="eastAsia"/>
        </w:rPr>
        <w:t>乡镇国土空间总体</w:t>
      </w:r>
      <w:r>
        <w:t>规划，打造一批乡村振兴联合体，推进乡村集群振兴，推动乡村资源共享、产业共兴、品牌共塑。</w:t>
      </w:r>
      <w:r>
        <w:rPr>
          <w:rFonts w:hint="eastAsia"/>
        </w:rPr>
        <w:t>乡政府驻地</w:t>
      </w:r>
      <w:r>
        <w:t>承担区域</w:t>
      </w:r>
      <w:r>
        <w:rPr>
          <w:rFonts w:hint="eastAsia"/>
        </w:rPr>
        <w:t>商贸、物流、</w:t>
      </w:r>
      <w:r>
        <w:t>服务</w:t>
      </w:r>
      <w:r>
        <w:rPr>
          <w:rFonts w:hint="eastAsia"/>
        </w:rPr>
        <w:t>等</w:t>
      </w:r>
      <w:r>
        <w:t>产业空间载体</w:t>
      </w:r>
      <w:r>
        <w:rPr>
          <w:rFonts w:hint="eastAsia"/>
        </w:rPr>
        <w:t>，</w:t>
      </w:r>
      <w:r>
        <w:t>同时全域推进</w:t>
      </w:r>
      <w:r>
        <w:rPr>
          <w:rFonts w:hint="eastAsia"/>
        </w:rPr>
        <w:t>移民</w:t>
      </w:r>
      <w:r>
        <w:t>文化、乡村休闲旅游、农家乐民宿</w:t>
      </w:r>
      <w:r>
        <w:rPr>
          <w:rFonts w:hint="eastAsia"/>
        </w:rPr>
        <w:t>、沙漠旅游等</w:t>
      </w:r>
      <w:r>
        <w:t>特质化发展，推进一二三产融合。</w:t>
      </w:r>
    </w:p>
    <w:p w14:paraId="19B56F38" w14:textId="77777777" w:rsidR="00280812" w:rsidRDefault="00000000">
      <w:pPr>
        <w:pStyle w:val="a7"/>
        <w:ind w:firstLine="640"/>
      </w:pPr>
      <w:r>
        <w:rPr>
          <w:rFonts w:hint="eastAsia"/>
        </w:rPr>
        <w:t>高水平开展农村人居环境整治提升行动，构建生产生活生态融合、人与自然和谐共生、自然人文特色彰显的美丽宜居镇村新格局。加强村庄风貌引导和农房风貌塑造，着力打造具有民族韵、乡愁味、高原情的风情和气质的生态宜居新乡村。公共服务配套设施布局优化，全面提升村级电子商务、物流快递、公交站点等设施，全速提档升级乡村各项设施。</w:t>
      </w:r>
    </w:p>
    <w:bookmarkEnd w:id="30"/>
    <w:p w14:paraId="60788425" w14:textId="77777777" w:rsidR="00280812" w:rsidRDefault="00000000">
      <w:pPr>
        <w:widowControl/>
        <w:jc w:val="left"/>
      </w:pPr>
      <w:r>
        <w:br w:type="page"/>
      </w:r>
    </w:p>
    <w:p w14:paraId="3CD77E94" w14:textId="77777777" w:rsidR="00280812" w:rsidRDefault="00000000">
      <w:pPr>
        <w:pStyle w:val="1"/>
        <w:ind w:left="0" w:firstLine="0"/>
      </w:pPr>
      <w:bookmarkStart w:id="32" w:name="_Toc209177563"/>
      <w:r>
        <w:rPr>
          <w:rFonts w:hint="eastAsia"/>
        </w:rPr>
        <w:lastRenderedPageBreak/>
        <w:t>以“三区三线”为基础，优化总体格局</w:t>
      </w:r>
      <w:bookmarkEnd w:id="32"/>
    </w:p>
    <w:p w14:paraId="321FC870" w14:textId="77777777" w:rsidR="00280812" w:rsidRDefault="00000000">
      <w:pPr>
        <w:pStyle w:val="2"/>
        <w:numPr>
          <w:ilvl w:val="0"/>
          <w:numId w:val="6"/>
        </w:numPr>
        <w:rPr>
          <w:lang w:val="zh-CN"/>
        </w:rPr>
      </w:pPr>
      <w:bookmarkStart w:id="33" w:name="_Toc209177564"/>
      <w:r>
        <w:rPr>
          <w:rFonts w:hint="eastAsia"/>
          <w:lang w:val="zh-CN"/>
        </w:rPr>
        <w:t>筑牢</w:t>
      </w:r>
      <w:proofErr w:type="gramStart"/>
      <w:r>
        <w:rPr>
          <w:rFonts w:hint="eastAsia"/>
          <w:lang w:val="zh-CN"/>
        </w:rPr>
        <w:t>安全发展</w:t>
      </w:r>
      <w:proofErr w:type="gramEnd"/>
      <w:r>
        <w:rPr>
          <w:rFonts w:hint="eastAsia"/>
          <w:lang w:val="zh-CN"/>
        </w:rPr>
        <w:t>的空间基础</w:t>
      </w:r>
      <w:bookmarkEnd w:id="33"/>
    </w:p>
    <w:p w14:paraId="08592DE8" w14:textId="77777777" w:rsidR="00280812" w:rsidRDefault="00000000">
      <w:pPr>
        <w:pStyle w:val="a0"/>
        <w:ind w:left="0" w:firstLineChars="200" w:firstLine="640"/>
      </w:pPr>
      <w:r>
        <w:rPr>
          <w:rFonts w:hint="eastAsia"/>
        </w:rPr>
        <w:t>落实耕地和永久基本农田保护目标</w:t>
      </w:r>
    </w:p>
    <w:p w14:paraId="6042E01E" w14:textId="77777777" w:rsidR="00280812" w:rsidRDefault="00000000">
      <w:pPr>
        <w:pStyle w:val="a7"/>
        <w:ind w:firstLine="640"/>
        <w:rPr>
          <w:rFonts w:hAnsi="仿宋_GB2312" w:cs="仿宋_GB2312" w:hint="eastAsia"/>
          <w:szCs w:val="32"/>
        </w:rPr>
      </w:pPr>
      <w:r>
        <w:rPr>
          <w:rFonts w:hAnsi="仿宋_GB2312" w:cs="仿宋_GB2312" w:hint="eastAsia"/>
          <w:szCs w:val="32"/>
          <w:u w:val="single"/>
        </w:rPr>
        <w:t>到2035年，铁盖乡耕地保护任务不少于1.1547万亩，永久基本农田保护面积不少于1.0717万亩，主要分布在黄河灌区和克才灌区。</w:t>
      </w:r>
      <w:r>
        <w:rPr>
          <w:rFonts w:hAnsi="仿宋_GB2312" w:cs="仿宋_GB2312" w:hint="eastAsia"/>
          <w:szCs w:val="32"/>
        </w:rPr>
        <w:t>从严管控非农建设占用永久基本农田，永久基本农田一经划定，任何单位和个人不得擅自占用或者擅自改变用途，严禁通过擅自调整规划规避占用永久基本农田的审批，严禁未经审批违法违规占用。坚决防止永久基本农田“非农化”，永久基本农田必须坚持农地农用，禁止破坏永久基本农田活动，禁止占用永久基本农田植树造林，禁止闲置、撂荒永久基本农田，禁止以设施农用地为名乱占永久基本农田。</w:t>
      </w:r>
    </w:p>
    <w:tbl>
      <w:tblPr>
        <w:tblStyle w:val="af"/>
        <w:tblW w:w="5000" w:type="pct"/>
        <w:tblLook w:val="04A0" w:firstRow="1" w:lastRow="0" w:firstColumn="1" w:lastColumn="0" w:noHBand="0" w:noVBand="1"/>
      </w:tblPr>
      <w:tblGrid>
        <w:gridCol w:w="795"/>
        <w:gridCol w:w="7501"/>
      </w:tblGrid>
      <w:tr w:rsidR="00280812" w14:paraId="178A7AC8" w14:textId="7777777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09CB9A4" w14:textId="77777777" w:rsidR="00280812" w:rsidRDefault="00000000">
            <w:pPr>
              <w:pStyle w:val="af9"/>
              <w:rPr>
                <w:rFonts w:cs="Times New Roman" w:hint="eastAsia"/>
              </w:rPr>
            </w:pPr>
            <w:r>
              <w:t>专栏2</w:t>
            </w:r>
            <w:r>
              <w:rPr>
                <w:rFonts w:hint="eastAsia"/>
              </w:rPr>
              <w:t xml:space="preserve"> </w:t>
            </w:r>
            <w:r>
              <w:t>耕地和永久基本农田保护红线管理规则</w:t>
            </w:r>
          </w:p>
        </w:tc>
      </w:tr>
      <w:tr w:rsidR="00280812" w14:paraId="7488DCF0" w14:textId="77777777">
        <w:tc>
          <w:tcPr>
            <w:tcW w:w="479" w:type="pct"/>
            <w:tcBorders>
              <w:top w:val="single" w:sz="4" w:space="0" w:color="auto"/>
              <w:left w:val="single" w:sz="4" w:space="0" w:color="auto"/>
              <w:bottom w:val="single" w:sz="4" w:space="0" w:color="auto"/>
              <w:right w:val="single" w:sz="4" w:space="0" w:color="auto"/>
            </w:tcBorders>
            <w:shd w:val="clear" w:color="auto" w:fill="auto"/>
          </w:tcPr>
          <w:p w14:paraId="369518F5" w14:textId="77777777" w:rsidR="00280812" w:rsidRDefault="00000000">
            <w:pPr>
              <w:spacing w:line="500" w:lineRule="exact"/>
              <w:rPr>
                <w:rFonts w:ascii="仿宋_GB2312" w:eastAsia="仿宋_GB2312" w:hAnsi="宋体" w:cs="Times New Roman" w:hint="eastAsia"/>
                <w:sz w:val="24"/>
                <w:szCs w:val="24"/>
              </w:rPr>
            </w:pPr>
            <w:r>
              <w:rPr>
                <w:rFonts w:ascii="仿宋_GB2312" w:eastAsia="仿宋_GB2312" w:hAnsi="宋体" w:cs="仿宋_GB2312"/>
                <w:sz w:val="24"/>
                <w:szCs w:val="24"/>
                <w:lang w:bidi="ar"/>
              </w:rPr>
              <w:t>耕地</w:t>
            </w:r>
          </w:p>
        </w:tc>
        <w:tc>
          <w:tcPr>
            <w:tcW w:w="4521" w:type="pct"/>
            <w:tcBorders>
              <w:top w:val="single" w:sz="4" w:space="0" w:color="auto"/>
              <w:left w:val="single" w:sz="4" w:space="0" w:color="auto"/>
              <w:bottom w:val="single" w:sz="4" w:space="0" w:color="auto"/>
              <w:right w:val="single" w:sz="4" w:space="0" w:color="auto"/>
            </w:tcBorders>
            <w:shd w:val="clear" w:color="auto" w:fill="auto"/>
          </w:tcPr>
          <w:p w14:paraId="10EB4D3B" w14:textId="77777777" w:rsidR="00280812" w:rsidRDefault="00000000">
            <w:pPr>
              <w:pStyle w:val="af7"/>
              <w:ind w:firstLine="480"/>
              <w:rPr>
                <w:rFonts w:cs="Times New Roman" w:hint="eastAsia"/>
              </w:rPr>
            </w:pPr>
            <w:r>
              <w:rPr>
                <w:lang w:bidi="ar"/>
              </w:rPr>
              <w:t>国家对耕地实行特殊保护，严守耕地保护红线，严格控制耕地转为林地、草地、园地等其他农用地，并落实国家耕地保护补偿制度，具体办法和耕地保护补偿实施步骤按照自然资源部有关部门规定执行。</w:t>
            </w:r>
          </w:p>
          <w:p w14:paraId="2DFE808A" w14:textId="77777777" w:rsidR="00280812" w:rsidRDefault="00000000">
            <w:pPr>
              <w:pStyle w:val="af7"/>
              <w:ind w:firstLine="480"/>
              <w:rPr>
                <w:rFonts w:cs="Times New Roman" w:hint="eastAsia"/>
              </w:rPr>
            </w:pPr>
            <w:r>
              <w:rPr>
                <w:lang w:bidi="ar"/>
              </w:rPr>
              <w:t>非农业建设经批准占用耕地的，按照</w:t>
            </w:r>
            <w:r>
              <w:rPr>
                <w:lang w:bidi="ar"/>
              </w:rPr>
              <w:t>“</w:t>
            </w:r>
            <w:r>
              <w:rPr>
                <w:lang w:bidi="ar"/>
              </w:rPr>
              <w:t>占多少、垦多少</w:t>
            </w:r>
            <w:r>
              <w:rPr>
                <w:lang w:bidi="ar"/>
              </w:rPr>
              <w:t>”</w:t>
            </w:r>
            <w:r>
              <w:rPr>
                <w:lang w:bidi="ar"/>
              </w:rPr>
              <w:t>的原则，由占用耕地的单位负责开垦与所占用耕地的数量相等、质量相当的耕地；没有条件开垦或者开垦的耕地不符合要求的，应当按照青海省的规定缴纳耕地开垦费，专款用于开垦新的耕地。</w:t>
            </w:r>
          </w:p>
          <w:p w14:paraId="1795F924" w14:textId="77777777" w:rsidR="00280812" w:rsidRDefault="00000000">
            <w:pPr>
              <w:pStyle w:val="af7"/>
              <w:ind w:firstLine="480"/>
              <w:rPr>
                <w:rFonts w:cs="Times New Roman" w:hint="eastAsia"/>
              </w:rPr>
            </w:pPr>
            <w:r>
              <w:rPr>
                <w:lang w:bidi="ar"/>
              </w:rPr>
              <w:t>各类非农建设、农业结构调整、造林种树等各类占用耕地行为统一纳入耕地占补平衡管理，优先将适宜恢复为优质耕地的园地、林</w:t>
            </w:r>
            <w:r>
              <w:rPr>
                <w:lang w:bidi="ar"/>
              </w:rPr>
              <w:lastRenderedPageBreak/>
              <w:t>地、草地等其他农用地以及盐碱地等未利用地、低效闲置建设用地统筹作为补充耕地来源。</w:t>
            </w:r>
          </w:p>
          <w:p w14:paraId="6F8386BC" w14:textId="77777777" w:rsidR="00280812" w:rsidRDefault="00000000">
            <w:pPr>
              <w:pStyle w:val="af7"/>
              <w:ind w:firstLine="480"/>
              <w:rPr>
                <w:rFonts w:cs="Times New Roman" w:hint="eastAsia"/>
              </w:rPr>
            </w:pPr>
            <w:r>
              <w:rPr>
                <w:lang w:bidi="ar"/>
              </w:rPr>
              <w:t>地方各级政府应当严格执行国土空间规划，采取措施，确保国土空间规划确定的本行政区域内耕地总量不减少、质量不降低。耕地总量减少的，由省人民政府责令在规定期限内组织开垦与所减少耕地的数量与质量相当的耕地；耕地质量降低的，由省人民政府责令在规定期限内组织整治。新开垦和整治的耕地由自然资源主管部门会同农业农村主管部门验收。</w:t>
            </w:r>
          </w:p>
          <w:p w14:paraId="23D4BE07" w14:textId="77777777" w:rsidR="00280812" w:rsidRDefault="00000000">
            <w:pPr>
              <w:pStyle w:val="af7"/>
              <w:ind w:firstLine="480"/>
              <w:rPr>
                <w:rFonts w:cs="Times New Roman" w:hint="eastAsia"/>
              </w:rPr>
            </w:pPr>
            <w:r>
              <w:rPr>
                <w:lang w:bidi="ar"/>
              </w:rPr>
              <w:t>非农建设必须节约使用土地，可以利用荒地的，不得占用耕地；可以利用劣地的，不得占用好地。禁止占用耕地建窑、建坟或者擅自在耕地上建房、挖砂、采石、采矿、取土等。</w:t>
            </w:r>
          </w:p>
          <w:p w14:paraId="338AE364" w14:textId="77777777" w:rsidR="00280812" w:rsidRDefault="00000000">
            <w:pPr>
              <w:pStyle w:val="af7"/>
              <w:ind w:firstLine="480"/>
              <w:rPr>
                <w:rFonts w:cs="Times New Roman" w:hint="eastAsia"/>
              </w:rPr>
            </w:pPr>
            <w:r>
              <w:rPr>
                <w:lang w:bidi="ar"/>
              </w:rPr>
              <w:t>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青海省的规定缴纳闲置费；连续两年未使用的，经原批准机关批准，由县级以上人民政府无偿收回用地单位的土地使用权；该幅土地原为农民集体所有的，应当交由原农村集体经济组织恢复耕种。</w:t>
            </w:r>
          </w:p>
          <w:p w14:paraId="72424CCA" w14:textId="77777777" w:rsidR="00280812" w:rsidRDefault="00000000">
            <w:pPr>
              <w:pStyle w:val="af7"/>
              <w:ind w:firstLine="480"/>
              <w:rPr>
                <w:rFonts w:cs="Times New Roman" w:hint="eastAsia"/>
              </w:rPr>
            </w:pPr>
            <w:r>
              <w:rPr>
                <w:lang w:bidi="ar"/>
              </w:rPr>
              <w:t>禁止任何单位和个人在国土空间规划确定的禁止开垦的范围内从事土地开发活动。</w:t>
            </w:r>
          </w:p>
        </w:tc>
      </w:tr>
      <w:tr w:rsidR="00280812" w14:paraId="30DBE83F" w14:textId="77777777">
        <w:tc>
          <w:tcPr>
            <w:tcW w:w="479" w:type="pct"/>
            <w:tcBorders>
              <w:top w:val="single" w:sz="4" w:space="0" w:color="auto"/>
              <w:left w:val="single" w:sz="4" w:space="0" w:color="auto"/>
              <w:bottom w:val="single" w:sz="4" w:space="0" w:color="auto"/>
              <w:right w:val="single" w:sz="4" w:space="0" w:color="auto"/>
            </w:tcBorders>
            <w:shd w:val="clear" w:color="auto" w:fill="auto"/>
          </w:tcPr>
          <w:p w14:paraId="4190D142" w14:textId="77777777" w:rsidR="00280812" w:rsidRDefault="00000000">
            <w:pPr>
              <w:spacing w:line="500" w:lineRule="exact"/>
              <w:rPr>
                <w:rFonts w:ascii="仿宋_GB2312" w:eastAsia="仿宋_GB2312" w:hAnsi="宋体" w:cs="Times New Roman" w:hint="eastAsia"/>
                <w:sz w:val="24"/>
                <w:szCs w:val="24"/>
              </w:rPr>
            </w:pPr>
            <w:r>
              <w:rPr>
                <w:rFonts w:ascii="仿宋_GB2312" w:eastAsia="仿宋_GB2312" w:hAnsi="宋体" w:cs="仿宋_GB2312"/>
                <w:sz w:val="24"/>
                <w:szCs w:val="24"/>
                <w:lang w:bidi="ar"/>
              </w:rPr>
              <w:t>永久基本农田</w:t>
            </w:r>
          </w:p>
        </w:tc>
        <w:tc>
          <w:tcPr>
            <w:tcW w:w="4521" w:type="pct"/>
            <w:tcBorders>
              <w:top w:val="single" w:sz="4" w:space="0" w:color="auto"/>
              <w:left w:val="single" w:sz="4" w:space="0" w:color="auto"/>
              <w:bottom w:val="single" w:sz="4" w:space="0" w:color="auto"/>
              <w:right w:val="single" w:sz="4" w:space="0" w:color="auto"/>
            </w:tcBorders>
            <w:shd w:val="clear" w:color="auto" w:fill="auto"/>
          </w:tcPr>
          <w:p w14:paraId="6BB8A45F" w14:textId="77777777" w:rsidR="00280812" w:rsidRDefault="00000000">
            <w:pPr>
              <w:pStyle w:val="af7"/>
              <w:ind w:firstLine="480"/>
              <w:rPr>
                <w:rFonts w:cs="Times New Roman" w:hint="eastAsia"/>
              </w:rPr>
            </w:pPr>
            <w:r>
              <w:rPr>
                <w:lang w:bidi="ar"/>
              </w:rPr>
              <w:t>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w:t>
            </w:r>
          </w:p>
          <w:p w14:paraId="2586B0B9" w14:textId="77777777" w:rsidR="00280812" w:rsidRDefault="00000000">
            <w:pPr>
              <w:pStyle w:val="af7"/>
              <w:ind w:firstLine="480"/>
              <w:rPr>
                <w:rFonts w:cs="Times New Roman" w:hint="eastAsia"/>
              </w:rPr>
            </w:pPr>
            <w:r>
              <w:rPr>
                <w:lang w:bidi="ar"/>
              </w:rPr>
              <w:t>严格永久基本农田占用与补划。永久基本农田经依法划定后，任</w:t>
            </w:r>
            <w:r>
              <w:rPr>
                <w:lang w:bidi="ar"/>
              </w:rPr>
              <w:lastRenderedPageBreak/>
              <w:t>何单位和个人不得擅自占用或者改变其用途。国家能源、交通、水利、军事设施等重点建设项目选址确实难以避让永久基本农田，涉及农用地转用或者土地征收的，必须经国务院批准。</w:t>
            </w:r>
          </w:p>
          <w:p w14:paraId="3B366560" w14:textId="77777777" w:rsidR="00280812" w:rsidRDefault="00000000">
            <w:pPr>
              <w:pStyle w:val="af7"/>
              <w:ind w:firstLine="480"/>
              <w:rPr>
                <w:rFonts w:cs="Times New Roman" w:hint="eastAsia"/>
              </w:rPr>
            </w:pPr>
            <w:r>
              <w:rPr>
                <w:lang w:bidi="ar"/>
              </w:rPr>
              <w:t>非农建设依法占用永久基本农田的，建设单位应当按照青海省的有关规定，将所占用耕地耕作层的土壤用于新开垦的耕地、劣质地或者其他耕地的土壤改良。</w:t>
            </w:r>
          </w:p>
        </w:tc>
      </w:tr>
    </w:tbl>
    <w:p w14:paraId="7F698097" w14:textId="77777777" w:rsidR="00280812" w:rsidRDefault="00000000">
      <w:pPr>
        <w:pStyle w:val="a0"/>
        <w:ind w:left="0" w:firstLineChars="200" w:firstLine="640"/>
      </w:pPr>
      <w:r>
        <w:rPr>
          <w:rFonts w:hint="eastAsia"/>
        </w:rPr>
        <w:t>严守生态保护红线</w:t>
      </w:r>
    </w:p>
    <w:p w14:paraId="2B987D4D" w14:textId="77777777" w:rsidR="00280812" w:rsidRDefault="00000000">
      <w:pPr>
        <w:pStyle w:val="a7"/>
        <w:ind w:firstLine="640"/>
        <w:rPr>
          <w:rFonts w:hAnsi="仿宋_GB2312" w:cs="仿宋_GB2312" w:hint="eastAsia"/>
          <w:szCs w:val="24"/>
          <w:lang w:bidi="ar"/>
        </w:rPr>
      </w:pPr>
      <w:r>
        <w:rPr>
          <w:rFonts w:hAnsi="仿宋_GB2312" w:cs="仿宋_GB2312" w:hint="eastAsia"/>
          <w:szCs w:val="24"/>
          <w:lang w:bidi="ar"/>
        </w:rPr>
        <w:t>铁盖乡不涉及生态保护红线及各类自然保护地。</w:t>
      </w:r>
    </w:p>
    <w:p w14:paraId="615355CC" w14:textId="77777777" w:rsidR="00280812" w:rsidRDefault="00000000">
      <w:pPr>
        <w:pStyle w:val="a0"/>
        <w:ind w:left="0" w:firstLineChars="200" w:firstLine="640"/>
      </w:pPr>
      <w:r>
        <w:rPr>
          <w:rFonts w:hint="eastAsia"/>
        </w:rPr>
        <w:t>严格落实城镇开发边界</w:t>
      </w:r>
    </w:p>
    <w:p w14:paraId="6FBEC01C" w14:textId="77777777" w:rsidR="00280812" w:rsidRDefault="00000000">
      <w:pPr>
        <w:pStyle w:val="a7"/>
        <w:ind w:firstLine="640"/>
        <w:rPr>
          <w:rFonts w:hAnsi="仿宋_GB2312" w:cs="仿宋_GB2312" w:hint="eastAsia"/>
          <w:szCs w:val="24"/>
          <w:lang w:bidi="ar"/>
        </w:rPr>
      </w:pPr>
      <w:r>
        <w:rPr>
          <w:rFonts w:hAnsi="仿宋_GB2312" w:cs="仿宋_GB2312" w:hint="eastAsia"/>
          <w:szCs w:val="24"/>
          <w:lang w:bidi="ar"/>
        </w:rPr>
        <w:t>铁盖乡不涉及城镇开发边界。</w:t>
      </w:r>
    </w:p>
    <w:p w14:paraId="0F0CEC19" w14:textId="77777777" w:rsidR="00280812" w:rsidRDefault="00000000">
      <w:pPr>
        <w:keepNext/>
        <w:keepLines/>
        <w:numPr>
          <w:ilvl w:val="0"/>
          <w:numId w:val="4"/>
        </w:numPr>
        <w:tabs>
          <w:tab w:val="left" w:pos="851"/>
        </w:tabs>
        <w:spacing w:before="300" w:line="420" w:lineRule="exact"/>
        <w:ind w:left="0" w:firstLineChars="200" w:firstLine="640"/>
        <w:jc w:val="left"/>
        <w:outlineLvl w:val="2"/>
        <w:rPr>
          <w:rFonts w:ascii="楷体_GB2312" w:eastAsia="楷体_GB2312" w:hAnsi="Times New Roman" w:cs="Times New Roman"/>
          <w:bCs/>
          <w:sz w:val="32"/>
          <w:szCs w:val="32"/>
        </w:rPr>
      </w:pPr>
      <w:r>
        <w:rPr>
          <w:rFonts w:ascii="楷体_GB2312" w:eastAsia="楷体_GB2312" w:hint="eastAsia"/>
          <w:bCs/>
          <w:sz w:val="32"/>
          <w:szCs w:val="32"/>
        </w:rPr>
        <w:t>合理划定村庄建设边界</w:t>
      </w:r>
    </w:p>
    <w:p w14:paraId="71C5ABAE" w14:textId="77777777" w:rsidR="00280812" w:rsidRDefault="00000000">
      <w:pPr>
        <w:pStyle w:val="a7"/>
        <w:ind w:firstLine="640"/>
        <w:rPr>
          <w:rFonts w:hAnsi="仿宋_GB2312" w:cs="仿宋_GB2312" w:hint="eastAsia"/>
          <w:szCs w:val="24"/>
          <w:lang w:bidi="ar"/>
        </w:rPr>
      </w:pPr>
      <w:r>
        <w:rPr>
          <w:rFonts w:hAnsi="仿宋_GB2312" w:cs="仿宋_GB2312" w:hint="eastAsia"/>
          <w:szCs w:val="24"/>
          <w:lang w:bidi="ar"/>
        </w:rPr>
        <w:t>到2035年，铁盖乡划定村庄建设边界面积229.67公顷。</w:t>
      </w:r>
    </w:p>
    <w:p w14:paraId="14504D04" w14:textId="77777777" w:rsidR="00280812" w:rsidRDefault="00000000">
      <w:pPr>
        <w:pStyle w:val="a7"/>
        <w:ind w:firstLine="640"/>
        <w:rPr>
          <w:rFonts w:ascii="楷体_GB2312" w:eastAsia="楷体_GB2312" w:hAnsi="楷体_GB2312" w:cs="楷体_GB2312" w:hint="eastAsia"/>
          <w:szCs w:val="24"/>
          <w:lang w:bidi="ar"/>
        </w:rPr>
      </w:pPr>
      <w:r>
        <w:rPr>
          <w:rFonts w:ascii="楷体_GB2312" w:eastAsia="楷体_GB2312" w:hAnsi="楷体_GB2312" w:cs="楷体_GB2312" w:hint="eastAsia"/>
          <w:szCs w:val="24"/>
          <w:lang w:bidi="ar"/>
        </w:rPr>
        <w:t>引导乡村建设向村庄建设边界内集中。村</w:t>
      </w:r>
      <w:r>
        <w:rPr>
          <w:rFonts w:hAnsi="仿宋_GB2312" w:cs="仿宋_GB2312" w:hint="eastAsia"/>
        </w:rPr>
        <w:t>庄建设边界是规划期内可以用于村庄集中开发建设及需要重点管控的国土空间范围。</w:t>
      </w:r>
      <w:r>
        <w:rPr>
          <w:rFonts w:hAnsi="楷体" w:hint="eastAsia"/>
          <w:szCs w:val="32"/>
          <w:lang w:bidi="ar"/>
        </w:rPr>
        <w:t>各类乡村建设行为原则上应在村庄建设边界内开展，优先使用存量建设用地，村庄建设边界外原则上不安排乡村建设用地。</w:t>
      </w:r>
    </w:p>
    <w:p w14:paraId="17073B32" w14:textId="77777777" w:rsidR="00280812" w:rsidRDefault="00000000">
      <w:pPr>
        <w:pStyle w:val="2"/>
        <w:numPr>
          <w:ilvl w:val="0"/>
          <w:numId w:val="6"/>
        </w:numPr>
        <w:rPr>
          <w:lang w:val="zh-CN"/>
        </w:rPr>
      </w:pPr>
      <w:bookmarkStart w:id="34" w:name="_Toc209177565"/>
      <w:r>
        <w:rPr>
          <w:rFonts w:hint="eastAsia"/>
          <w:lang w:val="zh-CN"/>
        </w:rPr>
        <w:t>严格落实主体功能区布局</w:t>
      </w:r>
      <w:bookmarkEnd w:id="34"/>
    </w:p>
    <w:p w14:paraId="0B76BA0B" w14:textId="77777777" w:rsidR="00280812" w:rsidRDefault="00000000">
      <w:pPr>
        <w:pStyle w:val="a0"/>
        <w:ind w:left="0" w:firstLineChars="200" w:firstLine="640"/>
      </w:pPr>
      <w:r>
        <w:rPr>
          <w:rFonts w:hint="eastAsia"/>
        </w:rPr>
        <w:t>落实主体功能区布局</w:t>
      </w:r>
    </w:p>
    <w:p w14:paraId="0EF83D0B" w14:textId="77777777" w:rsidR="00280812" w:rsidRDefault="00000000">
      <w:pPr>
        <w:pStyle w:val="a7"/>
        <w:ind w:firstLine="640"/>
        <w:rPr>
          <w:rFonts w:hAnsi="仿宋_GB2312" w:cs="仿宋_GB2312" w:hint="eastAsia"/>
          <w:szCs w:val="24"/>
          <w:lang w:bidi="ar"/>
        </w:rPr>
      </w:pPr>
      <w:r>
        <w:rPr>
          <w:rFonts w:hAnsi="仿宋_GB2312" w:cs="仿宋_GB2312" w:hint="eastAsia"/>
          <w:szCs w:val="24"/>
          <w:lang w:bidi="ar"/>
        </w:rPr>
        <w:t>落实共和县国土空间总体规划对铁盖</w:t>
      </w:r>
      <w:proofErr w:type="gramStart"/>
      <w:r>
        <w:rPr>
          <w:rFonts w:hAnsi="仿宋_GB2312" w:cs="仿宋_GB2312" w:hint="eastAsia"/>
          <w:szCs w:val="24"/>
          <w:lang w:bidi="ar"/>
        </w:rPr>
        <w:t>乡主体</w:t>
      </w:r>
      <w:proofErr w:type="gramEnd"/>
      <w:r>
        <w:rPr>
          <w:rFonts w:hAnsi="仿宋_GB2312" w:cs="仿宋_GB2312" w:hint="eastAsia"/>
          <w:szCs w:val="24"/>
          <w:lang w:bidi="ar"/>
        </w:rPr>
        <w:t>功能区定位要求，铁盖乡为农产品主产区，叠加功能为能源资源富集区。</w:t>
      </w:r>
    </w:p>
    <w:p w14:paraId="002BFA94" w14:textId="77777777" w:rsidR="00280812" w:rsidRDefault="00000000">
      <w:pPr>
        <w:pStyle w:val="a0"/>
        <w:ind w:left="0" w:firstLineChars="200" w:firstLine="640"/>
      </w:pPr>
      <w:r>
        <w:rPr>
          <w:rFonts w:hint="eastAsia"/>
        </w:rPr>
        <w:lastRenderedPageBreak/>
        <w:t>加强主体功能区管控</w:t>
      </w:r>
    </w:p>
    <w:p w14:paraId="3238B38B" w14:textId="77777777" w:rsidR="00280812" w:rsidRDefault="00000000">
      <w:pPr>
        <w:pStyle w:val="a7"/>
        <w:ind w:firstLine="640"/>
        <w:rPr>
          <w:rFonts w:hAnsi="仿宋_GB2312" w:cs="仿宋_GB2312" w:hint="eastAsia"/>
          <w:szCs w:val="24"/>
          <w:lang w:bidi="ar"/>
        </w:rPr>
      </w:pPr>
      <w:r>
        <w:rPr>
          <w:rFonts w:hAnsi="仿宋_GB2312" w:cs="仿宋_GB2312" w:hint="eastAsia"/>
          <w:szCs w:val="24"/>
          <w:lang w:bidi="ar"/>
        </w:rPr>
        <w:t>铁盖乡为农产品生产区，严格保护耕地、永久基本农田和基本草原，限制农牧产品主产区建设用地过度增长，实施农村土地综合整治。优先保障粮食供给和粮食安全，保障和规范农村产业融合发展用地，支持农业规模化经营配套建设用地。新能源资源丰富的应大力探索光伏治沙、</w:t>
      </w:r>
      <w:proofErr w:type="gramStart"/>
      <w:r>
        <w:rPr>
          <w:rFonts w:hAnsi="仿宋_GB2312" w:cs="仿宋_GB2312" w:hint="eastAsia"/>
          <w:szCs w:val="24"/>
          <w:lang w:bidi="ar"/>
        </w:rPr>
        <w:t>牧光互补</w:t>
      </w:r>
      <w:proofErr w:type="gramEnd"/>
      <w:r>
        <w:rPr>
          <w:rFonts w:hAnsi="仿宋_GB2312" w:cs="仿宋_GB2312" w:hint="eastAsia"/>
          <w:szCs w:val="24"/>
          <w:lang w:bidi="ar"/>
        </w:rPr>
        <w:t>模式，促进新能源与农牧业协调发展。历史文化资源丰富的则应加强历史文化保护。</w:t>
      </w:r>
    </w:p>
    <w:p w14:paraId="444CA2AE" w14:textId="77777777" w:rsidR="00280812" w:rsidRDefault="00000000">
      <w:pPr>
        <w:pStyle w:val="2"/>
        <w:numPr>
          <w:ilvl w:val="0"/>
          <w:numId w:val="6"/>
        </w:numPr>
        <w:rPr>
          <w:lang w:val="zh-CN"/>
        </w:rPr>
      </w:pPr>
      <w:bookmarkStart w:id="35" w:name="_Toc209177566"/>
      <w:r>
        <w:rPr>
          <w:rFonts w:hint="eastAsia"/>
          <w:lang w:val="zh-CN"/>
        </w:rPr>
        <w:t>构建国土空间开发保护新格局</w:t>
      </w:r>
      <w:bookmarkEnd w:id="35"/>
    </w:p>
    <w:p w14:paraId="4B09C481" w14:textId="77777777" w:rsidR="00280812" w:rsidRDefault="00000000">
      <w:pPr>
        <w:pStyle w:val="a0"/>
        <w:ind w:left="0" w:firstLineChars="200" w:firstLine="640"/>
      </w:pPr>
      <w:r>
        <w:rPr>
          <w:rFonts w:hint="eastAsia"/>
        </w:rPr>
        <w:t>国土空间开发保护总体格局</w:t>
      </w:r>
    </w:p>
    <w:p w14:paraId="15FAE18B" w14:textId="77777777" w:rsidR="00280812" w:rsidRDefault="00000000">
      <w:pPr>
        <w:pStyle w:val="a7"/>
        <w:ind w:firstLine="640"/>
        <w:rPr>
          <w:rFonts w:hAnsi="仿宋_GB2312" w:cs="仿宋_GB2312" w:hint="eastAsia"/>
          <w:szCs w:val="24"/>
          <w:lang w:bidi="ar"/>
        </w:rPr>
      </w:pPr>
      <w:r>
        <w:rPr>
          <w:rFonts w:hAnsi="仿宋_GB2312" w:cs="仿宋_GB2312" w:hint="eastAsia"/>
          <w:szCs w:val="24"/>
          <w:lang w:bidi="ar"/>
        </w:rPr>
        <w:t>铁盖乡构建“一心两带三区”的国土空间开发保护总体格局。</w:t>
      </w:r>
    </w:p>
    <w:p w14:paraId="54AB5049" w14:textId="77777777" w:rsidR="00280812" w:rsidRDefault="00000000">
      <w:pPr>
        <w:pStyle w:val="a7"/>
        <w:ind w:firstLine="640"/>
        <w:rPr>
          <w:rFonts w:hAnsi="仿宋_GB2312" w:cs="仿宋_GB2312" w:hint="eastAsia"/>
          <w:szCs w:val="24"/>
          <w:lang w:bidi="ar"/>
        </w:rPr>
      </w:pPr>
      <w:r>
        <w:rPr>
          <w:rFonts w:ascii="楷体_GB2312" w:eastAsia="楷体_GB2312" w:hAnsi="楷体_GB2312" w:cs="楷体_GB2312" w:hint="eastAsia"/>
        </w:rPr>
        <w:t>一心：</w:t>
      </w:r>
      <w:proofErr w:type="gramStart"/>
      <w:r>
        <w:rPr>
          <w:rFonts w:hAnsi="仿宋_GB2312" w:cs="仿宋_GB2312" w:hint="eastAsia"/>
          <w:szCs w:val="24"/>
          <w:lang w:bidi="ar"/>
        </w:rPr>
        <w:t>乡域综合</w:t>
      </w:r>
      <w:proofErr w:type="gramEnd"/>
      <w:r>
        <w:rPr>
          <w:rFonts w:hAnsi="仿宋_GB2312" w:cs="仿宋_GB2312" w:hint="eastAsia"/>
          <w:szCs w:val="24"/>
          <w:lang w:bidi="ar"/>
        </w:rPr>
        <w:t>服务核心，依托乡集镇提供公共服务、商业、文化等功能，</w:t>
      </w:r>
      <w:proofErr w:type="gramStart"/>
      <w:r>
        <w:rPr>
          <w:rFonts w:hAnsi="仿宋_GB2312" w:cs="仿宋_GB2312" w:hint="eastAsia"/>
          <w:szCs w:val="24"/>
          <w:lang w:bidi="ar"/>
        </w:rPr>
        <w:t>带动乡域发展</w:t>
      </w:r>
      <w:proofErr w:type="gramEnd"/>
      <w:r>
        <w:rPr>
          <w:rFonts w:hAnsi="仿宋_GB2312" w:cs="仿宋_GB2312" w:hint="eastAsia"/>
          <w:szCs w:val="24"/>
          <w:lang w:bidi="ar"/>
        </w:rPr>
        <w:t>。</w:t>
      </w:r>
    </w:p>
    <w:p w14:paraId="43F48335" w14:textId="77777777" w:rsidR="00280812" w:rsidRDefault="00000000">
      <w:pPr>
        <w:pStyle w:val="a7"/>
        <w:ind w:firstLine="640"/>
        <w:rPr>
          <w:rFonts w:hAnsi="仿宋_GB2312" w:cs="仿宋_GB2312" w:hint="eastAsia"/>
          <w:szCs w:val="24"/>
          <w:lang w:bidi="ar"/>
        </w:rPr>
      </w:pPr>
      <w:r>
        <w:rPr>
          <w:rFonts w:ascii="楷体_GB2312" w:eastAsia="楷体_GB2312" w:hAnsi="楷体_GB2312" w:cs="楷体_GB2312" w:hint="eastAsia"/>
        </w:rPr>
        <w:t>两带：</w:t>
      </w:r>
      <w:r>
        <w:rPr>
          <w:rFonts w:hAnsi="仿宋_GB2312" w:cs="仿宋_GB2312" w:hint="eastAsia"/>
          <w:szCs w:val="24"/>
          <w:lang w:bidi="ar"/>
        </w:rPr>
        <w:t>沿黄西岸生态保护带，坚持生态保护与文化旅游并重，深入挖掘生态文化内涵，</w:t>
      </w:r>
      <w:r>
        <w:rPr>
          <w:rFonts w:hAnsi="仿宋_GB2312" w:cs="仿宋_GB2312"/>
          <w:szCs w:val="24"/>
          <w:lang w:bidi="ar"/>
        </w:rPr>
        <w:t>提升生态经济功能，</w:t>
      </w:r>
      <w:r>
        <w:rPr>
          <w:rFonts w:hAnsi="仿宋_GB2312" w:cs="仿宋_GB2312" w:hint="eastAsia"/>
          <w:szCs w:val="24"/>
          <w:lang w:bidi="ar"/>
        </w:rPr>
        <w:t>引领生态保护、乡村振兴和文化旅游等全面发展。</w:t>
      </w:r>
      <w:proofErr w:type="gramStart"/>
      <w:r>
        <w:rPr>
          <w:rFonts w:hAnsi="仿宋_GB2312" w:cs="仿宋_GB2312" w:hint="eastAsia"/>
          <w:szCs w:val="24"/>
          <w:lang w:bidi="ar"/>
        </w:rPr>
        <w:t>产村融合</w:t>
      </w:r>
      <w:proofErr w:type="gramEnd"/>
      <w:r>
        <w:rPr>
          <w:rFonts w:hAnsi="仿宋_GB2312" w:cs="仿宋_GB2312" w:hint="eastAsia"/>
          <w:szCs w:val="24"/>
          <w:lang w:bidi="ar"/>
        </w:rPr>
        <w:t>发展带依托县道X307，向西联系共和县城，向东串联乡内各村，是铁盖乡特色种养和综合服务发展带。</w:t>
      </w:r>
    </w:p>
    <w:p w14:paraId="75392DF5" w14:textId="77777777" w:rsidR="00280812" w:rsidRDefault="00000000">
      <w:pPr>
        <w:pStyle w:val="a7"/>
        <w:ind w:firstLine="640"/>
        <w:rPr>
          <w:rFonts w:hAnsi="仿宋_GB2312" w:cs="仿宋_GB2312" w:hint="eastAsia"/>
          <w:szCs w:val="24"/>
          <w:lang w:bidi="ar"/>
        </w:rPr>
      </w:pPr>
      <w:r>
        <w:rPr>
          <w:rFonts w:ascii="楷体_GB2312" w:eastAsia="楷体_GB2312" w:hAnsi="楷体_GB2312" w:cs="楷体_GB2312" w:hint="eastAsia"/>
        </w:rPr>
        <w:t>三区：</w:t>
      </w:r>
      <w:r>
        <w:rPr>
          <w:rFonts w:hAnsi="仿宋_GB2312" w:cs="仿宋_GB2312" w:hint="eastAsia"/>
        </w:rPr>
        <w:t>现代农业循环发展区</w:t>
      </w:r>
      <w:r>
        <w:rPr>
          <w:rFonts w:hAnsi="仿宋_GB2312" w:cs="仿宋_GB2312" w:hint="eastAsia"/>
          <w:szCs w:val="24"/>
          <w:lang w:bidi="ar"/>
        </w:rPr>
        <w:t>，以农业种植为核心，重点加强对集中连片优质耕地的保护，构建农业现代化发展新格局。</w:t>
      </w:r>
      <w:proofErr w:type="gramStart"/>
      <w:r>
        <w:rPr>
          <w:rFonts w:hAnsi="仿宋_GB2312" w:cs="仿宋_GB2312" w:hint="eastAsia"/>
          <w:szCs w:val="24"/>
          <w:lang w:bidi="ar"/>
        </w:rPr>
        <w:t>牧光互补</w:t>
      </w:r>
      <w:proofErr w:type="gramEnd"/>
      <w:r>
        <w:rPr>
          <w:rFonts w:hAnsi="仿宋_GB2312" w:cs="仿宋_GB2312" w:hint="eastAsia"/>
          <w:szCs w:val="24"/>
          <w:lang w:bidi="ar"/>
        </w:rPr>
        <w:t>协调区，积极探索“</w:t>
      </w:r>
      <w:r>
        <w:rPr>
          <w:rFonts w:hAnsi="仿宋_GB2312" w:cs="仿宋_GB2312"/>
          <w:szCs w:val="24"/>
          <w:lang w:bidi="ar"/>
        </w:rPr>
        <w:t>板上发电、板下修复、板间种植</w:t>
      </w:r>
      <w:r>
        <w:rPr>
          <w:rFonts w:hAnsi="仿宋_GB2312" w:cs="仿宋_GB2312" w:hint="eastAsia"/>
          <w:szCs w:val="24"/>
          <w:lang w:bidi="ar"/>
        </w:rPr>
        <w:t>”的发展模式，实现生态保护、特色牧业和</w:t>
      </w:r>
      <w:r>
        <w:rPr>
          <w:rFonts w:hAnsi="仿宋_GB2312" w:cs="仿宋_GB2312" w:hint="eastAsia"/>
          <w:szCs w:val="24"/>
          <w:lang w:bidi="ar"/>
        </w:rPr>
        <w:lastRenderedPageBreak/>
        <w:t>清洁能源融合发展。沿黄生态保育区以生态优先、绿色发展为导向，在保护前提下开展特色农牧业和文化旅游业。</w:t>
      </w:r>
    </w:p>
    <w:p w14:paraId="5E818343" w14:textId="77777777" w:rsidR="00280812" w:rsidRDefault="00000000">
      <w:pPr>
        <w:pStyle w:val="2"/>
        <w:numPr>
          <w:ilvl w:val="0"/>
          <w:numId w:val="6"/>
        </w:numPr>
        <w:rPr>
          <w:lang w:val="zh-CN"/>
        </w:rPr>
      </w:pPr>
      <w:bookmarkStart w:id="36" w:name="_Toc209177567"/>
      <w:r>
        <w:rPr>
          <w:rFonts w:hint="eastAsia"/>
          <w:lang w:val="zh-CN"/>
        </w:rPr>
        <w:t>国土空间规划分区与用途管制</w:t>
      </w:r>
      <w:bookmarkEnd w:id="36"/>
    </w:p>
    <w:p w14:paraId="07787FC1" w14:textId="77777777" w:rsidR="00280812" w:rsidRDefault="00000000">
      <w:pPr>
        <w:pStyle w:val="a0"/>
        <w:ind w:left="0" w:firstLineChars="200" w:firstLine="640"/>
      </w:pPr>
      <w:r>
        <w:rPr>
          <w:rFonts w:hint="eastAsia"/>
        </w:rPr>
        <w:t>生态控制区</w:t>
      </w:r>
    </w:p>
    <w:p w14:paraId="47E5E782" w14:textId="77777777" w:rsidR="00280812" w:rsidRDefault="00000000">
      <w:pPr>
        <w:pStyle w:val="a7"/>
        <w:ind w:firstLine="640"/>
        <w:rPr>
          <w:rFonts w:hAnsi="仿宋_GB2312" w:cs="仿宋_GB2312" w:hint="eastAsia"/>
          <w:szCs w:val="24"/>
          <w:lang w:bidi="ar"/>
        </w:rPr>
      </w:pPr>
      <w:r>
        <w:rPr>
          <w:rFonts w:hAnsi="仿宋_GB2312" w:cs="仿宋_GB2312" w:hint="eastAsia"/>
          <w:szCs w:val="24"/>
          <w:lang w:bidi="ar"/>
        </w:rPr>
        <w:t>生态控制区是生态保护区之外，具有特殊重要生态功能或生态敏感脆弱，需要予以保留原貌、强化生态保育和生态建设、限制开发建设的自然区域。本次规划共划定生态控制区4.96平方千米，主要分布在沿黄区域。</w:t>
      </w:r>
    </w:p>
    <w:p w14:paraId="3B7749D0" w14:textId="77777777" w:rsidR="00280812" w:rsidRDefault="00000000">
      <w:pPr>
        <w:pStyle w:val="a0"/>
        <w:ind w:left="0" w:firstLineChars="200" w:firstLine="640"/>
      </w:pPr>
      <w:r>
        <w:rPr>
          <w:rFonts w:hint="eastAsia"/>
        </w:rPr>
        <w:t>农田保护区</w:t>
      </w:r>
    </w:p>
    <w:p w14:paraId="521FA616" w14:textId="77777777" w:rsidR="00280812" w:rsidRDefault="00000000">
      <w:pPr>
        <w:pStyle w:val="a7"/>
        <w:ind w:firstLine="640"/>
        <w:rPr>
          <w:rFonts w:hAnsi="仿宋_GB2312" w:cs="仿宋_GB2312" w:hint="eastAsia"/>
          <w:szCs w:val="24"/>
          <w:lang w:bidi="ar"/>
        </w:rPr>
      </w:pPr>
      <w:r>
        <w:rPr>
          <w:rFonts w:hAnsi="仿宋_GB2312" w:cs="仿宋_GB2312" w:hint="eastAsia"/>
          <w:szCs w:val="24"/>
          <w:lang w:bidi="ar"/>
        </w:rPr>
        <w:t>落实县级国土空间规划“三区三线”划定成果，将相对集中需严格保护的永久基本农田纳入农田保护区。本次规划共划定农田保护区7.25平方千米，全部为永久基本农田集中区，主要集中分布在</w:t>
      </w:r>
      <w:r>
        <w:rPr>
          <w:rFonts w:hAnsi="仿宋_GB2312" w:cs="仿宋_GB2312"/>
          <w:szCs w:val="24"/>
          <w:lang w:bidi="ar"/>
        </w:rPr>
        <w:t>村域</w:t>
      </w:r>
      <w:r>
        <w:rPr>
          <w:rFonts w:hAnsi="仿宋_GB2312" w:cs="仿宋_GB2312" w:hint="eastAsia"/>
          <w:szCs w:val="24"/>
          <w:lang w:bidi="ar"/>
        </w:rPr>
        <w:t>北部</w:t>
      </w:r>
      <w:r>
        <w:rPr>
          <w:rFonts w:hAnsi="仿宋_GB2312" w:cs="仿宋_GB2312"/>
          <w:szCs w:val="24"/>
          <w:lang w:bidi="ar"/>
        </w:rPr>
        <w:t>的水浇地</w:t>
      </w:r>
      <w:r>
        <w:rPr>
          <w:rFonts w:hAnsi="仿宋_GB2312" w:cs="仿宋_GB2312" w:hint="eastAsia"/>
          <w:szCs w:val="24"/>
          <w:lang w:bidi="ar"/>
        </w:rPr>
        <w:t>。</w:t>
      </w:r>
    </w:p>
    <w:p w14:paraId="71117BD5" w14:textId="77777777" w:rsidR="00280812" w:rsidRDefault="00000000">
      <w:pPr>
        <w:pStyle w:val="a0"/>
        <w:ind w:left="0" w:firstLineChars="200" w:firstLine="640"/>
      </w:pPr>
      <w:r>
        <w:rPr>
          <w:rFonts w:hint="eastAsia"/>
        </w:rPr>
        <w:t>乡村发展区</w:t>
      </w:r>
    </w:p>
    <w:p w14:paraId="27CD4A9D" w14:textId="77777777" w:rsidR="00280812" w:rsidRDefault="00000000">
      <w:pPr>
        <w:pStyle w:val="a7"/>
        <w:ind w:firstLine="640"/>
        <w:rPr>
          <w:rFonts w:hAnsi="仿宋_GB2312" w:cs="仿宋_GB2312" w:hint="eastAsia"/>
          <w:szCs w:val="24"/>
          <w:lang w:bidi="ar"/>
        </w:rPr>
      </w:pPr>
      <w:r>
        <w:rPr>
          <w:rFonts w:hAnsi="仿宋_GB2312" w:cs="仿宋_GB2312" w:hint="eastAsia"/>
          <w:szCs w:val="24"/>
          <w:lang w:bidi="ar"/>
        </w:rPr>
        <w:t>将永久基本农田保护区外的一般耕地、部分林地、村庄用地等以农业生产、林地保育、乡村发展为主的区域划定为乡村发展区。本次规划共划定乡村发展区989.95平方千米，其中村庄建设区45.07平方千米，一般农业区311.88平方千米，林业发展区6.66平方千米，牧业发展区626.34平方千米。</w:t>
      </w:r>
    </w:p>
    <w:p w14:paraId="46C87C3C" w14:textId="77777777" w:rsidR="00280812" w:rsidRDefault="00000000">
      <w:pPr>
        <w:pStyle w:val="a7"/>
        <w:ind w:firstLine="640"/>
        <w:rPr>
          <w:rFonts w:hAnsi="仿宋_GB2312" w:cs="仿宋_GB2312" w:hint="eastAsia"/>
          <w:szCs w:val="24"/>
          <w:lang w:bidi="ar"/>
        </w:rPr>
      </w:pPr>
      <w:r>
        <w:rPr>
          <w:rFonts w:hAnsi="仿宋_GB2312" w:cs="仿宋_GB2312" w:hint="eastAsia"/>
          <w:szCs w:val="24"/>
          <w:lang w:bidi="ar"/>
        </w:rPr>
        <w:t>乡村发展区重点优化农业产业结构，合理确定村庄建设边界，控制村庄建设用地总量，科学划定宅基地范围，优化宅基地布局，按一户一宅要求保障合理的宅基地需求，</w:t>
      </w:r>
      <w:r>
        <w:rPr>
          <w:rFonts w:hAnsi="仿宋_GB2312" w:cs="仿宋_GB2312" w:hint="eastAsia"/>
          <w:szCs w:val="24"/>
          <w:lang w:bidi="ar"/>
        </w:rPr>
        <w:lastRenderedPageBreak/>
        <w:t>有序推进村庄用地更新改造，提升农村人居环境。</w:t>
      </w:r>
    </w:p>
    <w:p w14:paraId="19AD0198" w14:textId="77777777" w:rsidR="00280812" w:rsidRDefault="00280812"/>
    <w:p w14:paraId="568AADB1" w14:textId="77777777" w:rsidR="00280812" w:rsidRDefault="00000000">
      <w:pPr>
        <w:pStyle w:val="2"/>
        <w:numPr>
          <w:ilvl w:val="0"/>
          <w:numId w:val="6"/>
        </w:numPr>
        <w:rPr>
          <w:lang w:val="zh-CN"/>
        </w:rPr>
      </w:pPr>
      <w:bookmarkStart w:id="37" w:name="_Toc209177568"/>
      <w:r>
        <w:rPr>
          <w:rFonts w:hint="eastAsia"/>
          <w:lang w:val="zh-CN"/>
        </w:rPr>
        <w:t>用途结构调整</w:t>
      </w:r>
      <w:bookmarkEnd w:id="37"/>
    </w:p>
    <w:p w14:paraId="21364E59" w14:textId="77777777" w:rsidR="00280812" w:rsidRDefault="00000000">
      <w:pPr>
        <w:pStyle w:val="a0"/>
        <w:ind w:left="0" w:firstLineChars="200" w:firstLine="640"/>
      </w:pPr>
      <w:r>
        <w:rPr>
          <w:rFonts w:hint="eastAsia"/>
        </w:rPr>
        <w:t>国土空间用途结构调整</w:t>
      </w:r>
    </w:p>
    <w:p w14:paraId="2F4A0D33" w14:textId="77777777" w:rsidR="00280812" w:rsidRDefault="00000000">
      <w:pPr>
        <w:pStyle w:val="a7"/>
        <w:ind w:firstLine="640"/>
      </w:pPr>
      <w:r>
        <w:rPr>
          <w:rFonts w:ascii="楷体_GB2312" w:eastAsia="楷体_GB2312" w:hAnsi="楷体_GB2312" w:cs="楷体_GB2312" w:hint="eastAsia"/>
        </w:rPr>
        <w:t>耕地。</w:t>
      </w:r>
      <w:r>
        <w:rPr>
          <w:rFonts w:hint="eastAsia"/>
        </w:rPr>
        <w:t>严格落实共和县下达的耕地保护目标及永久基本农田保护要求，落实耕地占补平衡和进出平衡，重点引导其他草地开发和</w:t>
      </w:r>
      <w:proofErr w:type="gramStart"/>
      <w:r>
        <w:rPr>
          <w:rFonts w:hint="eastAsia"/>
        </w:rPr>
        <w:t>即</w:t>
      </w:r>
      <w:proofErr w:type="gramEnd"/>
      <w:r>
        <w:rPr>
          <w:rFonts w:hint="eastAsia"/>
        </w:rPr>
        <w:t>可恢复类土地复耕，确保铁盖乡耕地面积不少于1.15万亩；</w:t>
      </w:r>
    </w:p>
    <w:p w14:paraId="78E48683" w14:textId="77777777" w:rsidR="00280812" w:rsidRDefault="00000000">
      <w:pPr>
        <w:pStyle w:val="a7"/>
        <w:ind w:firstLine="640"/>
      </w:pPr>
      <w:r>
        <w:rPr>
          <w:rFonts w:ascii="楷体_GB2312" w:eastAsia="楷体_GB2312" w:hAnsi="楷体_GB2312" w:cs="楷体_GB2312" w:hint="eastAsia"/>
        </w:rPr>
        <w:t>园地。</w:t>
      </w:r>
      <w:r>
        <w:rPr>
          <w:rFonts w:hint="eastAsia"/>
        </w:rPr>
        <w:t>统筹耕地保护与种植结构调整的关系，保护现有园地，适当调整复垦低产低效、残次园地，保持园地面积基本稳定；</w:t>
      </w:r>
    </w:p>
    <w:p w14:paraId="6830488C" w14:textId="77777777" w:rsidR="00280812" w:rsidRDefault="00000000">
      <w:pPr>
        <w:pStyle w:val="a7"/>
        <w:ind w:firstLine="640"/>
      </w:pPr>
      <w:r>
        <w:rPr>
          <w:rFonts w:ascii="楷体_GB2312" w:eastAsia="楷体_GB2312" w:hAnsi="楷体_GB2312" w:cs="楷体_GB2312" w:hint="eastAsia"/>
        </w:rPr>
        <w:t>林地。</w:t>
      </w:r>
      <w:r>
        <w:rPr>
          <w:rFonts w:hint="eastAsia"/>
        </w:rPr>
        <w:t>积极推进国土绿化工程，重点引导塔拉滩沙地造林绿化，确保林地面积稳步增加；</w:t>
      </w:r>
    </w:p>
    <w:p w14:paraId="27DA669D" w14:textId="77777777" w:rsidR="00280812" w:rsidRDefault="00000000">
      <w:pPr>
        <w:pStyle w:val="a7"/>
        <w:ind w:firstLine="640"/>
      </w:pPr>
      <w:r>
        <w:rPr>
          <w:rFonts w:ascii="楷体_GB2312" w:eastAsia="楷体_GB2312" w:hAnsi="楷体_GB2312" w:cs="楷体_GB2312" w:hint="eastAsia"/>
        </w:rPr>
        <w:t>草地。</w:t>
      </w:r>
      <w:r>
        <w:rPr>
          <w:rFonts w:hint="eastAsia"/>
        </w:rPr>
        <w:t>严格基本草原保护制度，实施草畜平衡，推进其他草地向牧草地转化；规划支持乡村振兴发展空间，保障重点村用地需求，规划期末草地面积为62921.80公顷，减少3.29公顷；</w:t>
      </w:r>
    </w:p>
    <w:p w14:paraId="7D2E72E9" w14:textId="77777777" w:rsidR="00280812" w:rsidRDefault="00000000">
      <w:pPr>
        <w:pStyle w:val="a7"/>
        <w:ind w:firstLine="640"/>
      </w:pPr>
      <w:r>
        <w:rPr>
          <w:rFonts w:ascii="楷体_GB2312" w:eastAsia="楷体_GB2312" w:hAnsi="楷体_GB2312" w:cs="楷体_GB2312" w:hint="eastAsia"/>
        </w:rPr>
        <w:t>湿地和陆地水域。</w:t>
      </w:r>
      <w:r>
        <w:rPr>
          <w:rFonts w:hint="eastAsia"/>
        </w:rPr>
        <w:t>按照生态优先原则，严格保护湿地、河流、湖泊、滩涂等自然保护区域，严格控制对具有重要生态功能的未利用地开发。湿地和陆地水域等生态空间基本保持不变。</w:t>
      </w:r>
    </w:p>
    <w:p w14:paraId="36EAC909" w14:textId="77777777" w:rsidR="00280812" w:rsidRDefault="00000000">
      <w:pPr>
        <w:pStyle w:val="a7"/>
        <w:ind w:firstLine="640"/>
      </w:pPr>
      <w:r>
        <w:rPr>
          <w:rFonts w:ascii="楷体_GB2312" w:eastAsia="楷体_GB2312" w:hAnsi="楷体_GB2312" w:cs="楷体_GB2312" w:hint="eastAsia"/>
        </w:rPr>
        <w:t>农业设施建设用地。</w:t>
      </w:r>
      <w:r>
        <w:rPr>
          <w:rFonts w:hint="eastAsia"/>
        </w:rPr>
        <w:t>规划重点增加养殖合作社等畜禽养殖设施建设用地，规划</w:t>
      </w:r>
      <w:proofErr w:type="gramStart"/>
      <w:r>
        <w:rPr>
          <w:rFonts w:hint="eastAsia"/>
        </w:rPr>
        <w:t>期末农业</w:t>
      </w:r>
      <w:proofErr w:type="gramEnd"/>
      <w:r>
        <w:rPr>
          <w:rFonts w:hint="eastAsia"/>
        </w:rPr>
        <w:t>设施建设用地面积为</w:t>
      </w:r>
      <w:r>
        <w:rPr>
          <w:rFonts w:hint="eastAsia"/>
        </w:rPr>
        <w:lastRenderedPageBreak/>
        <w:t>493.54公顷，增加2.68公顷。</w:t>
      </w:r>
    </w:p>
    <w:p w14:paraId="7762D203" w14:textId="77777777" w:rsidR="00280812" w:rsidRDefault="00000000">
      <w:pPr>
        <w:pStyle w:val="a7"/>
        <w:ind w:firstLine="640"/>
      </w:pPr>
      <w:r>
        <w:rPr>
          <w:rFonts w:ascii="楷体_GB2312" w:eastAsia="楷体_GB2312" w:hAnsi="楷体_GB2312" w:cs="楷体_GB2312" w:hint="eastAsia"/>
        </w:rPr>
        <w:t>村庄用地。</w:t>
      </w:r>
      <w:r>
        <w:rPr>
          <w:rFonts w:hint="eastAsia"/>
        </w:rPr>
        <w:t>优化村庄用地布局结构，合理控制建设用地规模。通过整理腾退的建设用地，在保障项目区内农民安置、基础设施建设等用地的前提下，重点用于农村一二三产业融合发展，促进产业振兴规划，规划期末村庄用地基本保持不变。</w:t>
      </w:r>
    </w:p>
    <w:p w14:paraId="4CAB03A2" w14:textId="77777777" w:rsidR="00280812" w:rsidRDefault="00000000">
      <w:pPr>
        <w:pStyle w:val="a7"/>
        <w:ind w:firstLine="640"/>
      </w:pPr>
      <w:r>
        <w:rPr>
          <w:rFonts w:ascii="楷体_GB2312" w:eastAsia="楷体_GB2312" w:hAnsi="楷体_GB2312" w:cs="楷体_GB2312" w:hint="eastAsia"/>
        </w:rPr>
        <w:t>区域基础设施用地。</w:t>
      </w:r>
      <w:r>
        <w:rPr>
          <w:rFonts w:hint="eastAsia"/>
        </w:rPr>
        <w:t>规划支撑沿黄地区资源要素充分、高效流动，合理保障铁盖乡至龙羊峡</w:t>
      </w:r>
      <w:proofErr w:type="gramStart"/>
      <w:r>
        <w:rPr>
          <w:rFonts w:hint="eastAsia"/>
        </w:rPr>
        <w:t>镇区域</w:t>
      </w:r>
      <w:proofErr w:type="gramEnd"/>
      <w:r>
        <w:rPr>
          <w:rFonts w:hint="eastAsia"/>
        </w:rPr>
        <w:t>基础设施建设，规划期末区域基础设施用地96.53公顷，增加0.14公顷。</w:t>
      </w:r>
    </w:p>
    <w:p w14:paraId="616283AA" w14:textId="77777777" w:rsidR="00280812" w:rsidRDefault="00280812"/>
    <w:p w14:paraId="0F0127B7" w14:textId="77777777" w:rsidR="00280812" w:rsidRDefault="00000000">
      <w:r>
        <w:rPr>
          <w:rFonts w:hint="eastAsia"/>
        </w:rPr>
        <w:br w:type="page"/>
      </w:r>
    </w:p>
    <w:p w14:paraId="3A5D47A9" w14:textId="77777777" w:rsidR="00280812" w:rsidRDefault="00000000">
      <w:pPr>
        <w:pStyle w:val="1"/>
        <w:ind w:left="0" w:firstLine="0"/>
      </w:pPr>
      <w:bookmarkStart w:id="38" w:name="_Toc209177569"/>
      <w:r>
        <w:rPr>
          <w:rFonts w:hint="eastAsia"/>
        </w:rPr>
        <w:lastRenderedPageBreak/>
        <w:t>优化生态空间格局，筑牢沿黄生态屏障</w:t>
      </w:r>
      <w:bookmarkEnd w:id="38"/>
    </w:p>
    <w:p w14:paraId="634DC132" w14:textId="77777777" w:rsidR="00280812" w:rsidRDefault="00000000">
      <w:pPr>
        <w:pStyle w:val="2"/>
        <w:numPr>
          <w:ilvl w:val="0"/>
          <w:numId w:val="7"/>
        </w:numPr>
        <w:rPr>
          <w:lang w:val="zh-CN"/>
        </w:rPr>
      </w:pPr>
      <w:bookmarkStart w:id="39" w:name="_Toc209177570"/>
      <w:r>
        <w:rPr>
          <w:rFonts w:hint="eastAsia"/>
          <w:lang w:val="zh-CN"/>
        </w:rPr>
        <w:t>落实全域生态空间格局</w:t>
      </w:r>
      <w:bookmarkEnd w:id="39"/>
    </w:p>
    <w:p w14:paraId="38F97740" w14:textId="77777777" w:rsidR="00280812" w:rsidRDefault="00000000">
      <w:pPr>
        <w:pStyle w:val="a0"/>
        <w:ind w:left="0" w:firstLineChars="200" w:firstLine="640"/>
      </w:pPr>
      <w:r>
        <w:rPr>
          <w:rFonts w:hint="eastAsia"/>
        </w:rPr>
        <w:t>落实沿黄生态保护带</w:t>
      </w:r>
    </w:p>
    <w:p w14:paraId="0E81475B" w14:textId="77777777" w:rsidR="00280812" w:rsidRDefault="00000000">
      <w:pPr>
        <w:pStyle w:val="a7"/>
        <w:ind w:firstLine="640"/>
      </w:pPr>
      <w:r>
        <w:rPr>
          <w:rFonts w:hint="eastAsia"/>
        </w:rPr>
        <w:t>落实黄河沿岸生态保护综合治理与生态修复工程，加强对黄河沿岸生态脆弱区、地灾易发区的综合治理，实施塔拉滩封禁保护、防沙治沙、人工造林等重点工程，推动沿黄各村农村人居环境整治提升、公共基础设施改善以及基础设施提升，进一步推动实现黄河水生态环境质量稳定向好，持续提升区域保水、增水、净水核心生态功能。</w:t>
      </w:r>
    </w:p>
    <w:p w14:paraId="64A75BBC" w14:textId="77777777" w:rsidR="00280812" w:rsidRDefault="00000000">
      <w:pPr>
        <w:pStyle w:val="2"/>
        <w:numPr>
          <w:ilvl w:val="0"/>
          <w:numId w:val="7"/>
        </w:numPr>
        <w:rPr>
          <w:lang w:val="zh-CN"/>
        </w:rPr>
      </w:pPr>
      <w:bookmarkStart w:id="40" w:name="_Toc209177571"/>
      <w:r>
        <w:rPr>
          <w:rFonts w:hint="eastAsia"/>
          <w:lang w:val="zh-CN"/>
        </w:rPr>
        <w:t>增强水资源刚性约束和管控</w:t>
      </w:r>
      <w:bookmarkEnd w:id="40"/>
    </w:p>
    <w:p w14:paraId="03772DDE" w14:textId="77777777" w:rsidR="00280812" w:rsidRDefault="00000000">
      <w:pPr>
        <w:pStyle w:val="a0"/>
        <w:ind w:left="0" w:firstLineChars="200" w:firstLine="640"/>
      </w:pPr>
      <w:r>
        <w:rPr>
          <w:rFonts w:hint="eastAsia"/>
        </w:rPr>
        <w:t>严格水资源刚性约束</w:t>
      </w:r>
    </w:p>
    <w:p w14:paraId="0E2746B6" w14:textId="77777777" w:rsidR="00280812" w:rsidRDefault="00000000">
      <w:pPr>
        <w:pStyle w:val="a7"/>
        <w:ind w:firstLine="640"/>
        <w:rPr>
          <w:u w:val="single"/>
        </w:rPr>
      </w:pPr>
      <w:r>
        <w:rPr>
          <w:rFonts w:hint="eastAsia"/>
        </w:rPr>
        <w:t>坚持以水定地、以水定产、以水定城、以水定人，严格落实用水总量、用水效率和水环境功能区限制纳污“三条红线”，落实水资源消耗总量和</w:t>
      </w:r>
      <w:proofErr w:type="gramStart"/>
      <w:r>
        <w:rPr>
          <w:rFonts w:hint="eastAsia"/>
        </w:rPr>
        <w:t>强度双</w:t>
      </w:r>
      <w:proofErr w:type="gramEnd"/>
      <w:r>
        <w:rPr>
          <w:rFonts w:hint="eastAsia"/>
        </w:rPr>
        <w:t>控制，以水资源最大刚性约束抑制不合理用水需求，促进发展规模、产业布局与水资源承载能力相协调。</w:t>
      </w:r>
      <w:r>
        <w:rPr>
          <w:rFonts w:hint="eastAsia"/>
          <w:u w:val="single"/>
        </w:rPr>
        <w:t>2035年，铁盖乡用水总量控制在县级下达指标内。</w:t>
      </w:r>
    </w:p>
    <w:p w14:paraId="13D07C47" w14:textId="77777777" w:rsidR="00280812" w:rsidRDefault="00000000">
      <w:pPr>
        <w:pStyle w:val="a0"/>
        <w:ind w:left="0" w:firstLineChars="200" w:firstLine="640"/>
      </w:pPr>
      <w:r>
        <w:rPr>
          <w:rFonts w:hint="eastAsia"/>
        </w:rPr>
        <w:t>强化水资源节约利用</w:t>
      </w:r>
    </w:p>
    <w:p w14:paraId="67262197" w14:textId="77777777" w:rsidR="00280812" w:rsidRDefault="00000000">
      <w:pPr>
        <w:pStyle w:val="a7"/>
        <w:ind w:firstLine="640"/>
      </w:pPr>
      <w:r>
        <w:rPr>
          <w:rFonts w:hint="eastAsia"/>
        </w:rPr>
        <w:t>推广农业节水措施，提升工业用水效率，提高居民生活用水节水水平。规划期内，加快建立节约集约型用水方式，强化对主要行业的定额管理，加强农业节水增效、工业节水减排、城乡节水降损，推进铁盖乡节水型社会建设。</w:t>
      </w:r>
    </w:p>
    <w:p w14:paraId="00D4FE23" w14:textId="77777777" w:rsidR="00280812" w:rsidRDefault="00000000">
      <w:pPr>
        <w:pStyle w:val="a7"/>
        <w:ind w:firstLine="640"/>
      </w:pPr>
      <w:r>
        <w:rPr>
          <w:rFonts w:hint="eastAsia"/>
        </w:rPr>
        <w:t>对集镇自来水管道进行技术改造，降低输水管网漏损</w:t>
      </w:r>
      <w:r>
        <w:rPr>
          <w:rFonts w:hint="eastAsia"/>
        </w:rPr>
        <w:lastRenderedPageBreak/>
        <w:t>率。逐步推行农业节水灌溉，农田灌溉水有效利用系数稳步提高；压减淘汰工业企业用水，保障优势产业和战略新兴产业用水。</w:t>
      </w:r>
    </w:p>
    <w:p w14:paraId="584A4757" w14:textId="77777777" w:rsidR="00280812" w:rsidRDefault="00000000">
      <w:pPr>
        <w:pStyle w:val="a7"/>
        <w:ind w:firstLine="640"/>
      </w:pPr>
      <w:r>
        <w:rPr>
          <w:rFonts w:hint="eastAsia"/>
        </w:rPr>
        <w:t>铁盖乡围绕乡村振兴战略和发展现代化农业的要求，续建现代化马汉台黄河中型灌区，结合铁盖乡10个村高标准农田建设，因地制宜推广渠道防渗、管道输水等节水灌溉技术。探索建立节水型农业种植模式，优化农业种植结构，因地制宜发展旱作农业，积极发展特色生态农业。</w:t>
      </w:r>
    </w:p>
    <w:p w14:paraId="2A832B93" w14:textId="77777777" w:rsidR="00280812" w:rsidRDefault="00000000">
      <w:pPr>
        <w:pStyle w:val="a0"/>
        <w:ind w:left="0" w:firstLineChars="200" w:firstLine="640"/>
      </w:pPr>
      <w:r>
        <w:rPr>
          <w:rFonts w:hint="eastAsia"/>
        </w:rPr>
        <w:t>持续提升饮水安全保障</w:t>
      </w:r>
    </w:p>
    <w:p w14:paraId="052B8052" w14:textId="77777777" w:rsidR="00280812" w:rsidRDefault="00000000">
      <w:pPr>
        <w:pStyle w:val="a7"/>
        <w:ind w:firstLine="640"/>
      </w:pPr>
      <w:r>
        <w:rPr>
          <w:rFonts w:hint="eastAsia"/>
        </w:rPr>
        <w:t>按照建大、并中、减小思路，实施农村饮水保障工程，加快农村牧区供水提档升级，全面提高农村集中供水率、自来水普及率、供水保证率和水质达标率。</w:t>
      </w:r>
    </w:p>
    <w:p w14:paraId="1F2F8815" w14:textId="77777777" w:rsidR="00280812" w:rsidRDefault="00000000">
      <w:pPr>
        <w:pStyle w:val="a7"/>
        <w:ind w:firstLine="640"/>
      </w:pPr>
      <w:r>
        <w:rPr>
          <w:rFonts w:hint="eastAsia"/>
        </w:rPr>
        <w:t>在人口集中、条件适宜的地区，加快推进城乡供水一体化建设；在人口相对分散区域，重点推进小型标准化供水设施建设。实行严格的饮用水源地保护制度，将饮用水源地环境保护作为优先领域，保障群众的饮用水安全。</w:t>
      </w:r>
    </w:p>
    <w:p w14:paraId="50EF9EE6" w14:textId="77777777" w:rsidR="00280812" w:rsidRDefault="00000000">
      <w:pPr>
        <w:pStyle w:val="2"/>
        <w:numPr>
          <w:ilvl w:val="0"/>
          <w:numId w:val="7"/>
        </w:numPr>
        <w:rPr>
          <w:lang w:val="zh-CN"/>
        </w:rPr>
      </w:pPr>
      <w:bookmarkStart w:id="41" w:name="_Toc209177572"/>
      <w:r>
        <w:rPr>
          <w:rFonts w:hint="eastAsia"/>
          <w:lang w:val="zh-CN"/>
        </w:rPr>
        <w:t>加强生态资源保护与利用</w:t>
      </w:r>
      <w:bookmarkEnd w:id="41"/>
    </w:p>
    <w:p w14:paraId="13AFD0B9" w14:textId="77777777" w:rsidR="00280812" w:rsidRDefault="00000000">
      <w:pPr>
        <w:pStyle w:val="a0"/>
        <w:ind w:left="0" w:firstLineChars="200" w:firstLine="640"/>
      </w:pPr>
      <w:r>
        <w:rPr>
          <w:rFonts w:hint="eastAsia"/>
        </w:rPr>
        <w:t>森林资源保护与利用</w:t>
      </w:r>
    </w:p>
    <w:p w14:paraId="21D3DDDD" w14:textId="77777777" w:rsidR="00280812" w:rsidRDefault="00000000">
      <w:pPr>
        <w:pStyle w:val="a7"/>
        <w:ind w:firstLine="640"/>
      </w:pPr>
      <w:r>
        <w:rPr>
          <w:rFonts w:hint="eastAsia"/>
        </w:rPr>
        <w:t>加强森林资源保护，开展造林绿化工程，适当提升林地资源总量，对天然林、生态公益林实行严格保护。</w:t>
      </w:r>
      <w:bookmarkStart w:id="42" w:name="_Hlk163823879"/>
      <w:r>
        <w:rPr>
          <w:rFonts w:hint="eastAsia"/>
        </w:rPr>
        <w:t>至2</w:t>
      </w:r>
      <w:r>
        <w:t>035</w:t>
      </w:r>
      <w:r>
        <w:rPr>
          <w:rFonts w:hint="eastAsia"/>
        </w:rPr>
        <w:t>年，铁盖乡林地面积保持稳定，主要分布在沿黄地区和克才灌区。</w:t>
      </w:r>
      <w:bookmarkEnd w:id="42"/>
    </w:p>
    <w:p w14:paraId="1DA01860" w14:textId="77777777" w:rsidR="00280812" w:rsidRDefault="00000000">
      <w:pPr>
        <w:pStyle w:val="a7"/>
        <w:ind w:firstLine="640"/>
      </w:pPr>
      <w:r>
        <w:rPr>
          <w:rFonts w:hint="eastAsia"/>
        </w:rPr>
        <w:t>实行天然林全面保护制度，严格限制天然林采伐，保</w:t>
      </w:r>
      <w:r>
        <w:rPr>
          <w:rFonts w:hint="eastAsia"/>
        </w:rPr>
        <w:lastRenderedPageBreak/>
        <w:t>护和修复天然林资源，逐步提高天然林生态功能。对公益林实施严格保护，严格控制勘查、开采矿藏和工程建设使用公益林，在不影响公益林生态功能的前提下，可以合理利用公益林林地资源和森林景观资源，适度开展林下经济、森林旅游。在不破坏生态的前提下，鼓励商品林采取集约化经营措施，严格控制皆伐面积，</w:t>
      </w:r>
      <w:proofErr w:type="gramStart"/>
      <w:r>
        <w:rPr>
          <w:rFonts w:hint="eastAsia"/>
        </w:rPr>
        <w:t>伐育同步</w:t>
      </w:r>
      <w:proofErr w:type="gramEnd"/>
      <w:r>
        <w:rPr>
          <w:rFonts w:hint="eastAsia"/>
        </w:rPr>
        <w:t>规划实施。</w:t>
      </w:r>
    </w:p>
    <w:p w14:paraId="6B83EB37" w14:textId="77777777" w:rsidR="00280812" w:rsidRDefault="00000000">
      <w:pPr>
        <w:pStyle w:val="a0"/>
        <w:ind w:left="0" w:firstLineChars="200" w:firstLine="640"/>
      </w:pPr>
      <w:r>
        <w:rPr>
          <w:rFonts w:hint="eastAsia"/>
        </w:rPr>
        <w:t>湿地资源保护与利用</w:t>
      </w:r>
    </w:p>
    <w:p w14:paraId="77D45FE4" w14:textId="77777777" w:rsidR="00280812" w:rsidRDefault="00000000">
      <w:pPr>
        <w:pStyle w:val="a7"/>
        <w:ind w:firstLine="640"/>
      </w:pPr>
      <w:bookmarkStart w:id="43" w:name="_Hlk148273213"/>
      <w:r>
        <w:rPr>
          <w:rFonts w:hint="eastAsia"/>
        </w:rPr>
        <w:t>坚持保护优先、严格管理、系统治理、科学修复、合理利用的原则，加强湿地保护，保持既有空间不减少，并通过生态修复和综合治理，逐步增强湿地生态功能，维护湿地生物多样性。</w:t>
      </w:r>
      <w:bookmarkEnd w:id="43"/>
      <w:r>
        <w:rPr>
          <w:rFonts w:hint="eastAsia"/>
        </w:rPr>
        <w:t>至2</w:t>
      </w:r>
      <w:r>
        <w:t>035</w:t>
      </w:r>
      <w:r>
        <w:rPr>
          <w:rFonts w:hint="eastAsia"/>
        </w:rPr>
        <w:t>年，铁盖乡湿地面积保持稳定，主要为沿河流两侧的内陆滩涂用地，不属于通过国家公园、自然保护区、湿地公园等形式保护的湿地，不涉及湿地保护率指标。</w:t>
      </w:r>
    </w:p>
    <w:p w14:paraId="3D0F0607" w14:textId="77777777" w:rsidR="00280812" w:rsidRDefault="00000000">
      <w:pPr>
        <w:pStyle w:val="a0"/>
        <w:ind w:left="0" w:firstLineChars="200" w:firstLine="640"/>
      </w:pPr>
      <w:r>
        <w:rPr>
          <w:rFonts w:hint="eastAsia"/>
        </w:rPr>
        <w:t>荒漠资源保护与利用</w:t>
      </w:r>
    </w:p>
    <w:p w14:paraId="0466FFA1" w14:textId="77777777" w:rsidR="00280812" w:rsidRDefault="00000000">
      <w:pPr>
        <w:pStyle w:val="a7"/>
        <w:ind w:firstLine="640"/>
      </w:pPr>
      <w:r>
        <w:rPr>
          <w:rFonts w:hint="eastAsia"/>
        </w:rPr>
        <w:t>持续推进塔拉滩沙漠生态系统的复原、保护和利用，维护沙漠生态系统功能，增强沙漠生物多样性。在保护生态系统的前提下，发展沙漠生态观光旅游，打造生态沙漠游憩胜地。持续探索“光伏+生态”治沙新模式，开展光伏治沙工程，推广“板上发电、板下种草、板间养殖”多种业态融合发展模式，同步推进清洁能源发展与防沙治沙相结合，实现清洁能源产业、生态环境保护、生态畜牧业发展有机结合。</w:t>
      </w:r>
    </w:p>
    <w:p w14:paraId="7E698918" w14:textId="77777777" w:rsidR="00280812" w:rsidRDefault="00000000">
      <w:pPr>
        <w:pStyle w:val="2"/>
        <w:numPr>
          <w:ilvl w:val="0"/>
          <w:numId w:val="7"/>
        </w:numPr>
        <w:rPr>
          <w:rFonts w:ascii="Arial" w:hAnsi="Arial" w:cs="Times New Roman"/>
          <w:b/>
          <w:lang w:val="zh-CN"/>
        </w:rPr>
      </w:pPr>
      <w:bookmarkStart w:id="44" w:name="_Toc209177573"/>
      <w:r>
        <w:rPr>
          <w:rFonts w:hint="eastAsia"/>
          <w:lang w:val="zh-CN"/>
        </w:rPr>
        <w:lastRenderedPageBreak/>
        <w:t>实施山水林田湖草沙一体化保护和系统治理</w:t>
      </w:r>
      <w:bookmarkEnd w:id="44"/>
    </w:p>
    <w:p w14:paraId="31BD541B" w14:textId="77777777" w:rsidR="00280812" w:rsidRDefault="00000000">
      <w:pPr>
        <w:pStyle w:val="a0"/>
        <w:ind w:left="0" w:firstLineChars="200" w:firstLine="640"/>
      </w:pPr>
      <w:r>
        <w:rPr>
          <w:rFonts w:hint="eastAsia"/>
        </w:rPr>
        <w:t>加强重点生态功能区生态保护修复</w:t>
      </w:r>
    </w:p>
    <w:p w14:paraId="47506959" w14:textId="77777777" w:rsidR="00280812" w:rsidRDefault="00000000">
      <w:pPr>
        <w:pStyle w:val="a7"/>
        <w:ind w:firstLine="640"/>
      </w:pPr>
      <w:r>
        <w:rPr>
          <w:rFonts w:hint="eastAsia"/>
        </w:rPr>
        <w:t>坚持山水林田湖草沙一体化和系统治理，遵循生态系统的整体性、系统性及其内在发展规律，以自然恢复为主、人工修复为辅，强化自然生态系统原真性与完整性的保护和修复。针对铁盖乡生态脆弱、功能退化的现实问题，按照因地制宜、分区施策的原则，实施山水林田湖草沙一体化保护和系统治理，提升生态系统稳定性。</w:t>
      </w:r>
    </w:p>
    <w:p w14:paraId="543F3A73" w14:textId="77777777" w:rsidR="00280812" w:rsidRDefault="00000000">
      <w:pPr>
        <w:pStyle w:val="a0"/>
        <w:ind w:left="0" w:firstLineChars="200" w:firstLine="640"/>
      </w:pPr>
      <w:r>
        <w:rPr>
          <w:rFonts w:hint="eastAsia"/>
        </w:rPr>
        <w:t>实施山水林田湖草</w:t>
      </w:r>
      <w:proofErr w:type="gramStart"/>
      <w:r>
        <w:rPr>
          <w:rFonts w:hint="eastAsia"/>
        </w:rPr>
        <w:t>沙治理</w:t>
      </w:r>
      <w:proofErr w:type="gramEnd"/>
      <w:r>
        <w:rPr>
          <w:rFonts w:hint="eastAsia"/>
        </w:rPr>
        <w:t>工程</w:t>
      </w:r>
    </w:p>
    <w:p w14:paraId="1917721B" w14:textId="77777777" w:rsidR="00280812" w:rsidRDefault="00000000">
      <w:pPr>
        <w:pStyle w:val="a7"/>
        <w:ind w:firstLine="640"/>
        <w:rPr>
          <w:rFonts w:hAnsi="仿宋_GB2312" w:cs="仿宋_GB2312" w:hint="eastAsia"/>
        </w:rPr>
      </w:pPr>
      <w:r>
        <w:rPr>
          <w:rFonts w:hAnsi="仿宋_GB2312" w:cs="仿宋_GB2312" w:hint="eastAsia"/>
        </w:rPr>
        <w:t>推进黄河流域生态环境整治重大工程，提升草原、森林、湿地、河湖、荒漠等自然生态系统自我修复能力，加强塔拉滩生态修复治理，大力推进荒漠化、水土流失综合治理，加强生态清洁小流域建设。实施生物多样性保护重大工程，加强野生动植物保护。重点实施共和盆地水源涵养项目、共和盆地土壤保持项目等。实现</w:t>
      </w:r>
      <w:r>
        <w:rPr>
          <w:rFonts w:hAnsi="仿宋_GB2312" w:cs="仿宋_GB2312"/>
        </w:rPr>
        <w:t>“</w:t>
      </w:r>
      <w:r>
        <w:rPr>
          <w:rFonts w:hAnsi="仿宋_GB2312" w:cs="仿宋_GB2312" w:hint="eastAsia"/>
        </w:rPr>
        <w:t>山青、水秀、林美、田良、湖净、草绿</w:t>
      </w:r>
      <w:r>
        <w:rPr>
          <w:rFonts w:hAnsi="仿宋_GB2312" w:cs="仿宋_GB2312"/>
        </w:rPr>
        <w:t>”</w:t>
      </w:r>
      <w:r>
        <w:rPr>
          <w:rFonts w:hAnsi="仿宋_GB2312" w:cs="仿宋_GB2312" w:hint="eastAsia"/>
        </w:rPr>
        <w:t>目标，筑牢生态安全格局。</w:t>
      </w:r>
    </w:p>
    <w:p w14:paraId="7E9AD5DC" w14:textId="77777777" w:rsidR="00280812" w:rsidRDefault="00000000">
      <w:pPr>
        <w:pStyle w:val="a0"/>
        <w:ind w:left="0" w:firstLineChars="200" w:firstLine="640"/>
      </w:pPr>
      <w:r>
        <w:rPr>
          <w:rFonts w:hint="eastAsia"/>
        </w:rPr>
        <w:t>水环境治理和湿地保护修复</w:t>
      </w:r>
    </w:p>
    <w:p w14:paraId="150B498B" w14:textId="77777777" w:rsidR="00280812" w:rsidRDefault="00000000">
      <w:pPr>
        <w:pStyle w:val="a7"/>
        <w:ind w:firstLine="640"/>
        <w:rPr>
          <w:rFonts w:hAnsi="仿宋_GB2312" w:cs="仿宋_GB2312" w:hint="eastAsia"/>
        </w:rPr>
      </w:pPr>
      <w:r>
        <w:rPr>
          <w:rFonts w:hAnsi="仿宋_GB2312" w:cs="仿宋_GB2312" w:hint="eastAsia"/>
        </w:rPr>
        <w:t>按照自然恢复为主，人工修复为辅的原则，加强龙羊峡周边小流域综合治理，开展生态清洁小流域建设，实现水生态保护与修复精细化管理，系统推进重点流域水环境保护、水生态修复、水污染防治和水资源管理。</w:t>
      </w:r>
      <w:r>
        <w:rPr>
          <w:rFonts w:hAnsi="仿宋_GB2312" w:cs="仿宋_GB2312"/>
        </w:rPr>
        <w:t>2035</w:t>
      </w:r>
      <w:r>
        <w:rPr>
          <w:rFonts w:hAnsi="仿宋_GB2312" w:cs="仿宋_GB2312" w:hint="eastAsia"/>
        </w:rPr>
        <w:t>年，重要水功能区水质达标率达到</w:t>
      </w:r>
      <w:r>
        <w:rPr>
          <w:rFonts w:hAnsi="仿宋_GB2312" w:cs="仿宋_GB2312"/>
        </w:rPr>
        <w:t>100%</w:t>
      </w:r>
      <w:r>
        <w:rPr>
          <w:rFonts w:hAnsi="仿宋_GB2312" w:cs="仿宋_GB2312" w:hint="eastAsia"/>
        </w:rPr>
        <w:t>。</w:t>
      </w:r>
    </w:p>
    <w:p w14:paraId="6D110D45" w14:textId="77777777" w:rsidR="00280812" w:rsidRDefault="00000000">
      <w:pPr>
        <w:pStyle w:val="a0"/>
        <w:ind w:left="0" w:firstLineChars="200" w:firstLine="640"/>
      </w:pPr>
      <w:r>
        <w:rPr>
          <w:rFonts w:hint="eastAsia"/>
        </w:rPr>
        <w:lastRenderedPageBreak/>
        <w:t>水土流失综合治理</w:t>
      </w:r>
    </w:p>
    <w:p w14:paraId="4236FD9D" w14:textId="77777777" w:rsidR="00280812" w:rsidRDefault="00000000">
      <w:pPr>
        <w:pStyle w:val="a7"/>
        <w:ind w:firstLine="640"/>
        <w:rPr>
          <w:rFonts w:hAnsi="仿宋_GB2312" w:cs="仿宋_GB2312" w:hint="eastAsia"/>
        </w:rPr>
      </w:pPr>
      <w:r>
        <w:rPr>
          <w:rFonts w:hAnsi="仿宋_GB2312" w:cs="仿宋_GB2312" w:hint="eastAsia"/>
        </w:rPr>
        <w:t>推进塔拉滩水土流失综合治理，以地表植被建设、侵蚀沟道治理为重点，完善流域水土流失预防和治理措施体系，着力构建铁盖乡及其周边小流域生态优美、生活宜居的生态环境，维护水土资源可持续利用。深化水土保持生态建设，实施水土保持工程，增强水土保持能力，加强共和盆地风蚀水蚀防风固沙保土区。</w:t>
      </w:r>
      <w:r>
        <w:rPr>
          <w:rFonts w:hAnsi="仿宋_GB2312" w:cs="仿宋_GB2312"/>
        </w:rPr>
        <w:t>2035</w:t>
      </w:r>
      <w:r>
        <w:rPr>
          <w:rFonts w:hAnsi="仿宋_GB2312" w:cs="仿宋_GB2312" w:hint="eastAsia"/>
        </w:rPr>
        <w:t>年，完成县级下达的水土流失治理任务。</w:t>
      </w:r>
    </w:p>
    <w:p w14:paraId="52AC3917" w14:textId="77777777" w:rsidR="00280812" w:rsidRDefault="00000000">
      <w:pPr>
        <w:pStyle w:val="a0"/>
        <w:ind w:left="0" w:firstLineChars="200" w:firstLine="640"/>
      </w:pPr>
      <w:r>
        <w:rPr>
          <w:rFonts w:hint="eastAsia"/>
        </w:rPr>
        <w:t>实施沙化土地综合治理</w:t>
      </w:r>
    </w:p>
    <w:p w14:paraId="34170504" w14:textId="77777777" w:rsidR="00280812" w:rsidRDefault="00000000">
      <w:pPr>
        <w:pStyle w:val="a7"/>
        <w:ind w:firstLine="640"/>
        <w:rPr>
          <w:rFonts w:hAnsi="仿宋_GB2312" w:cs="仿宋_GB2312" w:hint="eastAsia"/>
        </w:rPr>
      </w:pPr>
      <w:r>
        <w:rPr>
          <w:rFonts w:hAnsi="仿宋_GB2312" w:cs="仿宋_GB2312" w:hint="eastAsia"/>
        </w:rPr>
        <w:t>实施塔拉滩区域荒漠化土地治理。对铁盖乡沙漠化土地实施封沙育林草工程，遏制沙漠化蔓延。遵循自然规律，自然恢复和人工修复相结合，积极探索以放牧为主合理利用草场的生产经营方向，采取“沙漠</w:t>
      </w:r>
      <w:r>
        <w:rPr>
          <w:rFonts w:hAnsi="仿宋_GB2312" w:cs="仿宋_GB2312"/>
        </w:rPr>
        <w:t>+</w:t>
      </w:r>
      <w:r>
        <w:rPr>
          <w:rFonts w:hAnsi="仿宋_GB2312" w:cs="仿宋_GB2312" w:hint="eastAsia"/>
        </w:rPr>
        <w:t>光伏</w:t>
      </w:r>
      <w:r>
        <w:rPr>
          <w:rFonts w:hAnsi="仿宋_GB2312" w:cs="仿宋_GB2312"/>
        </w:rPr>
        <w:t>+</w:t>
      </w:r>
      <w:r>
        <w:rPr>
          <w:rFonts w:hAnsi="仿宋_GB2312" w:cs="仿宋_GB2312" w:hint="eastAsia"/>
        </w:rPr>
        <w:t>设施牧草种植”和飞播种草等治沙模式防止土地沙化，在</w:t>
      </w:r>
      <w:proofErr w:type="gramStart"/>
      <w:r>
        <w:rPr>
          <w:rFonts w:hAnsi="仿宋_GB2312" w:cs="仿宋_GB2312" w:hint="eastAsia"/>
        </w:rPr>
        <w:t>铁盖乡光伏</w:t>
      </w:r>
      <w:proofErr w:type="gramEnd"/>
      <w:r>
        <w:rPr>
          <w:rFonts w:hAnsi="仿宋_GB2312" w:cs="仿宋_GB2312" w:hint="eastAsia"/>
        </w:rPr>
        <w:t>园区周边新建防风固沙带，构建林草结合的防风固沙林体系。</w:t>
      </w:r>
    </w:p>
    <w:p w14:paraId="367B8598" w14:textId="77777777" w:rsidR="00280812" w:rsidRDefault="00000000">
      <w:pPr>
        <w:pStyle w:val="a0"/>
        <w:ind w:left="0" w:firstLineChars="200" w:firstLine="640"/>
      </w:pPr>
      <w:r>
        <w:rPr>
          <w:rFonts w:hint="eastAsia"/>
        </w:rPr>
        <w:t>强化土壤污染防治</w:t>
      </w:r>
    </w:p>
    <w:p w14:paraId="3BC0F2E2" w14:textId="77777777" w:rsidR="00280812" w:rsidRDefault="00000000">
      <w:pPr>
        <w:pStyle w:val="a7"/>
        <w:ind w:firstLine="640"/>
        <w:rPr>
          <w:rFonts w:hAnsi="仿宋_GB2312" w:cs="仿宋_GB2312" w:hint="eastAsia"/>
        </w:rPr>
      </w:pPr>
      <w:r>
        <w:rPr>
          <w:rFonts w:ascii="楷体_GB2312" w:eastAsia="楷体_GB2312" w:hAnsi="楷体_GB2312" w:cs="楷体_GB2312" w:hint="eastAsia"/>
        </w:rPr>
        <w:t>完成全乡土壤污染源排查与整治，</w:t>
      </w:r>
      <w:r>
        <w:rPr>
          <w:rFonts w:hAnsi="仿宋_GB2312" w:cs="仿宋_GB2312" w:hint="eastAsia"/>
        </w:rPr>
        <w:t>按照“分区分类”的原则，实施以风险管</w:t>
      </w:r>
      <w:proofErr w:type="gramStart"/>
      <w:r>
        <w:rPr>
          <w:rFonts w:hAnsi="仿宋_GB2312" w:cs="仿宋_GB2312" w:hint="eastAsia"/>
        </w:rPr>
        <w:t>控为主</w:t>
      </w:r>
      <w:proofErr w:type="gramEnd"/>
      <w:r>
        <w:rPr>
          <w:rFonts w:hAnsi="仿宋_GB2312" w:cs="仿宋_GB2312" w:hint="eastAsia"/>
        </w:rPr>
        <w:t>的治理策略，加强土壤污染源头防控，严格控制新增污染，实施重点污染源综合防控，推动受污染耕地安全利用，加强污染地块风险管控与修复，防控重点区域土壤污染风险。保障工业园区环保基础设施用地，实施关闭搬迁企业或历史遗留污染源整治，持续推进重金属污染综合防控治理，加强固体废物污染防治，实</w:t>
      </w:r>
      <w:r>
        <w:rPr>
          <w:rFonts w:hAnsi="仿宋_GB2312" w:cs="仿宋_GB2312" w:hint="eastAsia"/>
        </w:rPr>
        <w:lastRenderedPageBreak/>
        <w:t>行污染地块全过程闭环管理。</w:t>
      </w:r>
    </w:p>
    <w:p w14:paraId="2A761154" w14:textId="77777777" w:rsidR="00280812" w:rsidRDefault="00000000">
      <w:pPr>
        <w:pStyle w:val="a0"/>
        <w:ind w:left="0" w:firstLineChars="200" w:firstLine="640"/>
      </w:pPr>
      <w:r>
        <w:rPr>
          <w:rFonts w:hint="eastAsia"/>
        </w:rPr>
        <w:t>积极推进国土绿化工程</w:t>
      </w:r>
    </w:p>
    <w:p w14:paraId="0E8389BA" w14:textId="77777777" w:rsidR="00280812" w:rsidRDefault="00000000">
      <w:pPr>
        <w:pStyle w:val="a7"/>
        <w:ind w:firstLine="640"/>
        <w:rPr>
          <w:rFonts w:hAnsi="仿宋_GB2312" w:cs="仿宋_GB2312" w:hint="eastAsia"/>
        </w:rPr>
      </w:pPr>
      <w:r>
        <w:rPr>
          <w:rFonts w:hAnsi="仿宋_GB2312" w:cs="仿宋_GB2312" w:hint="eastAsia"/>
        </w:rPr>
        <w:t>深入开展国土绿化巩固提升行动，增强生态系统功能和生态产品供给能力，提升</w:t>
      </w:r>
      <w:proofErr w:type="gramStart"/>
      <w:r>
        <w:rPr>
          <w:rFonts w:hAnsi="仿宋_GB2312" w:cs="仿宋_GB2312" w:hint="eastAsia"/>
        </w:rPr>
        <w:t>生态系统碳汇增量</w:t>
      </w:r>
      <w:proofErr w:type="gramEnd"/>
      <w:r>
        <w:rPr>
          <w:rFonts w:hAnsi="仿宋_GB2312" w:cs="仿宋_GB2312" w:hint="eastAsia"/>
        </w:rPr>
        <w:t>，筑牢国土生态安全屏障，增进人民生态福祉。依托三北防护林、天然林保护、防沙治沙等国家重点工程，结合实际情况，按照宜林则林、宜草则草的原则实施人工造林，继续推进国土绿化。不断拓展绿化空间，对重点生态脆弱区、宜林沙化土地、</w:t>
      </w:r>
      <w:proofErr w:type="gramStart"/>
      <w:r>
        <w:rPr>
          <w:rFonts w:hAnsi="仿宋_GB2312" w:cs="仿宋_GB2312" w:hint="eastAsia"/>
        </w:rPr>
        <w:t>裸土地</w:t>
      </w:r>
      <w:proofErr w:type="gramEnd"/>
      <w:r>
        <w:rPr>
          <w:rFonts w:hAnsi="仿宋_GB2312" w:cs="仿宋_GB2312" w:hint="eastAsia"/>
        </w:rPr>
        <w:t>等实施造林绿化，有序安排年度绿化任务。到2035年，规划造林绿化空间28836.58公顷，主要分布在乡域中南部沙漠地区。</w:t>
      </w:r>
    </w:p>
    <w:p w14:paraId="5C3903EF" w14:textId="77777777" w:rsidR="00280812" w:rsidRDefault="00000000">
      <w:pPr>
        <w:rPr>
          <w:rFonts w:ascii="仿宋_GB2312" w:eastAsia="仿宋_GB2312" w:hAnsi="仿宋_GB2312" w:cs="仿宋_GB2312" w:hint="eastAsia"/>
        </w:rPr>
      </w:pPr>
      <w:r>
        <w:rPr>
          <w:rFonts w:ascii="仿宋_GB2312" w:eastAsia="仿宋_GB2312" w:hAnsi="仿宋_GB2312" w:cs="仿宋_GB2312" w:hint="eastAsia"/>
        </w:rPr>
        <w:br w:type="page"/>
      </w:r>
    </w:p>
    <w:p w14:paraId="1258BE5F" w14:textId="77777777" w:rsidR="00280812" w:rsidRDefault="00000000">
      <w:pPr>
        <w:pStyle w:val="1"/>
      </w:pPr>
      <w:bookmarkStart w:id="45" w:name="_Toc209177574"/>
      <w:r>
        <w:rPr>
          <w:rFonts w:hint="eastAsia"/>
        </w:rPr>
        <w:lastRenderedPageBreak/>
        <w:t>严格落实耕地保护，加强保障农业空间</w:t>
      </w:r>
      <w:bookmarkEnd w:id="45"/>
    </w:p>
    <w:p w14:paraId="718BEE1E" w14:textId="77777777" w:rsidR="00280812" w:rsidRDefault="00000000">
      <w:pPr>
        <w:pStyle w:val="2"/>
        <w:numPr>
          <w:ilvl w:val="0"/>
          <w:numId w:val="8"/>
        </w:numPr>
        <w:rPr>
          <w:lang w:val="zh-CN"/>
        </w:rPr>
      </w:pPr>
      <w:bookmarkStart w:id="46" w:name="_Toc209177575"/>
      <w:r>
        <w:rPr>
          <w:rFonts w:hint="eastAsia"/>
          <w:lang w:val="zh-CN"/>
        </w:rPr>
        <w:t>实施耕地“三位一体”保护</w:t>
      </w:r>
      <w:bookmarkEnd w:id="46"/>
    </w:p>
    <w:p w14:paraId="3CA49CAC" w14:textId="77777777" w:rsidR="00280812" w:rsidRDefault="00000000">
      <w:pPr>
        <w:pStyle w:val="a0"/>
        <w:ind w:left="0" w:firstLineChars="200" w:firstLine="640"/>
      </w:pPr>
      <w:r>
        <w:rPr>
          <w:rFonts w:hint="eastAsia"/>
        </w:rPr>
        <w:t>稳定耕地数量</w:t>
      </w:r>
    </w:p>
    <w:p w14:paraId="31DFAC8F" w14:textId="77777777" w:rsidR="00280812" w:rsidRDefault="00000000">
      <w:pPr>
        <w:pStyle w:val="a7"/>
        <w:ind w:firstLine="640"/>
        <w:rPr>
          <w:rFonts w:hAnsi="仿宋_GB2312" w:cs="仿宋_GB2312" w:hint="eastAsia"/>
        </w:rPr>
      </w:pPr>
      <w:bookmarkStart w:id="47" w:name="_Hlk148272652"/>
      <w:r>
        <w:rPr>
          <w:rFonts w:hAnsi="仿宋_GB2312" w:cs="仿宋_GB2312" w:hint="eastAsia"/>
        </w:rPr>
        <w:t>落实上级规划下达的耕地保有量1.1547万亩和永久基本农田1.0717万亩，将耕地保有量和永久基本农田带位置分解落实至各村。健全落实耕地保护和粮食安全责任考核机制，签订耕地保护和粮食安全责任书，压实耕地保护主体责任，对耕地保护和粮食安全完成情况定期考核，实行耕地保护党政同责、终身追责。</w:t>
      </w:r>
    </w:p>
    <w:p w14:paraId="595F4CAE" w14:textId="77777777" w:rsidR="00280812" w:rsidRDefault="00000000">
      <w:pPr>
        <w:pStyle w:val="a0"/>
        <w:ind w:left="0" w:firstLineChars="200" w:firstLine="640"/>
      </w:pPr>
      <w:bookmarkStart w:id="48" w:name="_Hlk163823794"/>
      <w:r>
        <w:rPr>
          <w:rFonts w:hint="eastAsia"/>
        </w:rPr>
        <w:t>耕地占补平衡管理，强化以</w:t>
      </w:r>
      <w:proofErr w:type="gramStart"/>
      <w:r>
        <w:rPr>
          <w:rFonts w:hint="eastAsia"/>
        </w:rPr>
        <w:t>补定占约束</w:t>
      </w:r>
      <w:proofErr w:type="gramEnd"/>
    </w:p>
    <w:p w14:paraId="39B2A455" w14:textId="77777777" w:rsidR="00280812" w:rsidRDefault="00000000">
      <w:pPr>
        <w:pStyle w:val="a7"/>
        <w:ind w:firstLine="640"/>
        <w:rPr>
          <w:rFonts w:hAnsi="仿宋_GB2312" w:cs="仿宋_GB2312" w:hint="eastAsia"/>
        </w:rPr>
      </w:pPr>
      <w:r>
        <w:rPr>
          <w:rFonts w:ascii="楷体_GB2312" w:eastAsia="楷体_GB2312" w:hAnsi="楷体_GB2312" w:cs="楷体_GB2312" w:hint="eastAsia"/>
          <w:szCs w:val="32"/>
        </w:rPr>
        <w:t>严格控制耕地占用。</w:t>
      </w:r>
      <w:r>
        <w:rPr>
          <w:rFonts w:hAnsi="仿宋_GB2312" w:cs="仿宋_GB2312" w:hint="eastAsia"/>
        </w:rPr>
        <w:t>落实最严格的耕地保护制度和永久基本农田特殊保护制度。对非农建设占用耕地，要严格用地审批，严格执行土地使用标准，切实做到不占或少占耕地。规范有序实施耕地转为园地、林地、草地等其他农用地，科学合理安排造林绿化任务，严格控制占用耕地规模。严肃处置违法违规占用耕地问题，坚决防止未批先建、造林绿化随意占用耕地、超标准建设绿色通道、挖湖造景占用耕地等行为。</w:t>
      </w:r>
    </w:p>
    <w:p w14:paraId="476E78D5" w14:textId="77777777" w:rsidR="00280812" w:rsidRDefault="00000000">
      <w:pPr>
        <w:pStyle w:val="a7"/>
        <w:ind w:firstLine="640"/>
        <w:rPr>
          <w:rFonts w:hAnsi="仿宋_GB2312" w:cs="仿宋_GB2312" w:hint="eastAsia"/>
        </w:rPr>
      </w:pPr>
      <w:r>
        <w:rPr>
          <w:rFonts w:ascii="楷体_GB2312" w:eastAsia="楷体_GB2312" w:hAnsi="楷体_GB2312" w:cs="楷体_GB2312" w:hint="eastAsia"/>
          <w:szCs w:val="32"/>
        </w:rPr>
        <w:t>耕地占补平衡管理方式。</w:t>
      </w:r>
      <w:r>
        <w:rPr>
          <w:rFonts w:hAnsi="仿宋_GB2312" w:cs="仿宋_GB2312" w:hint="eastAsia"/>
        </w:rPr>
        <w:t>强化耕地总量管控，对各类占用耕地与补充耕地实行年度“算大账”，以年度国土变更调查、补充耕地质量鉴定等成果为基础，实施省级行政区域耕地总量动态平衡、质量稳定监督管理。严格落实补充耕地要求，积极稳妥推进耕地恢复，科学适度开发宜耕</w:t>
      </w:r>
      <w:r>
        <w:rPr>
          <w:rFonts w:hAnsi="仿宋_GB2312" w:cs="仿宋_GB2312" w:hint="eastAsia"/>
        </w:rPr>
        <w:lastRenderedPageBreak/>
        <w:t>后备资源，确保各类占用耕地得到及时保质保量补充，省域内稳定利用耕地总量不减少、质量不降低。</w:t>
      </w:r>
    </w:p>
    <w:p w14:paraId="41C0BBAA" w14:textId="77777777" w:rsidR="00280812" w:rsidRDefault="00000000">
      <w:pPr>
        <w:pStyle w:val="a7"/>
        <w:ind w:firstLine="640"/>
        <w:rPr>
          <w:rFonts w:hAnsi="仿宋_GB2312" w:cs="仿宋_GB2312" w:hint="eastAsia"/>
        </w:rPr>
      </w:pPr>
      <w:r>
        <w:rPr>
          <w:rFonts w:ascii="楷体_GB2312" w:eastAsia="楷体_GB2312" w:hAnsi="楷体_GB2312" w:cs="楷体_GB2312" w:hint="eastAsia"/>
          <w:szCs w:val="32"/>
        </w:rPr>
        <w:t>强化非农建设占用耕地以</w:t>
      </w:r>
      <w:proofErr w:type="gramStart"/>
      <w:r>
        <w:rPr>
          <w:rFonts w:ascii="楷体_GB2312" w:eastAsia="楷体_GB2312" w:hAnsi="楷体_GB2312" w:cs="楷体_GB2312" w:hint="eastAsia"/>
          <w:szCs w:val="32"/>
        </w:rPr>
        <w:t>补定占管</w:t>
      </w:r>
      <w:proofErr w:type="gramEnd"/>
      <w:r>
        <w:rPr>
          <w:rFonts w:ascii="楷体_GB2312" w:eastAsia="楷体_GB2312" w:hAnsi="楷体_GB2312" w:cs="楷体_GB2312" w:hint="eastAsia"/>
          <w:szCs w:val="32"/>
        </w:rPr>
        <w:t>控。</w:t>
      </w:r>
      <w:r>
        <w:rPr>
          <w:rFonts w:hint="eastAsia"/>
          <w:color w:val="333333"/>
          <w:shd w:val="clear" w:color="auto" w:fill="FFFFFF"/>
        </w:rPr>
        <w:t>统筹非农建设和农用地内部调整占用耕地需求，建立非农建设占用耕地规模与稳定利用耕地净增加量挂钩约束机制。</w:t>
      </w:r>
    </w:p>
    <w:p w14:paraId="28B52048" w14:textId="77777777" w:rsidR="00280812" w:rsidRDefault="00000000">
      <w:pPr>
        <w:pStyle w:val="a0"/>
        <w:ind w:left="0" w:firstLineChars="200" w:firstLine="640"/>
      </w:pPr>
      <w:r>
        <w:rPr>
          <w:rFonts w:hint="eastAsia"/>
        </w:rPr>
        <w:t>实施耕地种植用途管控</w:t>
      </w:r>
    </w:p>
    <w:p w14:paraId="2A323371" w14:textId="77777777" w:rsidR="00280812" w:rsidRDefault="00000000">
      <w:pPr>
        <w:pStyle w:val="a7"/>
        <w:ind w:firstLine="640"/>
      </w:pPr>
      <w:r>
        <w:rPr>
          <w:rFonts w:hint="eastAsia"/>
        </w:rPr>
        <w:t>依法落实耕地利用优先序，合理引导农业种植结构调整，耕地主要用于粮食和油料、蔬菜等农产品及饲草饲料生产，永久基本农田主要用于粮食生产，高标准农田原则上全部用于粮食生产。</w:t>
      </w:r>
      <w:r>
        <w:t>利用卫星遥感、大数据等信息化手段，监测耕地种植用途变化动态。开展日常巡查和核查，对耕地种植用途改变做到早发现、早制止，严格防止耕地</w:t>
      </w:r>
      <w:r>
        <w:rPr>
          <w:rFonts w:hint="eastAsia"/>
        </w:rPr>
        <w:t>“</w:t>
      </w:r>
      <w:r>
        <w:t>非粮化</w:t>
      </w:r>
      <w:r>
        <w:rPr>
          <w:rFonts w:hint="eastAsia"/>
        </w:rPr>
        <w:t>”</w:t>
      </w:r>
      <w:r>
        <w:t>，守住保障国家粮食安全底线，保障粮食和重要农产品有效供给。</w:t>
      </w:r>
    </w:p>
    <w:p w14:paraId="72849984" w14:textId="77777777" w:rsidR="00280812" w:rsidRDefault="00000000">
      <w:pPr>
        <w:pStyle w:val="a0"/>
        <w:ind w:left="0" w:firstLineChars="200" w:firstLine="640"/>
      </w:pPr>
      <w:bookmarkStart w:id="49" w:name="_Hlk163823819"/>
      <w:bookmarkEnd w:id="47"/>
      <w:bookmarkEnd w:id="48"/>
      <w:r>
        <w:rPr>
          <w:rFonts w:hint="eastAsia"/>
        </w:rPr>
        <w:t>做好宜耕后备资源保护利用开发</w:t>
      </w:r>
    </w:p>
    <w:p w14:paraId="18DD8622" w14:textId="77777777" w:rsidR="00280812" w:rsidRDefault="00000000">
      <w:pPr>
        <w:pStyle w:val="a8"/>
        <w:ind w:firstLine="640"/>
      </w:pPr>
      <w:r>
        <w:rPr>
          <w:rFonts w:hint="eastAsia"/>
        </w:rPr>
        <w:t>按照“恢复优质耕地为主、新开垦耕地为辅”的原则，在充分保障土地权利人合法权益的前提下，优先将从平原和低坡度耕地中流出的园地、林地、草地等其他农用地恢复为耕地，因地制宜推动园林地“上坡”、耕地“下坡”，优化耕地、园地、林地、草地布局。未利用地开发要坚持生态优先、以水定地、稳妥有序的原则，一般应控制在新一轮全国耕地后备资源调查确定的宜耕后备资源范围内实施。</w:t>
      </w:r>
    </w:p>
    <w:p w14:paraId="4A691185" w14:textId="77777777" w:rsidR="00280812" w:rsidRDefault="00000000">
      <w:pPr>
        <w:pStyle w:val="a0"/>
        <w:ind w:left="0" w:firstLineChars="200" w:firstLine="640"/>
      </w:pPr>
      <w:r>
        <w:rPr>
          <w:rFonts w:hint="eastAsia"/>
        </w:rPr>
        <w:lastRenderedPageBreak/>
        <w:t>积极推进高标准农田建设</w:t>
      </w:r>
    </w:p>
    <w:p w14:paraId="017425AB" w14:textId="77777777" w:rsidR="00280812" w:rsidRDefault="00000000">
      <w:pPr>
        <w:pStyle w:val="a8"/>
        <w:ind w:firstLine="640"/>
      </w:pPr>
      <w:r>
        <w:t>深入实施</w:t>
      </w:r>
      <w:r>
        <w:rPr>
          <w:rFonts w:hint="eastAsia"/>
        </w:rPr>
        <w:t>“</w:t>
      </w:r>
      <w:r>
        <w:t>藏粮于地、藏粮于技</w:t>
      </w:r>
      <w:r>
        <w:rPr>
          <w:rFonts w:hint="eastAsia"/>
        </w:rPr>
        <w:t>”</w:t>
      </w:r>
      <w:r>
        <w:t>战略，坚持用地养地相结合，以粮食生产功能区和重要农产品生产保护区建设为依托，多</w:t>
      </w:r>
      <w:proofErr w:type="gramStart"/>
      <w:r>
        <w:t>措</w:t>
      </w:r>
      <w:proofErr w:type="gramEnd"/>
      <w:r>
        <w:t>并举提高耕地质量和粮食综合生产能力，</w:t>
      </w:r>
      <w:r>
        <w:rPr>
          <w:rFonts w:hint="eastAsia"/>
        </w:rPr>
        <w:t>大力推进黄河灌区和克才灌区等重点区域高标准农田建设，积极开展旱改水、农田连片整治、土壤培肥改良等重大工程，加强高效节水灌溉设施建设和节水技术推广，提高耕地综合生产能力。</w:t>
      </w:r>
      <w:r>
        <w:t>通过持续改造提升，使全</w:t>
      </w:r>
      <w:r>
        <w:rPr>
          <w:rFonts w:hint="eastAsia"/>
        </w:rPr>
        <w:t>乡</w:t>
      </w:r>
      <w:r>
        <w:t>高标准农田保有量和质量进一步提高，已建成的高标准农田建后</w:t>
      </w:r>
      <w:proofErr w:type="gramStart"/>
      <w:r>
        <w:t>管护全</w:t>
      </w:r>
      <w:proofErr w:type="gramEnd"/>
      <w:r>
        <w:t>覆盖、质量</w:t>
      </w:r>
      <w:proofErr w:type="gramStart"/>
      <w:r>
        <w:t>监测全</w:t>
      </w:r>
      <w:proofErr w:type="gramEnd"/>
      <w:r>
        <w:t>覆盖，形成更高层次、更有效率、更可持续的粮食安全保障基础。</w:t>
      </w:r>
    </w:p>
    <w:p w14:paraId="7AAC7041" w14:textId="77777777" w:rsidR="00280812" w:rsidRDefault="00000000">
      <w:pPr>
        <w:pStyle w:val="a0"/>
        <w:ind w:left="0" w:firstLineChars="200" w:firstLine="640"/>
      </w:pPr>
      <w:r>
        <w:t>提升耕地生态功能</w:t>
      </w:r>
    </w:p>
    <w:p w14:paraId="59871D1B" w14:textId="77777777" w:rsidR="00280812" w:rsidRDefault="00000000">
      <w:pPr>
        <w:pStyle w:val="a8"/>
        <w:ind w:firstLine="640"/>
      </w:pPr>
      <w:r>
        <w:t>耕地保护在保护数量和质量的同时，要按照安全功能、生产功能、生态功能、景观功能的次序，在全域空间中保护耕地，及时对灾害或建设损毁耕地、退化耕地、污染耕地等进行治理。强化农田生态系统构建与保护，坚持</w:t>
      </w:r>
      <w:r>
        <w:rPr>
          <w:rFonts w:hint="eastAsia"/>
        </w:rPr>
        <w:t>“</w:t>
      </w:r>
      <w:r>
        <w:t>山水林田湖草沙生命共同体</w:t>
      </w:r>
      <w:r>
        <w:rPr>
          <w:rFonts w:hint="eastAsia"/>
        </w:rPr>
        <w:t>”</w:t>
      </w:r>
      <w:r>
        <w:t>理念，将耕地放到更大的自然地理格局、农田生态系统层面予以保护。同时，建设并完善田间基础设施，注重保持并提升耕地的生物多样性和农田生态系统稳定性，持续发挥其生产和生态功能。建立耕地保护生态补偿机制，完善以绿色生态为导向的农业生态治理补贴制度，因地制宜推广保护性耕作，健全耕地轮作休耕制度，有效保护农田生态系统稳定性和生物多样性，</w:t>
      </w:r>
      <w:r>
        <w:lastRenderedPageBreak/>
        <w:t>加快发展生态农业和循环农业。</w:t>
      </w:r>
    </w:p>
    <w:p w14:paraId="3EDE0AE3" w14:textId="77777777" w:rsidR="00280812" w:rsidRDefault="00000000">
      <w:pPr>
        <w:pStyle w:val="2"/>
        <w:numPr>
          <w:ilvl w:val="0"/>
          <w:numId w:val="8"/>
        </w:numPr>
        <w:rPr>
          <w:lang w:val="zh-CN"/>
        </w:rPr>
      </w:pPr>
      <w:bookmarkStart w:id="50" w:name="_Toc209177576"/>
      <w:bookmarkEnd w:id="49"/>
      <w:r>
        <w:rPr>
          <w:rFonts w:hint="eastAsia"/>
          <w:lang w:val="zh-CN"/>
        </w:rPr>
        <w:t>强化草地资源保护与利用</w:t>
      </w:r>
      <w:bookmarkEnd w:id="50"/>
    </w:p>
    <w:p w14:paraId="675484A6" w14:textId="77777777" w:rsidR="00280812" w:rsidRDefault="00000000">
      <w:pPr>
        <w:pStyle w:val="a0"/>
        <w:ind w:left="0" w:firstLineChars="200" w:firstLine="640"/>
      </w:pPr>
      <w:r>
        <w:rPr>
          <w:rFonts w:hint="eastAsia"/>
        </w:rPr>
        <w:t>加大草原保护力度</w:t>
      </w:r>
    </w:p>
    <w:p w14:paraId="3071BA82" w14:textId="77777777" w:rsidR="00280812" w:rsidRDefault="00000000">
      <w:pPr>
        <w:pStyle w:val="a7"/>
        <w:ind w:firstLine="640"/>
        <w:rPr>
          <w:rFonts w:hAnsi="仿宋_GB2312" w:cs="仿宋_GB2312" w:hint="eastAsia"/>
        </w:rPr>
      </w:pPr>
      <w:bookmarkStart w:id="51" w:name="_Hlk135522544"/>
      <w:r>
        <w:t>调整优化基本草原，把维护国家生态安全、保障草原畜牧业健康发展所需最基本、最重要的草原划定为基本草原，实施更加严格的保护和管理，确保基本草原面积不减少、质量不下降、用途不改变。</w:t>
      </w:r>
      <w:r>
        <w:rPr>
          <w:rFonts w:hAnsi="仿宋_GB2312" w:cs="仿宋_GB2312" w:hint="eastAsia"/>
        </w:rPr>
        <w:t>加强基本草原保护力度，对基本草原实施严格的轮牧休牧和草</w:t>
      </w:r>
      <w:proofErr w:type="gramStart"/>
      <w:r>
        <w:rPr>
          <w:rFonts w:hAnsi="仿宋_GB2312" w:cs="仿宋_GB2312" w:hint="eastAsia"/>
        </w:rPr>
        <w:t>畜平衡</w:t>
      </w:r>
      <w:proofErr w:type="gramEnd"/>
      <w:r>
        <w:rPr>
          <w:rFonts w:hAnsi="仿宋_GB2312" w:cs="仿宋_GB2312" w:hint="eastAsia"/>
        </w:rPr>
        <w:t>制度。科学合理利用草原，禁止乱采乱挖草原野生植物和破坏草原植被的其他活动。加强草原监管体系建设，提升执法监督工作水平。</w:t>
      </w:r>
      <w:bookmarkStart w:id="52" w:name="_Hlk135522554"/>
      <w:bookmarkEnd w:id="51"/>
      <w:r>
        <w:rPr>
          <w:rFonts w:hAnsi="仿宋_GB2312" w:cs="仿宋_GB2312" w:hint="eastAsia"/>
        </w:rPr>
        <w:t>到2035年，铁盖</w:t>
      </w:r>
      <w:proofErr w:type="gramStart"/>
      <w:r>
        <w:rPr>
          <w:rFonts w:hAnsi="仿宋_GB2312" w:cs="仿宋_GB2312" w:hint="eastAsia"/>
        </w:rPr>
        <w:t>乡基本</w:t>
      </w:r>
      <w:proofErr w:type="gramEnd"/>
      <w:r>
        <w:rPr>
          <w:rFonts w:hAnsi="仿宋_GB2312" w:cs="仿宋_GB2312" w:hint="eastAsia"/>
        </w:rPr>
        <w:t>草原面积保持在草原面积的80%以上</w:t>
      </w:r>
      <w:bookmarkEnd w:id="52"/>
      <w:r>
        <w:rPr>
          <w:rFonts w:hAnsi="仿宋_GB2312" w:cs="仿宋_GB2312" w:hint="eastAsia"/>
        </w:rPr>
        <w:t>。</w:t>
      </w:r>
    </w:p>
    <w:p w14:paraId="01D76631" w14:textId="77777777" w:rsidR="00280812" w:rsidRDefault="00000000">
      <w:pPr>
        <w:pStyle w:val="a0"/>
        <w:ind w:left="0" w:firstLineChars="200" w:firstLine="640"/>
      </w:pPr>
      <w:r>
        <w:t>有序开展禁牧休牧工作</w:t>
      </w:r>
    </w:p>
    <w:p w14:paraId="3F782411" w14:textId="77777777" w:rsidR="00280812" w:rsidRDefault="00000000">
      <w:pPr>
        <w:pStyle w:val="a7"/>
        <w:ind w:firstLine="640"/>
        <w:rPr>
          <w:rFonts w:hAnsi="仿宋_GB2312" w:cs="仿宋_GB2312" w:hint="eastAsia"/>
        </w:rPr>
      </w:pPr>
      <w:r>
        <w:rPr>
          <w:rFonts w:hAnsi="仿宋_GB2312" w:cs="仿宋_GB2312"/>
        </w:rPr>
        <w:t>开展有序有质的禁牧和休牧工作，强化对草地资源的保护力度，提高对草地资源的整体开发和利用效率，积极开展草地草场的牧草补充和还种工作，强化草地的自我修复功能。以草定畜，科学合理利用草地资源加强草原围栏建设，以草定畜、以畜定草，严格控制牲畜数量，实行划区轮牧，科学合理利用草地资源，用养并举。加强人工草地建设，生产足量优质饲料，增加牧草贮备，降低放牧家畜对天然草原，尤其是冬春草原的压力，促使退化草原的自然恢复。</w:t>
      </w:r>
    </w:p>
    <w:p w14:paraId="6EFBC52F" w14:textId="77777777" w:rsidR="00280812" w:rsidRDefault="00000000">
      <w:pPr>
        <w:pStyle w:val="a0"/>
        <w:ind w:left="0" w:firstLineChars="200" w:firstLine="640"/>
      </w:pPr>
      <w:r>
        <w:lastRenderedPageBreak/>
        <w:t>合理利用草原资源</w:t>
      </w:r>
    </w:p>
    <w:p w14:paraId="7FA46F9D" w14:textId="77777777" w:rsidR="00280812" w:rsidRDefault="00000000">
      <w:pPr>
        <w:pStyle w:val="a7"/>
        <w:ind w:firstLine="640"/>
        <w:rPr>
          <w:rFonts w:hAnsi="仿宋_GB2312" w:cs="仿宋_GB2312" w:hint="eastAsia"/>
        </w:rPr>
      </w:pPr>
      <w:r>
        <w:rPr>
          <w:rFonts w:hint="eastAsia"/>
        </w:rPr>
        <w:t>铁盖乡</w:t>
      </w:r>
      <w:r>
        <w:t>主要以实现草</w:t>
      </w:r>
      <w:proofErr w:type="gramStart"/>
      <w:r>
        <w:t>畜平衡</w:t>
      </w:r>
      <w:proofErr w:type="gramEnd"/>
      <w:r>
        <w:t>为目标，优化畜群结构，控制放牧牲畜数量，提高科学饲养和放牧管理水平，避免过</w:t>
      </w:r>
      <w:proofErr w:type="gramStart"/>
      <w:r>
        <w:t>牧导致</w:t>
      </w:r>
      <w:proofErr w:type="gramEnd"/>
      <w:r>
        <w:t>草原退化。加快转变传统草原畜牧业生产方式，提高资源利用效率</w:t>
      </w:r>
      <w:r>
        <w:rPr>
          <w:rFonts w:hint="eastAsia"/>
        </w:rPr>
        <w:t>，</w:t>
      </w:r>
      <w:r>
        <w:rPr>
          <w:rFonts w:hAnsi="仿宋_GB2312" w:cs="仿宋_GB2312" w:hint="eastAsia"/>
        </w:rPr>
        <w:t>支持暖棚、饲草基地、贮草棚等基础设施建设，引导草场合理放牧和</w:t>
      </w:r>
      <w:proofErr w:type="gramStart"/>
      <w:r>
        <w:rPr>
          <w:rFonts w:hAnsi="仿宋_GB2312" w:cs="仿宋_GB2312" w:hint="eastAsia"/>
        </w:rPr>
        <w:t>鼓励饲畜结合</w:t>
      </w:r>
      <w:proofErr w:type="gramEnd"/>
      <w:r>
        <w:rPr>
          <w:rFonts w:hAnsi="仿宋_GB2312" w:cs="仿宋_GB2312" w:hint="eastAsia"/>
        </w:rPr>
        <w:t>。</w:t>
      </w:r>
      <w:r>
        <w:t>发展现代草业，支持</w:t>
      </w:r>
      <w:proofErr w:type="gramStart"/>
      <w:r>
        <w:t>草产品</w:t>
      </w:r>
      <w:proofErr w:type="gramEnd"/>
      <w:r>
        <w:t>加工业发展，建立</w:t>
      </w:r>
      <w:proofErr w:type="gramStart"/>
      <w:r>
        <w:t>完善草产品</w:t>
      </w:r>
      <w:proofErr w:type="gramEnd"/>
      <w:r>
        <w:t>质量标准体系。科学推进草原多功能利用，充分释放草原经济、生态和社会价值以及在碳汇、旅游等方面独特优势，挖掘草原景观和牧区独特文化功能，开发建设草原旅游景点。</w:t>
      </w:r>
    </w:p>
    <w:p w14:paraId="489E35A0" w14:textId="77777777" w:rsidR="00280812" w:rsidRDefault="00000000">
      <w:pPr>
        <w:pStyle w:val="2"/>
        <w:numPr>
          <w:ilvl w:val="0"/>
          <w:numId w:val="8"/>
        </w:numPr>
        <w:rPr>
          <w:lang w:val="zh-CN"/>
        </w:rPr>
      </w:pPr>
      <w:bookmarkStart w:id="53" w:name="_Toc209177577"/>
      <w:r>
        <w:rPr>
          <w:rFonts w:hint="eastAsia"/>
          <w:lang w:val="zh-CN"/>
        </w:rPr>
        <w:t>有序推进农用地整治</w:t>
      </w:r>
      <w:bookmarkEnd w:id="53"/>
    </w:p>
    <w:p w14:paraId="787C0839" w14:textId="77777777" w:rsidR="00280812" w:rsidRDefault="00000000">
      <w:pPr>
        <w:pStyle w:val="a0"/>
        <w:ind w:left="0" w:firstLineChars="200" w:firstLine="640"/>
      </w:pPr>
      <w:r>
        <w:rPr>
          <w:rFonts w:hint="eastAsia"/>
        </w:rPr>
        <w:t>大力建设高标准农田</w:t>
      </w:r>
    </w:p>
    <w:p w14:paraId="641600F0" w14:textId="77777777" w:rsidR="00280812" w:rsidRDefault="00000000">
      <w:pPr>
        <w:pStyle w:val="a7"/>
        <w:ind w:firstLine="640"/>
        <w:rPr>
          <w:rFonts w:hAnsi="仿宋_GB2312" w:cs="仿宋_GB2312" w:hint="eastAsia"/>
        </w:rPr>
      </w:pPr>
      <w:r>
        <w:rPr>
          <w:rFonts w:hAnsi="仿宋_GB2312" w:cs="仿宋_GB2312"/>
        </w:rPr>
        <w:t>推进高标准农田建设。通过整治田块、改良土壤、建设排灌设施、整修田间道路、完善农田防护与生态环境保持</w:t>
      </w:r>
      <w:r>
        <w:rPr>
          <w:rFonts w:hAnsi="仿宋_GB2312" w:cs="仿宋_GB2312" w:hint="eastAsia"/>
        </w:rPr>
        <w:t>体</w:t>
      </w:r>
      <w:r>
        <w:t>系、加强农业科技服务、强化建后管理等措施，重点围绕</w:t>
      </w:r>
      <w:r>
        <w:rPr>
          <w:rFonts w:hint="eastAsia"/>
        </w:rPr>
        <w:t>“</w:t>
      </w:r>
      <w:r>
        <w:t>田、土、水、路、林、电、技、</w:t>
      </w:r>
      <w:r>
        <w:rPr>
          <w:rFonts w:hAnsi="仿宋_GB2312" w:cs="仿宋_GB2312"/>
        </w:rPr>
        <w:t>管</w:t>
      </w:r>
      <w:r>
        <w:rPr>
          <w:rFonts w:hAnsi="仿宋_GB2312" w:cs="仿宋_GB2312" w:hint="eastAsia"/>
        </w:rPr>
        <w:t>”等</w:t>
      </w:r>
      <w:r>
        <w:rPr>
          <w:rFonts w:hAnsi="仿宋_GB2312" w:cs="仿宋_GB2312"/>
        </w:rPr>
        <w:t>8个方面建</w:t>
      </w:r>
      <w:r>
        <w:t>设任务，</w:t>
      </w:r>
      <w:r>
        <w:rPr>
          <w:rFonts w:hint="eastAsia"/>
        </w:rPr>
        <w:t>将黄河灌区和克才灌区逐步</w:t>
      </w:r>
      <w:r>
        <w:t>建成高标准农田。以配套实施大型灌区续建改造工程、配套输配电设施、修复改良土壤、合理规划和改造建设田间路网、营造农田防护林为重点，建设农田基础设施，改善农业生产基础条件，补充耕地数量、提升耕地质量、改善耕作条件，建设适宜耕作、旱涝保收、高产稳产的现代化良田。</w:t>
      </w:r>
    </w:p>
    <w:p w14:paraId="17E0F655" w14:textId="77777777" w:rsidR="00280812" w:rsidRDefault="00000000">
      <w:pPr>
        <w:pStyle w:val="a0"/>
        <w:ind w:left="0" w:firstLineChars="200" w:firstLine="640"/>
      </w:pPr>
      <w:r>
        <w:lastRenderedPageBreak/>
        <w:t>开展其他农用地整治</w:t>
      </w:r>
    </w:p>
    <w:p w14:paraId="129F16F8" w14:textId="77777777" w:rsidR="00280812" w:rsidRDefault="00000000">
      <w:pPr>
        <w:pStyle w:val="a7"/>
        <w:ind w:firstLine="640"/>
        <w:rPr>
          <w:rFonts w:hAnsi="仿宋_GB2312" w:cs="仿宋_GB2312" w:hint="eastAsia"/>
        </w:rPr>
      </w:pPr>
      <w:r>
        <w:t>引导农业结构合理调整，充分利用荒山、荒地发展经济作物，提高农用地利用效率和效益。加强低效林地的改造，加快受损林地的恢复、重建。</w:t>
      </w:r>
    </w:p>
    <w:p w14:paraId="47420C65" w14:textId="77777777" w:rsidR="00280812" w:rsidRDefault="00000000">
      <w:pPr>
        <w:rPr>
          <w:rFonts w:ascii="仿宋_GB2312" w:eastAsia="仿宋_GB2312" w:hAnsi="仿宋_GB2312" w:cs="仿宋_GB2312" w:hint="eastAsia"/>
        </w:rPr>
      </w:pPr>
      <w:r>
        <w:rPr>
          <w:rFonts w:ascii="仿宋_GB2312" w:eastAsia="仿宋_GB2312" w:hAnsi="仿宋_GB2312" w:cs="仿宋_GB2312" w:hint="eastAsia"/>
        </w:rPr>
        <w:br w:type="page"/>
      </w:r>
    </w:p>
    <w:p w14:paraId="4BE259F4" w14:textId="77777777" w:rsidR="00280812" w:rsidRDefault="00000000">
      <w:pPr>
        <w:pStyle w:val="1"/>
      </w:pPr>
      <w:bookmarkStart w:id="54" w:name="_Toc209177578"/>
      <w:r>
        <w:rPr>
          <w:rFonts w:hint="eastAsia"/>
        </w:rPr>
        <w:lastRenderedPageBreak/>
        <w:t>统筹优化镇村空间，全面推动乡村振兴</w:t>
      </w:r>
      <w:bookmarkEnd w:id="54"/>
    </w:p>
    <w:p w14:paraId="45A1C89F" w14:textId="77777777" w:rsidR="00280812" w:rsidRDefault="00000000">
      <w:pPr>
        <w:pStyle w:val="2"/>
        <w:numPr>
          <w:ilvl w:val="0"/>
          <w:numId w:val="9"/>
        </w:numPr>
        <w:rPr>
          <w:lang w:val="zh-CN"/>
        </w:rPr>
      </w:pPr>
      <w:bookmarkStart w:id="55" w:name="_Hlk176528757"/>
      <w:bookmarkStart w:id="56" w:name="_Toc209177579"/>
      <w:r>
        <w:rPr>
          <w:rFonts w:hint="eastAsia"/>
          <w:lang w:val="zh-CN"/>
        </w:rPr>
        <w:t>优化镇村空间体系</w:t>
      </w:r>
      <w:bookmarkEnd w:id="56"/>
    </w:p>
    <w:p w14:paraId="6A9A5393" w14:textId="77777777" w:rsidR="00280812" w:rsidRDefault="00000000">
      <w:pPr>
        <w:pStyle w:val="a0"/>
        <w:ind w:left="0" w:firstLineChars="200" w:firstLine="640"/>
      </w:pPr>
      <w:proofErr w:type="gramStart"/>
      <w:r>
        <w:rPr>
          <w:rFonts w:hint="eastAsia"/>
        </w:rPr>
        <w:t>明确镇</w:t>
      </w:r>
      <w:proofErr w:type="gramEnd"/>
      <w:r>
        <w:rPr>
          <w:rFonts w:hint="eastAsia"/>
        </w:rPr>
        <w:t>村等级规模</w:t>
      </w:r>
    </w:p>
    <w:p w14:paraId="7E417BFA" w14:textId="77777777" w:rsidR="00280812" w:rsidRDefault="00000000">
      <w:pPr>
        <w:pStyle w:val="a7"/>
        <w:ind w:firstLine="640"/>
        <w:rPr>
          <w:rFonts w:hAnsi="仿宋_GB2312" w:cs="仿宋_GB2312" w:hint="eastAsia"/>
        </w:rPr>
      </w:pPr>
      <w:r>
        <w:rPr>
          <w:rFonts w:hAnsi="仿宋_GB2312" w:cs="仿宋_GB2312" w:hint="eastAsia"/>
        </w:rPr>
        <w:t>规划形成“集镇—中心村—基层村”三级镇村体系，推动生产要素向集镇和中心村聚集。</w:t>
      </w:r>
    </w:p>
    <w:p w14:paraId="36291E3E" w14:textId="77777777" w:rsidR="00280812" w:rsidRDefault="00000000">
      <w:pPr>
        <w:pStyle w:val="a7"/>
        <w:ind w:firstLine="640"/>
        <w:rPr>
          <w:rFonts w:hAnsi="仿宋_GB2312" w:cs="仿宋_GB2312" w:hint="eastAsia"/>
        </w:rPr>
      </w:pPr>
      <w:r>
        <w:rPr>
          <w:rFonts w:hAnsi="仿宋_GB2312" w:cs="仿宋_GB2312" w:hint="eastAsia"/>
        </w:rPr>
        <w:t>集镇，即马汉台村和</w:t>
      </w:r>
      <w:proofErr w:type="gramStart"/>
      <w:r>
        <w:rPr>
          <w:rFonts w:hAnsi="仿宋_GB2312" w:cs="仿宋_GB2312" w:hint="eastAsia"/>
        </w:rPr>
        <w:t>吾雷</w:t>
      </w:r>
      <w:proofErr w:type="gramEnd"/>
      <w:r>
        <w:rPr>
          <w:rFonts w:hAnsi="仿宋_GB2312" w:cs="仿宋_GB2312" w:hint="eastAsia"/>
        </w:rPr>
        <w:t>村，是全乡政治、经济、文化中心。</w:t>
      </w:r>
    </w:p>
    <w:p w14:paraId="7B462D7C" w14:textId="77777777" w:rsidR="00280812" w:rsidRDefault="00000000">
      <w:pPr>
        <w:pStyle w:val="a7"/>
        <w:ind w:firstLine="640"/>
        <w:rPr>
          <w:rFonts w:hAnsi="仿宋_GB2312" w:cs="仿宋_GB2312" w:hint="eastAsia"/>
        </w:rPr>
      </w:pPr>
      <w:r>
        <w:rPr>
          <w:rFonts w:hAnsi="仿宋_GB2312" w:cs="仿宋_GB2312" w:hint="eastAsia"/>
        </w:rPr>
        <w:t>中心村4个，即下合乐寺村、上合乐寺村、</w:t>
      </w:r>
      <w:proofErr w:type="gramStart"/>
      <w:r>
        <w:rPr>
          <w:rFonts w:hAnsi="仿宋_GB2312" w:cs="仿宋_GB2312" w:hint="eastAsia"/>
        </w:rPr>
        <w:t>拉才村和</w:t>
      </w:r>
      <w:proofErr w:type="gramEnd"/>
      <w:r>
        <w:rPr>
          <w:rFonts w:hAnsi="仿宋_GB2312" w:cs="仿宋_GB2312" w:hint="eastAsia"/>
        </w:rPr>
        <w:t>铁盖村，是与集镇及各基层村交通方便，公共服务设施相对完善的村庄。</w:t>
      </w:r>
    </w:p>
    <w:p w14:paraId="71B02878" w14:textId="77777777" w:rsidR="00280812" w:rsidRDefault="00000000">
      <w:pPr>
        <w:pStyle w:val="a7"/>
        <w:ind w:firstLine="640"/>
        <w:rPr>
          <w:rFonts w:hAnsi="仿宋_GB2312" w:cs="仿宋_GB2312" w:hint="eastAsia"/>
        </w:rPr>
      </w:pPr>
      <w:r>
        <w:rPr>
          <w:rFonts w:hAnsi="仿宋_GB2312" w:cs="仿宋_GB2312" w:hint="eastAsia"/>
        </w:rPr>
        <w:t>基层村4个，即七台村、哈汗土</w:t>
      </w:r>
      <w:proofErr w:type="gramStart"/>
      <w:r>
        <w:rPr>
          <w:rFonts w:hAnsi="仿宋_GB2312" w:cs="仿宋_GB2312" w:hint="eastAsia"/>
        </w:rPr>
        <w:t>亥</w:t>
      </w:r>
      <w:proofErr w:type="gramEnd"/>
      <w:r>
        <w:rPr>
          <w:rFonts w:hAnsi="仿宋_GB2312" w:cs="仿宋_GB2312" w:hint="eastAsia"/>
        </w:rPr>
        <w:t>村、委曲村和</w:t>
      </w:r>
      <w:proofErr w:type="gramStart"/>
      <w:r>
        <w:rPr>
          <w:rFonts w:hAnsi="仿宋_GB2312" w:cs="仿宋_GB2312" w:hint="eastAsia"/>
        </w:rPr>
        <w:t>托勒台村</w:t>
      </w:r>
      <w:proofErr w:type="gramEnd"/>
      <w:r>
        <w:rPr>
          <w:rFonts w:hAnsi="仿宋_GB2312" w:cs="仿宋_GB2312" w:hint="eastAsia"/>
        </w:rPr>
        <w:t>。</w:t>
      </w:r>
    </w:p>
    <w:p w14:paraId="38AD49BE" w14:textId="77777777" w:rsidR="00280812" w:rsidRDefault="00000000">
      <w:pPr>
        <w:pStyle w:val="a0"/>
        <w:ind w:left="0" w:firstLineChars="200" w:firstLine="640"/>
      </w:pPr>
      <w:r>
        <w:rPr>
          <w:rFonts w:hint="eastAsia"/>
        </w:rPr>
        <w:t>提升镇</w:t>
      </w:r>
      <w:proofErr w:type="gramStart"/>
      <w:r>
        <w:rPr>
          <w:rFonts w:hint="eastAsia"/>
        </w:rPr>
        <w:t>村职能</w:t>
      </w:r>
      <w:proofErr w:type="gramEnd"/>
      <w:r>
        <w:rPr>
          <w:rFonts w:hint="eastAsia"/>
        </w:rPr>
        <w:t>定位</w:t>
      </w:r>
    </w:p>
    <w:p w14:paraId="3582919C" w14:textId="77777777" w:rsidR="00280812" w:rsidRDefault="00000000">
      <w:pPr>
        <w:pStyle w:val="a7"/>
        <w:ind w:firstLine="640"/>
        <w:rPr>
          <w:rFonts w:hAnsi="仿宋_GB2312" w:cs="仿宋_GB2312" w:hint="eastAsia"/>
        </w:rPr>
      </w:pPr>
      <w:r>
        <w:rPr>
          <w:rFonts w:hAnsi="仿宋_GB2312" w:cs="仿宋_GB2312" w:hint="eastAsia"/>
        </w:rPr>
        <w:t>规划铁盖乡为共和</w:t>
      </w:r>
      <w:proofErr w:type="gramStart"/>
      <w:r>
        <w:rPr>
          <w:rFonts w:hAnsi="仿宋_GB2312" w:cs="仿宋_GB2312" w:hint="eastAsia"/>
        </w:rPr>
        <w:t>县一般镇</w:t>
      </w:r>
      <w:proofErr w:type="gramEnd"/>
      <w:r>
        <w:rPr>
          <w:rFonts w:hAnsi="仿宋_GB2312" w:cs="仿宋_GB2312" w:hint="eastAsia"/>
        </w:rPr>
        <w:t>，文化旅游型城镇</w:t>
      </w:r>
      <w:bookmarkStart w:id="57" w:name="_Hlk136295212"/>
      <w:r>
        <w:rPr>
          <w:rFonts w:hAnsi="仿宋_GB2312" w:cs="仿宋_GB2312" w:hint="eastAsia"/>
        </w:rPr>
        <w:t>，在周边村庄根据自身的特色形成差异化分工，划分为三类职能类型。</w:t>
      </w:r>
    </w:p>
    <w:p w14:paraId="6D18E350" w14:textId="77777777" w:rsidR="00280812" w:rsidRDefault="00000000">
      <w:pPr>
        <w:pStyle w:val="a7"/>
        <w:ind w:firstLine="640"/>
        <w:rPr>
          <w:rFonts w:hAnsi="仿宋_GB2312" w:cs="仿宋_GB2312" w:hint="eastAsia"/>
        </w:rPr>
      </w:pPr>
      <w:r>
        <w:rPr>
          <w:rFonts w:hAnsi="仿宋_GB2312" w:cs="仿宋_GB2312" w:hint="eastAsia"/>
        </w:rPr>
        <w:t>综合服务型村庄，即马汉台村和</w:t>
      </w:r>
      <w:proofErr w:type="gramStart"/>
      <w:r>
        <w:rPr>
          <w:rFonts w:hAnsi="仿宋_GB2312" w:cs="仿宋_GB2312" w:hint="eastAsia"/>
        </w:rPr>
        <w:t>吾雷</w:t>
      </w:r>
      <w:proofErr w:type="gramEnd"/>
      <w:r>
        <w:rPr>
          <w:rFonts w:hAnsi="仿宋_GB2312" w:cs="仿宋_GB2312" w:hint="eastAsia"/>
        </w:rPr>
        <w:t>村，重点培育集镇功能，提升服务质量，完善各项基础设施和公共服务设施建设，增强集镇在各村的辐射和带动作用。</w:t>
      </w:r>
    </w:p>
    <w:p w14:paraId="6ED56580" w14:textId="77777777" w:rsidR="00280812" w:rsidRDefault="00000000">
      <w:pPr>
        <w:pStyle w:val="a7"/>
        <w:ind w:firstLine="640"/>
        <w:rPr>
          <w:rFonts w:hAnsi="仿宋_GB2312" w:cs="仿宋_GB2312" w:hint="eastAsia"/>
        </w:rPr>
      </w:pPr>
      <w:r>
        <w:rPr>
          <w:rFonts w:hAnsi="仿宋_GB2312" w:cs="仿宋_GB2312" w:hint="eastAsia"/>
        </w:rPr>
        <w:t>旅游服务型村庄，即</w:t>
      </w:r>
      <w:proofErr w:type="gramStart"/>
      <w:r>
        <w:rPr>
          <w:rFonts w:hAnsi="仿宋_GB2312" w:cs="仿宋_GB2312" w:hint="eastAsia"/>
        </w:rPr>
        <w:t>托勒台村</w:t>
      </w:r>
      <w:proofErr w:type="gramEnd"/>
      <w:r>
        <w:rPr>
          <w:rFonts w:hAnsi="仿宋_GB2312" w:cs="仿宋_GB2312" w:hint="eastAsia"/>
        </w:rPr>
        <w:t>、下合乐寺村和上合乐寺村，依托恰恰湾生态旅游休闲营地、龙羊湖西岸生态旅游景区和</w:t>
      </w:r>
      <w:proofErr w:type="gramStart"/>
      <w:r>
        <w:rPr>
          <w:rFonts w:hAnsi="仿宋_GB2312" w:cs="仿宋_GB2312" w:hint="eastAsia"/>
        </w:rPr>
        <w:t>托勒台村</w:t>
      </w:r>
      <w:proofErr w:type="gramEnd"/>
      <w:r>
        <w:rPr>
          <w:rFonts w:hAnsi="仿宋_GB2312" w:cs="仿宋_GB2312" w:hint="eastAsia"/>
        </w:rPr>
        <w:t>帐篷营地等，重点发展“文化+”“旅游+”产业，</w:t>
      </w:r>
      <w:proofErr w:type="gramStart"/>
      <w:r>
        <w:rPr>
          <w:rFonts w:hAnsi="仿宋_GB2312" w:cs="仿宋_GB2312" w:hint="eastAsia"/>
        </w:rPr>
        <w:t>促进农旅融合</w:t>
      </w:r>
      <w:proofErr w:type="gramEnd"/>
      <w:r>
        <w:rPr>
          <w:rFonts w:hAnsi="仿宋_GB2312" w:cs="仿宋_GB2312" w:hint="eastAsia"/>
        </w:rPr>
        <w:t>。</w:t>
      </w:r>
    </w:p>
    <w:p w14:paraId="0BA3E001" w14:textId="77777777" w:rsidR="00280812" w:rsidRDefault="00000000">
      <w:pPr>
        <w:pStyle w:val="a7"/>
        <w:ind w:firstLine="640"/>
        <w:rPr>
          <w:rFonts w:hAnsi="仿宋_GB2312" w:cs="仿宋_GB2312" w:hint="eastAsia"/>
        </w:rPr>
      </w:pPr>
      <w:r>
        <w:rPr>
          <w:rFonts w:hAnsi="仿宋_GB2312" w:cs="仿宋_GB2312" w:hint="eastAsia"/>
        </w:rPr>
        <w:lastRenderedPageBreak/>
        <w:t>生态农牧型村庄，即七台村、拉才村、哈汗土</w:t>
      </w:r>
      <w:proofErr w:type="gramStart"/>
      <w:r>
        <w:rPr>
          <w:rFonts w:hAnsi="仿宋_GB2312" w:cs="仿宋_GB2312" w:hint="eastAsia"/>
        </w:rPr>
        <w:t>亥</w:t>
      </w:r>
      <w:proofErr w:type="gramEnd"/>
      <w:r>
        <w:rPr>
          <w:rFonts w:hAnsi="仿宋_GB2312" w:cs="仿宋_GB2312" w:hint="eastAsia"/>
        </w:rPr>
        <w:t>村、委曲村和铁盖村，依托草地、耕地和林地，发展以绿色有机产品生产为支撑的农牧业，适当发展以农牧生产服务、高原牧业观光及体验旅游为支撑的服务业，并探索发展清洁能源产业。</w:t>
      </w:r>
    </w:p>
    <w:bookmarkEnd w:id="57"/>
    <w:p w14:paraId="7E0E7075" w14:textId="77777777" w:rsidR="00280812" w:rsidRDefault="00000000">
      <w:pPr>
        <w:pStyle w:val="a0"/>
        <w:ind w:left="0" w:firstLineChars="200" w:firstLine="640"/>
      </w:pPr>
      <w:r>
        <w:rPr>
          <w:rFonts w:hint="eastAsia"/>
        </w:rPr>
        <w:t>强化村庄分类引导</w:t>
      </w:r>
    </w:p>
    <w:p w14:paraId="0AFD3E1B" w14:textId="77777777" w:rsidR="00280812" w:rsidRDefault="00000000">
      <w:pPr>
        <w:pStyle w:val="a7"/>
        <w:ind w:firstLine="640"/>
        <w:rPr>
          <w:rFonts w:hAnsi="仿宋_GB2312" w:cs="仿宋_GB2312" w:hint="eastAsia"/>
        </w:rPr>
      </w:pPr>
      <w:r>
        <w:rPr>
          <w:rFonts w:ascii="楷体_GB2312" w:eastAsia="楷体_GB2312" w:hAnsi="楷体_GB2312" w:cs="楷体_GB2312" w:hint="eastAsia"/>
        </w:rPr>
        <w:t>分类引导、有序推进乡村振兴发展。</w:t>
      </w:r>
      <w:r>
        <w:rPr>
          <w:rFonts w:hAnsi="仿宋_GB2312" w:cs="仿宋_GB2312" w:hint="eastAsia"/>
        </w:rPr>
        <w:t>充分尊重、顺应乡村发展规律和演变趋势，根据村庄经济社会发展条件、建设现状、区位条件、资源禀赋等因素，将全乡的11个行政村，按照集聚提升类、城郊融合类、稳定发展类3种类型，突出重点、分类施策、梯次推进，有序实现乡村振兴。</w:t>
      </w:r>
    </w:p>
    <w:p w14:paraId="30444031" w14:textId="77777777" w:rsidR="00280812" w:rsidRDefault="00000000">
      <w:pPr>
        <w:pStyle w:val="a7"/>
        <w:ind w:firstLine="640"/>
        <w:rPr>
          <w:rFonts w:hAnsi="仿宋_GB2312" w:cs="仿宋_GB2312" w:hint="eastAsia"/>
        </w:rPr>
      </w:pPr>
      <w:r>
        <w:rPr>
          <w:rFonts w:hAnsi="仿宋_GB2312" w:cs="仿宋_GB2312" w:hint="eastAsia"/>
        </w:rPr>
        <w:t>集聚提升类村庄：上合乐寺村、哈汗土</w:t>
      </w:r>
      <w:proofErr w:type="gramStart"/>
      <w:r>
        <w:rPr>
          <w:rFonts w:hAnsi="仿宋_GB2312" w:cs="仿宋_GB2312" w:hint="eastAsia"/>
        </w:rPr>
        <w:t>亥</w:t>
      </w:r>
      <w:proofErr w:type="gramEnd"/>
      <w:r>
        <w:rPr>
          <w:rFonts w:hAnsi="仿宋_GB2312" w:cs="仿宋_GB2312" w:hint="eastAsia"/>
        </w:rPr>
        <w:t>村、七台村、</w:t>
      </w:r>
      <w:proofErr w:type="gramStart"/>
      <w:r>
        <w:rPr>
          <w:rFonts w:hAnsi="仿宋_GB2312" w:cs="仿宋_GB2312" w:hint="eastAsia"/>
        </w:rPr>
        <w:t>吾雷村</w:t>
      </w:r>
      <w:proofErr w:type="gramEnd"/>
      <w:r>
        <w:rPr>
          <w:rFonts w:hAnsi="仿宋_GB2312" w:cs="仿宋_GB2312" w:hint="eastAsia"/>
        </w:rPr>
        <w:t>、</w:t>
      </w:r>
      <w:proofErr w:type="gramStart"/>
      <w:r>
        <w:rPr>
          <w:rFonts w:hAnsi="仿宋_GB2312" w:cs="仿宋_GB2312" w:hint="eastAsia"/>
        </w:rPr>
        <w:t>托勒台村</w:t>
      </w:r>
      <w:proofErr w:type="gramEnd"/>
      <w:r>
        <w:rPr>
          <w:rFonts w:hAnsi="仿宋_GB2312" w:cs="仿宋_GB2312" w:hint="eastAsia"/>
        </w:rPr>
        <w:t>。</w:t>
      </w:r>
    </w:p>
    <w:p w14:paraId="455F5BFC" w14:textId="77777777" w:rsidR="00280812" w:rsidRDefault="00000000">
      <w:pPr>
        <w:pStyle w:val="a7"/>
        <w:ind w:firstLine="640"/>
        <w:rPr>
          <w:lang w:bidi="ar"/>
        </w:rPr>
      </w:pPr>
      <w:r>
        <w:rPr>
          <w:rFonts w:hAnsi="仿宋_GB2312" w:cs="仿宋_GB2312" w:hint="eastAsia"/>
        </w:rPr>
        <w:t>城郊融合类村庄：拉才村、铁盖村。</w:t>
      </w:r>
    </w:p>
    <w:p w14:paraId="7658B79F" w14:textId="77777777" w:rsidR="00280812" w:rsidRDefault="00000000">
      <w:pPr>
        <w:pStyle w:val="a7"/>
        <w:ind w:firstLine="640"/>
        <w:rPr>
          <w:lang w:bidi="ar"/>
        </w:rPr>
      </w:pPr>
      <w:r>
        <w:rPr>
          <w:rFonts w:hint="eastAsia"/>
          <w:lang w:bidi="ar"/>
        </w:rPr>
        <w:t>稳定发展类村庄：</w:t>
      </w:r>
      <w:r>
        <w:rPr>
          <w:rFonts w:hAnsi="仿宋_GB2312" w:cs="仿宋_GB2312" w:hint="eastAsia"/>
        </w:rPr>
        <w:t>马汉台村、下合乐寺村、委曲村。</w:t>
      </w:r>
    </w:p>
    <w:p w14:paraId="6A0B8339" w14:textId="77777777" w:rsidR="00280812" w:rsidRDefault="00000000">
      <w:pPr>
        <w:pStyle w:val="2"/>
        <w:numPr>
          <w:ilvl w:val="0"/>
          <w:numId w:val="9"/>
        </w:numPr>
        <w:rPr>
          <w:lang w:val="zh-CN"/>
        </w:rPr>
      </w:pPr>
      <w:bookmarkStart w:id="58" w:name="_Toc209177580"/>
      <w:r>
        <w:rPr>
          <w:rFonts w:hint="eastAsia"/>
          <w:lang w:val="zh-CN"/>
        </w:rPr>
        <w:t>产业空间布局</w:t>
      </w:r>
      <w:bookmarkEnd w:id="58"/>
    </w:p>
    <w:p w14:paraId="30B34771" w14:textId="77777777" w:rsidR="00280812" w:rsidRDefault="00000000">
      <w:pPr>
        <w:pStyle w:val="a0"/>
        <w:ind w:left="0" w:firstLineChars="200" w:firstLine="640"/>
      </w:pPr>
      <w:r>
        <w:rPr>
          <w:rFonts w:hint="eastAsia"/>
        </w:rPr>
        <w:t>产业空间布局</w:t>
      </w:r>
    </w:p>
    <w:p w14:paraId="350401DA" w14:textId="77777777" w:rsidR="00280812" w:rsidRDefault="00000000">
      <w:pPr>
        <w:pStyle w:val="a7"/>
        <w:ind w:firstLine="640"/>
        <w:rPr>
          <w:rFonts w:hAnsi="仿宋_GB2312" w:cs="仿宋_GB2312" w:hint="eastAsia"/>
        </w:rPr>
      </w:pPr>
      <w:r>
        <w:rPr>
          <w:rFonts w:hAnsi="仿宋_GB2312" w:cs="仿宋_GB2312" w:hint="eastAsia"/>
        </w:rPr>
        <w:t>规划形成“一心两带三区多点”的产业空间布局。</w:t>
      </w:r>
    </w:p>
    <w:p w14:paraId="2F9BA008"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“一心”即铁盖乡集镇，带动全域发展，打造</w:t>
      </w:r>
      <w:proofErr w:type="gramStart"/>
      <w:r>
        <w:rPr>
          <w:rFonts w:ascii="仿宋_GB2312" w:eastAsia="仿宋_GB2312" w:hAnsi="仿宋_GB2312" w:cs="仿宋_GB2312" w:hint="eastAsia"/>
          <w:sz w:val="32"/>
          <w:szCs w:val="32"/>
        </w:rPr>
        <w:t>乡域综合</w:t>
      </w:r>
      <w:proofErr w:type="gramEnd"/>
      <w:r>
        <w:rPr>
          <w:rFonts w:ascii="仿宋_GB2312" w:eastAsia="仿宋_GB2312" w:hAnsi="仿宋_GB2312" w:cs="仿宋_GB2312" w:hint="eastAsia"/>
          <w:sz w:val="32"/>
          <w:szCs w:val="32"/>
        </w:rPr>
        <w:t>服务核心。</w:t>
      </w:r>
    </w:p>
    <w:p w14:paraId="45164120" w14:textId="77777777" w:rsidR="00280812" w:rsidRDefault="00000000">
      <w:pPr>
        <w:pStyle w:val="a7"/>
        <w:ind w:firstLine="640"/>
        <w:rPr>
          <w:rFonts w:hAnsi="仿宋_GB2312" w:cs="仿宋_GB2312" w:hint="eastAsia"/>
        </w:rPr>
      </w:pPr>
      <w:r>
        <w:rPr>
          <w:rFonts w:hAnsi="仿宋_GB2312" w:cs="仿宋_GB2312" w:hint="eastAsia"/>
        </w:rPr>
        <w:t>“两带”即清洁能源绿色发展带和沿黄生态</w:t>
      </w:r>
      <w:proofErr w:type="gramStart"/>
      <w:r>
        <w:rPr>
          <w:rFonts w:hAnsi="仿宋_GB2312" w:cs="仿宋_GB2312" w:hint="eastAsia"/>
        </w:rPr>
        <w:t>文旅发展</w:t>
      </w:r>
      <w:proofErr w:type="gramEnd"/>
      <w:r>
        <w:rPr>
          <w:rFonts w:hAnsi="仿宋_GB2312" w:cs="仿宋_GB2312" w:hint="eastAsia"/>
        </w:rPr>
        <w:t>带。</w:t>
      </w:r>
    </w:p>
    <w:p w14:paraId="01CD3D73" w14:textId="77777777" w:rsidR="00280812" w:rsidRDefault="00000000">
      <w:pPr>
        <w:pStyle w:val="a7"/>
        <w:ind w:firstLine="640"/>
        <w:rPr>
          <w:rFonts w:hAnsi="仿宋_GB2312" w:cs="仿宋_GB2312" w:hint="eastAsia"/>
        </w:rPr>
      </w:pPr>
      <w:r>
        <w:rPr>
          <w:rFonts w:hAnsi="仿宋_GB2312" w:cs="仿宋_GB2312" w:hint="eastAsia"/>
        </w:rPr>
        <w:t>“三区”即现代农业循环发展区、生态畜牧业发展区、</w:t>
      </w:r>
      <w:r>
        <w:rPr>
          <w:rFonts w:hAnsi="仿宋_GB2312" w:cs="仿宋_GB2312" w:hint="eastAsia"/>
        </w:rPr>
        <w:lastRenderedPageBreak/>
        <w:t>沿黄生态旅游发展区。</w:t>
      </w:r>
    </w:p>
    <w:p w14:paraId="39BB0991" w14:textId="77777777" w:rsidR="00280812" w:rsidRDefault="00000000">
      <w:pPr>
        <w:pStyle w:val="a7"/>
        <w:ind w:firstLine="640"/>
        <w:rPr>
          <w:rFonts w:hAnsi="仿宋_GB2312" w:cs="仿宋_GB2312" w:hint="eastAsia"/>
        </w:rPr>
      </w:pPr>
      <w:r>
        <w:rPr>
          <w:rFonts w:hAnsi="仿宋_GB2312" w:cs="仿宋_GB2312" w:hint="eastAsia"/>
        </w:rPr>
        <w:t>现代农业循环发展区。</w:t>
      </w:r>
      <w:proofErr w:type="gramStart"/>
      <w:r>
        <w:rPr>
          <w:rFonts w:hAnsi="仿宋_GB2312" w:cs="仿宋_GB2312" w:hint="eastAsia"/>
        </w:rPr>
        <w:t>依托乡域北部</w:t>
      </w:r>
      <w:proofErr w:type="gramEnd"/>
      <w:r>
        <w:rPr>
          <w:rFonts w:hAnsi="仿宋_GB2312" w:cs="仿宋_GB2312" w:hint="eastAsia"/>
        </w:rPr>
        <w:t>耕地集中连片优势，主要种植小麦、蚕豆、玉米和油菜等农作物；依托</w:t>
      </w:r>
      <w:r>
        <w:rPr>
          <w:rFonts w:hAnsi="仿宋_GB2312" w:cs="仿宋_GB2312"/>
        </w:rPr>
        <w:t>马汉台</w:t>
      </w:r>
      <w:r>
        <w:rPr>
          <w:rFonts w:hAnsi="仿宋_GB2312" w:cs="仿宋_GB2312" w:hint="eastAsia"/>
        </w:rPr>
        <w:t>村</w:t>
      </w:r>
      <w:r>
        <w:rPr>
          <w:rFonts w:hAnsi="仿宋_GB2312" w:cs="仿宋_GB2312"/>
        </w:rPr>
        <w:t>、哈</w:t>
      </w:r>
      <w:r>
        <w:rPr>
          <w:rFonts w:hAnsi="仿宋_GB2312" w:cs="仿宋_GB2312" w:hint="eastAsia"/>
        </w:rPr>
        <w:t>汗</w:t>
      </w:r>
      <w:r>
        <w:rPr>
          <w:rFonts w:hAnsi="仿宋_GB2312" w:cs="仿宋_GB2312"/>
        </w:rPr>
        <w:t>土</w:t>
      </w:r>
      <w:proofErr w:type="gramStart"/>
      <w:r>
        <w:rPr>
          <w:rFonts w:hAnsi="仿宋_GB2312" w:cs="仿宋_GB2312"/>
        </w:rPr>
        <w:t>亥</w:t>
      </w:r>
      <w:proofErr w:type="gramEnd"/>
      <w:r>
        <w:rPr>
          <w:rFonts w:hAnsi="仿宋_GB2312" w:cs="仿宋_GB2312" w:hint="eastAsia"/>
        </w:rPr>
        <w:t>村和</w:t>
      </w:r>
      <w:r>
        <w:rPr>
          <w:rFonts w:hAnsi="仿宋_GB2312" w:cs="仿宋_GB2312"/>
        </w:rPr>
        <w:t>下合乐寺</w:t>
      </w:r>
      <w:r>
        <w:rPr>
          <w:rFonts w:hAnsi="仿宋_GB2312" w:cs="仿宋_GB2312" w:hint="eastAsia"/>
        </w:rPr>
        <w:t>村养殖小区建设基础，扩大养殖规模，引进改良牦牛和欧拉羊等优良的畜种，助力现代养殖业发展。</w:t>
      </w:r>
    </w:p>
    <w:p w14:paraId="3A389958" w14:textId="77777777" w:rsidR="00280812" w:rsidRDefault="00000000">
      <w:pPr>
        <w:pStyle w:val="a7"/>
        <w:ind w:firstLine="640"/>
        <w:rPr>
          <w:rFonts w:hAnsi="仿宋_GB2312" w:cs="仿宋_GB2312" w:hint="eastAsia"/>
        </w:rPr>
      </w:pPr>
      <w:r>
        <w:rPr>
          <w:rFonts w:hAnsi="仿宋_GB2312" w:cs="仿宋_GB2312" w:hint="eastAsia"/>
        </w:rPr>
        <w:t>生态畜牧业发展区。加快建设和规范管理使用光</w:t>
      </w:r>
      <w:proofErr w:type="gramStart"/>
      <w:r>
        <w:rPr>
          <w:rFonts w:hAnsi="仿宋_GB2312" w:cs="仿宋_GB2312" w:hint="eastAsia"/>
        </w:rPr>
        <w:t>伏</w:t>
      </w:r>
      <w:proofErr w:type="gramEnd"/>
      <w:r>
        <w:rPr>
          <w:rFonts w:hAnsi="仿宋_GB2312" w:cs="仿宋_GB2312" w:hint="eastAsia"/>
        </w:rPr>
        <w:t>牧场，大力发展光伏羊产业；稳步推进光伏旅游，建设光伏观光塔和电力科技馆，推动工业旅游与乡村旅游融合发展。</w:t>
      </w:r>
    </w:p>
    <w:p w14:paraId="3C8437F9" w14:textId="77777777" w:rsidR="00280812" w:rsidRDefault="00000000">
      <w:pPr>
        <w:pStyle w:val="a7"/>
        <w:ind w:firstLine="640"/>
        <w:rPr>
          <w:rFonts w:hAnsi="仿宋_GB2312" w:cs="仿宋_GB2312" w:hint="eastAsia"/>
        </w:rPr>
      </w:pPr>
      <w:r>
        <w:rPr>
          <w:rFonts w:hAnsi="仿宋_GB2312" w:cs="仿宋_GB2312" w:hint="eastAsia"/>
        </w:rPr>
        <w:t>沿黄生态旅游发展区。依托黄河生态资源和塔拉滩沙漠资源，利用民族文化和传统体育资源优势，引入“旅游+”发展理念，大力发展“旅游+”文化、“旅游+”体育产业，重点打造自行车骑行赛、沙漠越野赛、徒步游和</w:t>
      </w:r>
      <w:proofErr w:type="gramStart"/>
      <w:r>
        <w:rPr>
          <w:rFonts w:hAnsi="仿宋_GB2312" w:cs="仿宋_GB2312" w:hint="eastAsia"/>
        </w:rPr>
        <w:t>自驾游等</w:t>
      </w:r>
      <w:proofErr w:type="gramEnd"/>
      <w:r>
        <w:rPr>
          <w:rFonts w:hAnsi="仿宋_GB2312" w:cs="仿宋_GB2312" w:hint="eastAsia"/>
        </w:rPr>
        <w:t>特色旅游产品，同时为科学研究、生态文化建设、生态环境保护宣传与教育活动及适度地开展公众游憩与旅游休闲提供基础。推动文化旅游融合发展。</w:t>
      </w:r>
    </w:p>
    <w:p w14:paraId="2E3E14C9" w14:textId="77777777" w:rsidR="00280812" w:rsidRDefault="00000000">
      <w:pPr>
        <w:pStyle w:val="a7"/>
        <w:ind w:firstLine="640"/>
        <w:rPr>
          <w:rFonts w:hAnsi="仿宋_GB2312" w:cs="仿宋_GB2312" w:hint="eastAsia"/>
        </w:rPr>
      </w:pPr>
      <w:r>
        <w:rPr>
          <w:rFonts w:hAnsi="仿宋_GB2312" w:cs="仿宋_GB2312" w:hint="eastAsia"/>
        </w:rPr>
        <w:t>“多点”重点打造九道班集镇服务区、恰恰湾生态旅游休闲营地、龙羊湖西岸休闲旅游以及农家风情园等产业节点。</w:t>
      </w:r>
    </w:p>
    <w:p w14:paraId="4878D5EC" w14:textId="77777777" w:rsidR="00280812" w:rsidRDefault="00000000">
      <w:pPr>
        <w:pStyle w:val="2"/>
        <w:numPr>
          <w:ilvl w:val="0"/>
          <w:numId w:val="9"/>
        </w:numPr>
        <w:rPr>
          <w:lang w:val="zh-CN"/>
        </w:rPr>
      </w:pPr>
      <w:bookmarkStart w:id="59" w:name="_Toc209177581"/>
      <w:r>
        <w:rPr>
          <w:rFonts w:hint="eastAsia"/>
          <w:lang w:val="zh-CN"/>
        </w:rPr>
        <w:t>完善公共服务设施布局</w:t>
      </w:r>
      <w:bookmarkEnd w:id="59"/>
    </w:p>
    <w:p w14:paraId="5EB3920E" w14:textId="77777777" w:rsidR="00280812" w:rsidRDefault="00000000">
      <w:pPr>
        <w:pStyle w:val="a0"/>
        <w:ind w:left="0" w:firstLineChars="200" w:firstLine="640"/>
      </w:pPr>
      <w:r>
        <w:rPr>
          <w:rFonts w:hint="eastAsia"/>
        </w:rPr>
        <w:t>乡村社区生活圈</w:t>
      </w:r>
    </w:p>
    <w:p w14:paraId="48C7F625" w14:textId="77777777" w:rsidR="00280812" w:rsidRDefault="00000000">
      <w:pPr>
        <w:pStyle w:val="a7"/>
        <w:ind w:firstLine="640"/>
        <w:rPr>
          <w:rFonts w:hAnsi="仿宋_GB2312" w:cs="仿宋_GB2312" w:hint="eastAsia"/>
        </w:rPr>
      </w:pPr>
      <w:bookmarkStart w:id="60" w:name="_Toc79668983"/>
      <w:bookmarkStart w:id="61" w:name="_Toc83629147"/>
      <w:bookmarkStart w:id="62" w:name="_Toc83629347"/>
      <w:r>
        <w:rPr>
          <w:rFonts w:hAnsi="仿宋_GB2312" w:cs="仿宋_GB2312" w:hint="eastAsia"/>
        </w:rPr>
        <w:t>以建设高原美丽乡村为目的，提高农村公共服务设施的配置水平，全面实现城乡公共服务设施全覆盖。</w:t>
      </w:r>
      <w:bookmarkEnd w:id="60"/>
      <w:bookmarkEnd w:id="61"/>
      <w:bookmarkEnd w:id="62"/>
      <w:r>
        <w:rPr>
          <w:rFonts w:hAnsi="仿宋_GB2312" w:cs="仿宋_GB2312" w:hint="eastAsia"/>
        </w:rPr>
        <w:t>落实上</w:t>
      </w:r>
      <w:r>
        <w:rPr>
          <w:rFonts w:hAnsi="仿宋_GB2312" w:cs="仿宋_GB2312" w:hint="eastAsia"/>
        </w:rPr>
        <w:lastRenderedPageBreak/>
        <w:t>位规划提出的乡镇公共服务设施配置要求，依据规划常住人口规模及结构，参照《社区生活圈规划技术指南》相关标准，规划形成“乡集镇、村/组”两个乡村社区生活圈层级。</w:t>
      </w:r>
    </w:p>
    <w:p w14:paraId="689F034F" w14:textId="77777777" w:rsidR="00280812" w:rsidRDefault="00000000">
      <w:pPr>
        <w:pStyle w:val="a0"/>
        <w:ind w:left="0" w:firstLineChars="200" w:firstLine="640"/>
      </w:pPr>
      <w:r>
        <w:rPr>
          <w:rFonts w:hint="eastAsia"/>
        </w:rPr>
        <w:t>公共服务设施体系</w:t>
      </w:r>
    </w:p>
    <w:p w14:paraId="4C07C33E" w14:textId="77777777" w:rsidR="00280812" w:rsidRDefault="00000000">
      <w:pPr>
        <w:pStyle w:val="a7"/>
        <w:ind w:firstLine="640"/>
        <w:rPr>
          <w:rFonts w:hAnsi="仿宋_GB2312" w:cs="仿宋_GB2312" w:hint="eastAsia"/>
        </w:rPr>
      </w:pPr>
      <w:r>
        <w:rPr>
          <w:rFonts w:ascii="楷体_GB2312" w:eastAsia="楷体_GB2312" w:hAnsi="楷体_GB2312" w:cs="楷体_GB2312" w:hint="eastAsia"/>
        </w:rPr>
        <w:t>行政管理。</w:t>
      </w:r>
      <w:r>
        <w:rPr>
          <w:rFonts w:hAnsi="仿宋_GB2312" w:cs="仿宋_GB2312" w:hint="eastAsia"/>
        </w:rPr>
        <w:t>规划保留各行政村委会，并结合村委会配套建设村卫生室、村务室和警务室等。</w:t>
      </w:r>
    </w:p>
    <w:p w14:paraId="49E28B4A" w14:textId="77777777" w:rsidR="00280812" w:rsidRDefault="00000000">
      <w:pPr>
        <w:pStyle w:val="a7"/>
        <w:ind w:firstLine="640"/>
        <w:rPr>
          <w:rFonts w:hAnsi="仿宋_GB2312" w:cs="仿宋_GB2312" w:hint="eastAsia"/>
        </w:rPr>
      </w:pPr>
      <w:r>
        <w:rPr>
          <w:rFonts w:ascii="楷体_GB2312" w:eastAsia="楷体_GB2312" w:hAnsi="楷体_GB2312" w:cs="楷体_GB2312" w:hint="eastAsia"/>
        </w:rPr>
        <w:t>教育设施布局。</w:t>
      </w:r>
      <w:r>
        <w:rPr>
          <w:rFonts w:hAnsi="仿宋_GB2312" w:cs="仿宋_GB2312" w:hint="eastAsia"/>
        </w:rPr>
        <w:t>规划保留现状一处小学和两处幼儿园，规划</w:t>
      </w:r>
      <w:r>
        <w:rPr>
          <w:rFonts w:hAnsi="仿宋_GB2312" w:cs="仿宋_GB2312" w:hint="eastAsia"/>
          <w:szCs w:val="32"/>
        </w:rPr>
        <w:t>对其配套设施进行完善。</w:t>
      </w:r>
    </w:p>
    <w:p w14:paraId="0F35B44F" w14:textId="77777777" w:rsidR="00280812" w:rsidRDefault="00000000">
      <w:pPr>
        <w:pStyle w:val="a7"/>
        <w:ind w:firstLine="640"/>
        <w:rPr>
          <w:rFonts w:hAnsi="仿宋_GB2312" w:cs="仿宋_GB2312" w:hint="eastAsia"/>
        </w:rPr>
      </w:pPr>
      <w:r>
        <w:rPr>
          <w:rFonts w:ascii="楷体_GB2312" w:eastAsia="楷体_GB2312" w:hAnsi="楷体_GB2312" w:cs="楷体_GB2312" w:hint="eastAsia"/>
        </w:rPr>
        <w:t>医疗卫生设施。</w:t>
      </w:r>
      <w:r>
        <w:rPr>
          <w:rFonts w:hAnsi="仿宋_GB2312" w:cs="仿宋_GB2312" w:hint="eastAsia"/>
        </w:rPr>
        <w:t>各行政村均设置一处村卫生室，改善设施。</w:t>
      </w:r>
    </w:p>
    <w:p w14:paraId="63EC1ABE" w14:textId="77777777" w:rsidR="00280812" w:rsidRDefault="00000000">
      <w:pPr>
        <w:pStyle w:val="a7"/>
        <w:ind w:firstLine="640"/>
        <w:rPr>
          <w:rFonts w:hAnsi="仿宋_GB2312" w:cs="仿宋_GB2312" w:hint="eastAsia"/>
        </w:rPr>
      </w:pPr>
      <w:r>
        <w:rPr>
          <w:rFonts w:ascii="楷体_GB2312" w:eastAsia="楷体_GB2312" w:hAnsi="楷体_GB2312" w:cs="楷体_GB2312" w:hint="eastAsia"/>
        </w:rPr>
        <w:t>文体设施。</w:t>
      </w:r>
      <w:r>
        <w:rPr>
          <w:rFonts w:hAnsi="仿宋_GB2312" w:cs="仿宋_GB2312" w:hint="eastAsia"/>
        </w:rPr>
        <w:t>规划各行政村增设一处村文化活动室，并设置农家书屋、文化活动室等。有条件的行政村增设健身广场，丰富村民日常文化娱乐活动。</w:t>
      </w:r>
    </w:p>
    <w:p w14:paraId="79B5F83C" w14:textId="77777777" w:rsidR="00280812" w:rsidRDefault="00000000">
      <w:pPr>
        <w:pStyle w:val="a7"/>
        <w:ind w:firstLine="640"/>
        <w:rPr>
          <w:rFonts w:hAnsi="仿宋_GB2312" w:cs="仿宋_GB2312" w:hint="eastAsia"/>
        </w:rPr>
      </w:pPr>
      <w:r>
        <w:rPr>
          <w:rFonts w:ascii="楷体_GB2312" w:eastAsia="楷体_GB2312" w:hAnsi="楷体_GB2312" w:cs="楷体_GB2312" w:hint="eastAsia"/>
        </w:rPr>
        <w:t>养老设施。</w:t>
      </w:r>
      <w:r>
        <w:rPr>
          <w:rFonts w:hAnsi="仿宋_GB2312" w:cs="仿宋_GB2312" w:hint="eastAsia"/>
        </w:rPr>
        <w:t>有条件的行政村可结合实际情况设置村级幸福院。</w:t>
      </w:r>
    </w:p>
    <w:p w14:paraId="1E7818BE" w14:textId="77777777" w:rsidR="00280812" w:rsidRDefault="00000000">
      <w:pPr>
        <w:pStyle w:val="a7"/>
        <w:ind w:firstLine="640"/>
        <w:rPr>
          <w:rFonts w:hAnsi="仿宋_GB2312" w:cs="仿宋_GB2312" w:hint="eastAsia"/>
        </w:rPr>
      </w:pPr>
      <w:r>
        <w:rPr>
          <w:rFonts w:hAnsi="仿宋_GB2312" w:cs="仿宋_GB2312" w:hint="eastAsia"/>
        </w:rPr>
        <w:t>殡葬设施。鼓励农村公益性公墓建设或以村、村民小组划定农村集中安葬区域，开展散埋乱葬专项治理和移风易俗工作。</w:t>
      </w:r>
    </w:p>
    <w:p w14:paraId="6BC74138" w14:textId="77777777" w:rsidR="00280812" w:rsidRDefault="00000000">
      <w:pPr>
        <w:pStyle w:val="a0"/>
        <w:ind w:left="0" w:firstLineChars="200" w:firstLine="640"/>
      </w:pPr>
      <w:r>
        <w:rPr>
          <w:rFonts w:hint="eastAsia"/>
        </w:rPr>
        <w:t>加强公共服务用地管控和功能共享</w:t>
      </w:r>
    </w:p>
    <w:p w14:paraId="561DEC31" w14:textId="77777777" w:rsidR="00280812" w:rsidRDefault="00000000">
      <w:pPr>
        <w:pStyle w:val="a7"/>
        <w:ind w:firstLine="640"/>
        <w:rPr>
          <w:rFonts w:hAnsi="仿宋_GB2312" w:cs="仿宋_GB2312" w:hint="eastAsia"/>
        </w:rPr>
      </w:pPr>
      <w:r>
        <w:rPr>
          <w:rFonts w:hAnsi="仿宋_GB2312" w:cs="仿宋_GB2312" w:hint="eastAsia"/>
        </w:rPr>
        <w:t>鼓励利用存量空间完善公共服务设施供给，鼓励多功能公共服务设施复合建设，鼓励有条件的学校运动和文化设施对外开放共享，鼓励广场绿地建设或改造中合理安排</w:t>
      </w:r>
      <w:r>
        <w:rPr>
          <w:rFonts w:hAnsi="仿宋_GB2312" w:cs="仿宋_GB2312" w:hint="eastAsia"/>
        </w:rPr>
        <w:lastRenderedPageBreak/>
        <w:t>适宜的文体设施。</w:t>
      </w:r>
    </w:p>
    <w:p w14:paraId="54FAEE8A" w14:textId="77777777" w:rsidR="00280812" w:rsidRDefault="00000000">
      <w:pPr>
        <w:pStyle w:val="2"/>
        <w:numPr>
          <w:ilvl w:val="0"/>
          <w:numId w:val="9"/>
        </w:numPr>
        <w:rPr>
          <w:lang w:val="zh-CN"/>
        </w:rPr>
      </w:pPr>
      <w:bookmarkStart w:id="63" w:name="_Toc209177582"/>
      <w:r>
        <w:rPr>
          <w:rFonts w:hint="eastAsia"/>
          <w:lang w:val="zh-CN"/>
        </w:rPr>
        <w:t>促进建设用地节约集约利用</w:t>
      </w:r>
      <w:bookmarkEnd w:id="63"/>
    </w:p>
    <w:p w14:paraId="399DFCB3" w14:textId="77777777" w:rsidR="00280812" w:rsidRDefault="00000000">
      <w:pPr>
        <w:pStyle w:val="a0"/>
        <w:ind w:left="0" w:firstLineChars="200" w:firstLine="640"/>
      </w:pPr>
      <w:r>
        <w:rPr>
          <w:rFonts w:hint="eastAsia"/>
        </w:rPr>
        <w:t>农村建设用地整治</w:t>
      </w:r>
    </w:p>
    <w:p w14:paraId="18BE2D53" w14:textId="77777777" w:rsidR="00280812" w:rsidRDefault="00000000">
      <w:pPr>
        <w:spacing w:line="600" w:lineRule="exact"/>
        <w:ind w:firstLine="641"/>
        <w:rPr>
          <w:rFonts w:ascii="仿宋_GB2312" w:eastAsia="仿宋_GB2312" w:hAnsi="仿宋_GB2312" w:cs="仿宋_GB2312" w:hint="eastAsia"/>
          <w:sz w:val="32"/>
        </w:rPr>
      </w:pPr>
      <w:r>
        <w:rPr>
          <w:rFonts w:ascii="仿宋_GB2312" w:eastAsia="仿宋_GB2312" w:hAnsi="仿宋_GB2312" w:cs="仿宋_GB2312" w:hint="eastAsia"/>
          <w:sz w:val="32"/>
        </w:rPr>
        <w:t>按照城乡统筹发展要求，规范有序开展农村建设用地整治，通过中心村建设、闲散居民点复垦、生态移民搬迁整治，优化农村居民点布局，同时稳妥推进农村危房改造、集体建设用地流转、废弃建设用地复垦等多种措施，改善农村人居环境和农业生产条件，促进美丽宜居乡村建设和城乡发展一体化。</w:t>
      </w:r>
    </w:p>
    <w:p w14:paraId="2CE5B6F2" w14:textId="77777777" w:rsidR="00280812" w:rsidRDefault="00000000">
      <w:pPr>
        <w:spacing w:line="600" w:lineRule="exact"/>
        <w:ind w:firstLine="641"/>
        <w:rPr>
          <w:rFonts w:ascii="仿宋_GB2312" w:eastAsia="仿宋_GB2312" w:hAnsi="仿宋_GB2312" w:cs="仿宋_GB2312" w:hint="eastAsia"/>
          <w:sz w:val="32"/>
        </w:rPr>
      </w:pPr>
      <w:r>
        <w:rPr>
          <w:rFonts w:ascii="仿宋_GB2312" w:eastAsia="仿宋_GB2312" w:hAnsi="仿宋_GB2312" w:cs="仿宋_GB2312" w:hint="eastAsia"/>
          <w:sz w:val="32"/>
        </w:rPr>
        <w:t>统筹农房建设、产业发展、公共服务、基础设施等各类建设需要，加快新农村建设，改善生产生活条件，合理引导居民点集中布局。保障农村一二三产业融合发展，促进产业振兴，增强乡村自我造血功能。</w:t>
      </w:r>
    </w:p>
    <w:p w14:paraId="21B16112" w14:textId="77777777" w:rsidR="00280812" w:rsidRDefault="00000000">
      <w:pPr>
        <w:spacing w:line="600" w:lineRule="exact"/>
        <w:ind w:firstLine="641"/>
        <w:rPr>
          <w:rFonts w:ascii="仿宋_GB2312" w:eastAsia="仿宋_GB2312" w:hAnsi="仿宋_GB2312" w:cs="仿宋_GB2312" w:hint="eastAsia"/>
          <w:sz w:val="32"/>
        </w:rPr>
      </w:pPr>
      <w:r>
        <w:rPr>
          <w:rFonts w:ascii="仿宋_GB2312" w:eastAsia="仿宋_GB2312" w:hAnsi="仿宋_GB2312" w:cs="仿宋_GB2312" w:hint="eastAsia"/>
          <w:sz w:val="32"/>
        </w:rPr>
        <w:t>利用村庄周边荒山荒地荒滩、废弃和受损山体、退化林地草地等空间，开展乡村国土绿化美化任务。通过增加村、路、水、宅旁绿化，增加乡村生态绿量。利用宅前屋后、空闲地等，种植乔灌花藤等植物，打造公共绿地、微景观等。</w:t>
      </w:r>
    </w:p>
    <w:p w14:paraId="6BD48EF3" w14:textId="77777777" w:rsidR="00280812" w:rsidRDefault="00000000">
      <w:pPr>
        <w:pStyle w:val="a0"/>
        <w:ind w:left="0" w:firstLineChars="200" w:firstLine="640"/>
      </w:pPr>
      <w:r>
        <w:rPr>
          <w:rFonts w:hint="eastAsia"/>
        </w:rPr>
        <w:t>稳步推进农村建设用地综合整治</w:t>
      </w:r>
    </w:p>
    <w:p w14:paraId="5C9762EF" w14:textId="77777777" w:rsidR="00280812" w:rsidRDefault="00000000">
      <w:pPr>
        <w:pStyle w:val="a7"/>
        <w:ind w:firstLine="640"/>
        <w:rPr>
          <w:rFonts w:hAnsi="仿宋_GB2312" w:cs="Times New Roman" w:hint="eastAsia"/>
          <w:szCs w:val="32"/>
        </w:rPr>
      </w:pPr>
      <w:r>
        <w:rPr>
          <w:rFonts w:hAnsi="仿宋_GB2312" w:cs="仿宋_GB2312" w:hint="eastAsia"/>
        </w:rPr>
        <w:t>规范有序开展农村建设用地整治，通过中心村建设、闲散居民点复垦、生态移民搬迁整治，优化农村居民点布局，同时稳妥推进农村危房改造、集体建设用地流转、废弃建设用地复垦等多种措施，改善农村人居环境和农业生</w:t>
      </w:r>
      <w:r>
        <w:rPr>
          <w:rFonts w:hAnsi="仿宋_GB2312" w:cs="仿宋_GB2312" w:hint="eastAsia"/>
        </w:rPr>
        <w:lastRenderedPageBreak/>
        <w:t>产条件，促进美丽宜居乡村建设和城乡发展一体化。农业发展区乡村重点加快新农村建设，原址就地改造农业区分散的小规模农村危房，改善生产生活条件，合理引导居民点集中布局。牧业发展区乡村总体遵循“大分散、小集中”的空间布局模式，形成季节性定居点，鼓励独立定居点牧民向周边城镇和中心村集中。生态保护区内乡村应尊重农牧民意愿，实施游牧民定居点建设，逐步搬出生态保护区，也可保留部分独立定居点，注重与区域生态环境相协调。稳妥推进城乡建设用地增减挂钩，按照先批准后实施的要求，稳妥慎重推进村庄建设用地的复垦，着力优化国土空间格局，严格控制城乡建设用地规模。</w:t>
      </w:r>
      <w:bookmarkEnd w:id="55"/>
      <w:r>
        <w:rPr>
          <w:rFonts w:hAnsi="仿宋_GB2312" w:cs="Times New Roman" w:hint="eastAsia"/>
          <w:szCs w:val="32"/>
        </w:rPr>
        <w:br w:type="page"/>
      </w:r>
    </w:p>
    <w:p w14:paraId="36BB5E24" w14:textId="77777777" w:rsidR="00280812" w:rsidRDefault="00000000">
      <w:pPr>
        <w:pStyle w:val="1"/>
        <w:ind w:left="0" w:firstLine="0"/>
      </w:pPr>
      <w:bookmarkStart w:id="64" w:name="_Toc209177583"/>
      <w:r>
        <w:rPr>
          <w:rFonts w:hint="eastAsia"/>
        </w:rPr>
        <w:lastRenderedPageBreak/>
        <w:t>塑造宜居集镇空间，提升集镇功能品质</w:t>
      </w:r>
      <w:bookmarkEnd w:id="64"/>
    </w:p>
    <w:p w14:paraId="4D175375" w14:textId="77777777" w:rsidR="00280812" w:rsidRDefault="00000000">
      <w:pPr>
        <w:pStyle w:val="2"/>
        <w:numPr>
          <w:ilvl w:val="0"/>
          <w:numId w:val="10"/>
        </w:numPr>
        <w:rPr>
          <w:lang w:val="zh-CN"/>
        </w:rPr>
      </w:pPr>
      <w:bookmarkStart w:id="65" w:name="_Toc209177584"/>
      <w:r>
        <w:rPr>
          <w:rFonts w:hint="eastAsia"/>
          <w:lang w:val="zh-CN"/>
        </w:rPr>
        <w:t>空间结构与用地布局</w:t>
      </w:r>
      <w:bookmarkEnd w:id="65"/>
    </w:p>
    <w:p w14:paraId="1330132C" w14:textId="77777777" w:rsidR="00280812" w:rsidRDefault="00000000">
      <w:pPr>
        <w:pStyle w:val="a0"/>
        <w:ind w:left="0" w:firstLineChars="200" w:firstLine="640"/>
      </w:pPr>
      <w:r>
        <w:rPr>
          <w:rFonts w:hint="eastAsia"/>
        </w:rPr>
        <w:t>范围规模</w:t>
      </w:r>
    </w:p>
    <w:p w14:paraId="365C4BC9" w14:textId="77777777" w:rsidR="00280812" w:rsidRDefault="00000000">
      <w:pPr>
        <w:pStyle w:val="a7"/>
        <w:ind w:firstLine="640"/>
      </w:pPr>
      <w:bookmarkStart w:id="66" w:name="_Hlk176533814"/>
      <w:r>
        <w:rPr>
          <w:rFonts w:hint="eastAsia"/>
        </w:rPr>
        <w:t>集镇沿县道X307两侧划定村庄建设边界作为本次规划范围，规划面积</w:t>
      </w:r>
      <w:r>
        <w:t>14.65</w:t>
      </w:r>
      <w:r>
        <w:rPr>
          <w:rFonts w:hint="eastAsia"/>
        </w:rPr>
        <w:t>公顷。</w:t>
      </w:r>
    </w:p>
    <w:bookmarkEnd w:id="66"/>
    <w:p w14:paraId="12E99B2E" w14:textId="77777777" w:rsidR="00280812" w:rsidRDefault="00000000">
      <w:pPr>
        <w:pStyle w:val="a0"/>
        <w:ind w:left="0" w:firstLineChars="200" w:firstLine="640"/>
      </w:pPr>
      <w:r>
        <w:rPr>
          <w:rFonts w:hint="eastAsia"/>
        </w:rPr>
        <w:t>空间结构</w:t>
      </w:r>
    </w:p>
    <w:p w14:paraId="56A18AE0" w14:textId="77777777" w:rsidR="00280812" w:rsidRDefault="00000000">
      <w:pPr>
        <w:pStyle w:val="a7"/>
        <w:ind w:firstLine="640"/>
      </w:pPr>
      <w:r>
        <w:rPr>
          <w:rFonts w:ascii="楷体_GB2312" w:eastAsia="楷体_GB2312" w:hAnsi="楷体_GB2312" w:cs="楷体_GB2312" w:hint="eastAsia"/>
        </w:rPr>
        <w:t>规划集镇形成“一心一轴两区”的空间结构。</w:t>
      </w:r>
      <w:r>
        <w:rPr>
          <w:rFonts w:hint="eastAsia"/>
        </w:rPr>
        <w:t>“一心”即综合服务核心，</w:t>
      </w:r>
      <w:r>
        <w:t>完善</w:t>
      </w:r>
      <w:r>
        <w:rPr>
          <w:rFonts w:hint="eastAsia"/>
        </w:rPr>
        <w:t>集镇</w:t>
      </w:r>
      <w:r>
        <w:t>中心职能</w:t>
      </w:r>
      <w:r>
        <w:rPr>
          <w:rFonts w:hint="eastAsia"/>
        </w:rPr>
        <w:t>，</w:t>
      </w:r>
      <w:r>
        <w:t>形成文教、娱乐、服务、商贸综合中心；</w:t>
      </w:r>
      <w:r>
        <w:rPr>
          <w:rFonts w:hint="eastAsia"/>
        </w:rPr>
        <w:t>“一轴”即沿县道X307形成东西向的综合发展轴，也是集镇主要发展轴；“两区”即综合服务片区和</w:t>
      </w:r>
      <w:proofErr w:type="gramStart"/>
      <w:r>
        <w:rPr>
          <w:rFonts w:hint="eastAsia"/>
        </w:rPr>
        <w:t>宜居</w:t>
      </w:r>
      <w:proofErr w:type="gramEnd"/>
      <w:r>
        <w:rPr>
          <w:rFonts w:hint="eastAsia"/>
        </w:rPr>
        <w:t>生活片区。</w:t>
      </w:r>
    </w:p>
    <w:p w14:paraId="31C7E765" w14:textId="77777777" w:rsidR="00280812" w:rsidRDefault="00000000">
      <w:pPr>
        <w:pStyle w:val="a0"/>
        <w:ind w:left="0" w:firstLineChars="200" w:firstLine="640"/>
      </w:pPr>
      <w:r>
        <w:rPr>
          <w:rFonts w:hint="eastAsia"/>
        </w:rPr>
        <w:t>用地布局</w:t>
      </w:r>
    </w:p>
    <w:p w14:paraId="6670042B"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居住用地布局。</w:t>
      </w:r>
      <w:r>
        <w:rPr>
          <w:rFonts w:ascii="仿宋_GB2312" w:eastAsia="仿宋_GB2312" w:hAnsi="仿宋_GB2312" w:cs="仿宋_GB2312" w:hint="eastAsia"/>
          <w:sz w:val="32"/>
          <w:szCs w:val="32"/>
        </w:rPr>
        <w:t>规划居住用地面积2.05公顷，占集镇建设用地的13.99%，其中一类农村宅基地1.69公顷、农村社区服务设施用地0.36公顷。</w:t>
      </w:r>
    </w:p>
    <w:p w14:paraId="7B4F70D5"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公共管理与公共服务用地布局。</w:t>
      </w:r>
      <w:r>
        <w:rPr>
          <w:rFonts w:ascii="仿宋_GB2312" w:eastAsia="仿宋_GB2312" w:hAnsi="仿宋_GB2312" w:cs="仿宋_GB2312" w:hint="eastAsia"/>
          <w:sz w:val="32"/>
          <w:szCs w:val="32"/>
        </w:rPr>
        <w:t>规划公共管理与公共服务用地面积</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87公顷，占集镇建设用地的60.55%，其中机关团体用地1.51公顷、基层医疗卫生设施用地0.75公顷、中小学用地6.25公顷。</w:t>
      </w:r>
    </w:p>
    <w:p w14:paraId="78333E86"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商业服务业用地布局。</w:t>
      </w:r>
      <w:r>
        <w:rPr>
          <w:rFonts w:ascii="仿宋_GB2312" w:eastAsia="仿宋_GB2312" w:hAnsi="仿宋_GB2312" w:cs="仿宋_GB2312" w:hint="eastAsia"/>
          <w:sz w:val="32"/>
          <w:szCs w:val="32"/>
        </w:rPr>
        <w:t>规划商业服务业用地面积</w:t>
      </w:r>
      <w:r>
        <w:rPr>
          <w:rFonts w:ascii="仿宋_GB2312" w:eastAsia="仿宋_GB2312" w:hAnsi="仿宋_GB2312" w:cs="仿宋_GB2312"/>
          <w:sz w:val="32"/>
          <w:szCs w:val="32"/>
        </w:rPr>
        <w:t>2.10</w:t>
      </w:r>
      <w:r>
        <w:rPr>
          <w:rFonts w:ascii="仿宋_GB2312" w:eastAsia="仿宋_GB2312" w:hAnsi="仿宋_GB2312" w:cs="仿宋_GB2312" w:hint="eastAsia"/>
          <w:sz w:val="32"/>
          <w:szCs w:val="32"/>
        </w:rPr>
        <w:t>公顷，占集镇建设用地的</w:t>
      </w:r>
      <w:r>
        <w:rPr>
          <w:rFonts w:ascii="仿宋_GB2312" w:eastAsia="仿宋_GB2312" w:hAnsi="仿宋_GB2312" w:cs="仿宋_GB2312"/>
          <w:sz w:val="32"/>
          <w:szCs w:val="32"/>
        </w:rPr>
        <w:t>14.</w:t>
      </w:r>
      <w:r>
        <w:rPr>
          <w:rFonts w:ascii="仿宋_GB2312" w:eastAsia="仿宋_GB2312" w:hAnsi="仿宋_GB2312" w:cs="仿宋_GB2312" w:hint="eastAsia"/>
          <w:sz w:val="32"/>
          <w:szCs w:val="32"/>
        </w:rPr>
        <w:t>33%；</w:t>
      </w:r>
    </w:p>
    <w:p w14:paraId="55692AA4"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交通运输用地布局。</w:t>
      </w:r>
      <w:r>
        <w:rPr>
          <w:rFonts w:ascii="仿宋_GB2312" w:eastAsia="仿宋_GB2312" w:hAnsi="仿宋_GB2312" w:cs="仿宋_GB2312" w:hint="eastAsia"/>
          <w:sz w:val="32"/>
          <w:szCs w:val="32"/>
        </w:rPr>
        <w:t>规划交通运输用地面积1.08公顷，占集镇建设用地的7.37%，其中城镇村道路用地0.44公顷，</w:t>
      </w:r>
      <w:r>
        <w:rPr>
          <w:rFonts w:ascii="仿宋_GB2312" w:eastAsia="仿宋_GB2312" w:hAnsi="仿宋_GB2312" w:cs="仿宋_GB2312" w:hint="eastAsia"/>
          <w:sz w:val="32"/>
          <w:szCs w:val="32"/>
        </w:rPr>
        <w:lastRenderedPageBreak/>
        <w:t>公路用地0.63公顷；</w:t>
      </w:r>
    </w:p>
    <w:p w14:paraId="43ECC0C3"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绿地与开敞空间用地布局。</w:t>
      </w:r>
      <w:r>
        <w:rPr>
          <w:rFonts w:ascii="仿宋_GB2312" w:eastAsia="仿宋_GB2312" w:hAnsi="仿宋_GB2312" w:cs="仿宋_GB2312" w:hint="eastAsia"/>
          <w:sz w:val="32"/>
          <w:szCs w:val="32"/>
        </w:rPr>
        <w:t>规划绿地与开敞空间用地面积0.</w:t>
      </w:r>
      <w:r>
        <w:rPr>
          <w:rFonts w:ascii="仿宋_GB2312" w:eastAsia="仿宋_GB2312" w:hAnsi="仿宋_GB2312" w:cs="仿宋_GB2312"/>
          <w:sz w:val="32"/>
          <w:szCs w:val="32"/>
        </w:rPr>
        <w:t>55</w:t>
      </w:r>
      <w:r>
        <w:rPr>
          <w:rFonts w:ascii="仿宋_GB2312" w:eastAsia="仿宋_GB2312" w:hAnsi="仿宋_GB2312" w:cs="仿宋_GB2312" w:hint="eastAsia"/>
          <w:sz w:val="32"/>
          <w:szCs w:val="32"/>
        </w:rPr>
        <w:t>公顷，占集镇建设用地的3.75%。</w:t>
      </w:r>
    </w:p>
    <w:p w14:paraId="482AF13F" w14:textId="77777777" w:rsidR="00280812" w:rsidRDefault="00000000">
      <w:pPr>
        <w:pStyle w:val="2"/>
        <w:numPr>
          <w:ilvl w:val="0"/>
          <w:numId w:val="9"/>
        </w:numPr>
        <w:rPr>
          <w:lang w:val="zh-CN"/>
        </w:rPr>
      </w:pPr>
      <w:bookmarkStart w:id="67" w:name="_Toc209177585"/>
      <w:r>
        <w:rPr>
          <w:rFonts w:hint="eastAsia"/>
          <w:lang w:val="zh-CN"/>
        </w:rPr>
        <w:t>社区生活圈构建</w:t>
      </w:r>
      <w:bookmarkEnd w:id="67"/>
    </w:p>
    <w:p w14:paraId="3275E118" w14:textId="77777777" w:rsidR="00280812" w:rsidRDefault="00000000">
      <w:pPr>
        <w:pStyle w:val="a0"/>
        <w:ind w:left="0" w:firstLineChars="200" w:firstLine="640"/>
      </w:pPr>
      <w:r>
        <w:rPr>
          <w:rFonts w:hint="eastAsia"/>
        </w:rPr>
        <w:t>构建集镇层级社区生活圈</w:t>
      </w:r>
    </w:p>
    <w:p w14:paraId="59CB16AC" w14:textId="77777777" w:rsidR="00280812" w:rsidRDefault="00000000">
      <w:pPr>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依据《社区生活圈规划技术指南》，规划</w:t>
      </w:r>
      <w:proofErr w:type="gramStart"/>
      <w:r>
        <w:rPr>
          <w:rFonts w:ascii="仿宋_GB2312" w:eastAsia="仿宋_GB2312" w:hAnsi="仿宋_GB2312" w:hint="eastAsia"/>
          <w:sz w:val="32"/>
          <w:szCs w:val="32"/>
        </w:rPr>
        <w:t>构建乡</w:t>
      </w:r>
      <w:proofErr w:type="gramEnd"/>
      <w:r>
        <w:rPr>
          <w:rFonts w:ascii="仿宋_GB2312" w:eastAsia="仿宋_GB2312" w:hAnsi="仿宋_GB2312" w:hint="eastAsia"/>
          <w:sz w:val="32"/>
          <w:szCs w:val="32"/>
        </w:rPr>
        <w:t>集镇层级社区生活圈，按照十五分钟标准进行配置。统筹布局满足乡村居民日常生活、生产需求的各类服务要素，形成乡村社区生活圈的服务核心。</w:t>
      </w:r>
    </w:p>
    <w:p w14:paraId="62C6F43E" w14:textId="77777777" w:rsidR="00280812" w:rsidRDefault="00000000">
      <w:pPr>
        <w:pStyle w:val="a0"/>
        <w:ind w:left="0" w:firstLineChars="200" w:firstLine="640"/>
      </w:pPr>
      <w:r>
        <w:rPr>
          <w:rFonts w:hint="eastAsia"/>
        </w:rPr>
        <w:t>公共服务设施配置</w:t>
      </w:r>
    </w:p>
    <w:p w14:paraId="4A1D452C" w14:textId="77777777" w:rsidR="00280812" w:rsidRDefault="00000000">
      <w:pPr>
        <w:spacing w:line="600" w:lineRule="exact"/>
        <w:ind w:firstLineChars="200" w:firstLine="640"/>
        <w:rPr>
          <w:rFonts w:ascii="仿宋_GB2312" w:eastAsia="仿宋_GB2312" w:hAnsi="仿宋_GB2312" w:cs="仿宋_GB2312" w:hint="eastAsia"/>
          <w:sz w:val="32"/>
          <w:szCs w:val="32"/>
        </w:rPr>
      </w:pPr>
      <w:bookmarkStart w:id="68" w:name="_Hlk163657021"/>
      <w:r>
        <w:rPr>
          <w:rFonts w:ascii="楷体_GB2312" w:eastAsia="楷体_GB2312" w:hAnsi="楷体_GB2312" w:cs="楷体_GB2312" w:hint="eastAsia"/>
          <w:sz w:val="32"/>
          <w:szCs w:val="32"/>
        </w:rPr>
        <w:t>教育设施。</w:t>
      </w:r>
      <w:r>
        <w:rPr>
          <w:rFonts w:ascii="仿宋_GB2312" w:eastAsia="仿宋_GB2312" w:hAnsi="仿宋_GB2312" w:cs="仿宋_GB2312" w:hint="eastAsia"/>
          <w:sz w:val="32"/>
          <w:szCs w:val="32"/>
        </w:rPr>
        <w:t>规划保留现状小学，位于乡政府南侧，用地面积</w:t>
      </w:r>
      <w:r>
        <w:rPr>
          <w:rFonts w:ascii="仿宋_GB2312" w:eastAsia="仿宋_GB2312" w:hAnsi="仿宋_GB2312" w:cs="仿宋_GB2312"/>
          <w:sz w:val="32"/>
          <w:szCs w:val="32"/>
        </w:rPr>
        <w:t>6.25</w:t>
      </w:r>
      <w:r>
        <w:rPr>
          <w:rFonts w:ascii="仿宋_GB2312" w:eastAsia="仿宋_GB2312" w:hAnsi="仿宋_GB2312" w:cs="仿宋_GB2312" w:hint="eastAsia"/>
          <w:sz w:val="32"/>
          <w:szCs w:val="32"/>
        </w:rPr>
        <w:t>公顷，规划对其配套设施进行完善，整体建筑外立面进行整治。</w:t>
      </w:r>
    </w:p>
    <w:p w14:paraId="5FF372B6"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医疗卫生设施。</w:t>
      </w:r>
      <w:r>
        <w:rPr>
          <w:rFonts w:ascii="仿宋_GB2312" w:eastAsia="仿宋_GB2312" w:hAnsi="仿宋_GB2312" w:cs="仿宋_GB2312" w:hint="eastAsia"/>
          <w:sz w:val="32"/>
          <w:szCs w:val="32"/>
        </w:rPr>
        <w:t>规划保留铁盖乡卫生院，位于乡政府西侧，用地面积0.</w:t>
      </w:r>
      <w:r>
        <w:rPr>
          <w:rFonts w:ascii="仿宋_GB2312" w:eastAsia="仿宋_GB2312" w:hAnsi="仿宋_GB2312" w:cs="仿宋_GB2312"/>
          <w:sz w:val="32"/>
          <w:szCs w:val="32"/>
        </w:rPr>
        <w:t>75</w:t>
      </w:r>
      <w:r>
        <w:rPr>
          <w:rFonts w:ascii="仿宋_GB2312" w:eastAsia="仿宋_GB2312" w:hAnsi="仿宋_GB2312" w:cs="仿宋_GB2312" w:hint="eastAsia"/>
          <w:sz w:val="32"/>
          <w:szCs w:val="32"/>
        </w:rPr>
        <w:t>公顷。</w:t>
      </w:r>
    </w:p>
    <w:p w14:paraId="3C7FFA09"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文化设施。</w:t>
      </w:r>
      <w:r>
        <w:rPr>
          <w:rFonts w:ascii="仿宋_GB2312" w:eastAsia="仿宋_GB2312" w:hAnsi="仿宋_GB2312" w:cs="仿宋_GB2312" w:hint="eastAsia"/>
          <w:sz w:val="32"/>
          <w:szCs w:val="32"/>
        </w:rPr>
        <w:t>规划新建一处文化活动中心，位于兽医站西侧，用地面积0</w:t>
      </w:r>
      <w:r>
        <w:rPr>
          <w:rFonts w:ascii="仿宋_GB2312" w:eastAsia="仿宋_GB2312" w:hAnsi="仿宋_GB2312" w:cs="仿宋_GB2312"/>
          <w:sz w:val="32"/>
          <w:szCs w:val="32"/>
        </w:rPr>
        <w:t>.37</w:t>
      </w:r>
      <w:r>
        <w:rPr>
          <w:rFonts w:ascii="仿宋_GB2312" w:eastAsia="仿宋_GB2312" w:hAnsi="仿宋_GB2312" w:cs="仿宋_GB2312" w:hint="eastAsia"/>
          <w:sz w:val="32"/>
          <w:szCs w:val="32"/>
        </w:rPr>
        <w:t>公顷，开展图书阅览、科普知识宣传、文化展示、艺术等活动。</w:t>
      </w:r>
      <w:bookmarkEnd w:id="68"/>
    </w:p>
    <w:p w14:paraId="2F770CFB"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体育设施。</w:t>
      </w:r>
      <w:r>
        <w:rPr>
          <w:rFonts w:ascii="仿宋_GB2312" w:eastAsia="仿宋_GB2312" w:hAnsi="仿宋_GB2312" w:cs="仿宋_GB2312" w:hint="eastAsia"/>
          <w:sz w:val="32"/>
          <w:szCs w:val="32"/>
        </w:rPr>
        <w:t>规划设置一处全民健身广场，用地面积0.55公顷，增设羽毛球、乒乓球及其他健身器械等。</w:t>
      </w:r>
    </w:p>
    <w:p w14:paraId="521101D0" w14:textId="77777777" w:rsidR="00280812" w:rsidRDefault="00000000">
      <w:pPr>
        <w:pStyle w:val="2"/>
        <w:numPr>
          <w:ilvl w:val="0"/>
          <w:numId w:val="9"/>
        </w:numPr>
        <w:rPr>
          <w:lang w:val="zh-CN"/>
        </w:rPr>
      </w:pPr>
      <w:bookmarkStart w:id="69" w:name="_Toc209177586"/>
      <w:r>
        <w:rPr>
          <w:rFonts w:hint="eastAsia"/>
          <w:lang w:val="zh-CN"/>
        </w:rPr>
        <w:t>空间形态与风貌管控</w:t>
      </w:r>
      <w:bookmarkEnd w:id="69"/>
    </w:p>
    <w:p w14:paraId="717F78CD" w14:textId="77777777" w:rsidR="00280812" w:rsidRDefault="00000000">
      <w:pPr>
        <w:pStyle w:val="a0"/>
        <w:ind w:left="0" w:firstLineChars="200" w:firstLine="640"/>
      </w:pPr>
      <w:r>
        <w:rPr>
          <w:rFonts w:hint="eastAsia"/>
        </w:rPr>
        <w:t>风貌定位</w:t>
      </w:r>
    </w:p>
    <w:p w14:paraId="424A546C" w14:textId="77777777" w:rsidR="00280812" w:rsidRDefault="00000000">
      <w:pPr>
        <w:pStyle w:val="a7"/>
        <w:ind w:firstLine="640"/>
      </w:pPr>
      <w:r>
        <w:rPr>
          <w:rFonts w:hint="eastAsia"/>
        </w:rPr>
        <w:t>规划铁盖乡集镇风貌特色定位为“商兴旅胜、活力小</w:t>
      </w:r>
      <w:r>
        <w:rPr>
          <w:rFonts w:hint="eastAsia"/>
        </w:rPr>
        <w:lastRenderedPageBreak/>
        <w:t>镇”。</w:t>
      </w:r>
    </w:p>
    <w:p w14:paraId="38958821" w14:textId="77777777" w:rsidR="00280812" w:rsidRDefault="00000000">
      <w:pPr>
        <w:pStyle w:val="a0"/>
        <w:ind w:left="0" w:firstLineChars="200" w:firstLine="640"/>
      </w:pPr>
      <w:r>
        <w:rPr>
          <w:rFonts w:hint="eastAsia"/>
        </w:rPr>
        <w:t>景观风貌引导</w:t>
      </w:r>
    </w:p>
    <w:p w14:paraId="5B942C1C" w14:textId="77777777" w:rsidR="00280812" w:rsidRDefault="00000000">
      <w:pPr>
        <w:spacing w:line="600" w:lineRule="exact"/>
        <w:ind w:firstLine="641"/>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铁盖乡集镇形成“一轴两区”的景观风貌格局。</w:t>
      </w:r>
      <w:r>
        <w:rPr>
          <w:rFonts w:ascii="仿宋_GB2312" w:eastAsia="仿宋_GB2312" w:hAnsi="仿宋_GB2312" w:cs="仿宋_GB2312" w:hint="eastAsia"/>
          <w:sz w:val="32"/>
          <w:szCs w:val="32"/>
        </w:rPr>
        <w:t>“一轴”为县道X307为骨架展示富有特色与活力的集镇风貌，打造贯穿东西向的人文景观轴；“两区”为综合服务风貌区和传统民居风貌区。综合服务风貌区展现铁盖乡集镇形象特色，建筑风格以现代风格为主，鼓励传统建筑风格的现代演绎。传统民居风貌</w:t>
      </w:r>
      <w:proofErr w:type="gramStart"/>
      <w:r>
        <w:rPr>
          <w:rFonts w:ascii="仿宋_GB2312" w:eastAsia="仿宋_GB2312" w:hAnsi="仿宋_GB2312" w:cs="仿宋_GB2312" w:hint="eastAsia"/>
          <w:sz w:val="32"/>
          <w:szCs w:val="32"/>
        </w:rPr>
        <w:t>区体现</w:t>
      </w:r>
      <w:proofErr w:type="gramEnd"/>
      <w:r>
        <w:rPr>
          <w:rFonts w:ascii="仿宋_GB2312" w:eastAsia="仿宋_GB2312" w:hAnsi="仿宋_GB2312" w:cs="仿宋_GB2312" w:hint="eastAsia"/>
          <w:sz w:val="32"/>
          <w:szCs w:val="32"/>
        </w:rPr>
        <w:t>与田园环境相协调的村居风貌，增加街巷绿化，建筑风格以仿藏式风格为主，保留村庄肌理，严控建筑体量。</w:t>
      </w:r>
    </w:p>
    <w:p w14:paraId="184C2797"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建筑体量及高度。</w:t>
      </w:r>
      <w:r>
        <w:rPr>
          <w:rFonts w:ascii="仿宋_GB2312" w:eastAsia="仿宋_GB2312" w:hAnsi="仿宋_GB2312" w:cs="仿宋_GB2312" w:hint="eastAsia"/>
          <w:sz w:val="32"/>
          <w:szCs w:val="32"/>
        </w:rPr>
        <w:t>总体形成中</w:t>
      </w:r>
      <w:proofErr w:type="gramStart"/>
      <w:r>
        <w:rPr>
          <w:rFonts w:ascii="仿宋_GB2312" w:eastAsia="仿宋_GB2312" w:hAnsi="仿宋_GB2312" w:cs="仿宋_GB2312" w:hint="eastAsia"/>
          <w:sz w:val="32"/>
          <w:szCs w:val="32"/>
        </w:rPr>
        <w:t>低开发</w:t>
      </w:r>
      <w:proofErr w:type="gramEnd"/>
      <w:r>
        <w:rPr>
          <w:rFonts w:ascii="仿宋_GB2312" w:eastAsia="仿宋_GB2312" w:hAnsi="仿宋_GB2312" w:cs="仿宋_GB2312" w:hint="eastAsia"/>
          <w:sz w:val="32"/>
          <w:szCs w:val="32"/>
        </w:rPr>
        <w:t>强度、集约紧凑的建设模式，单体建筑长度不应超过80米。严格按照要求控制建筑高度，临街商业建筑层数一般应设置为1至2层；重要的公共建筑及标志性建筑不得超过4层（15米）；居住建筑以1-2层为宜。</w:t>
      </w:r>
    </w:p>
    <w:p w14:paraId="43C846B8" w14:textId="77777777" w:rsidR="00280812" w:rsidRDefault="00000000">
      <w:pPr>
        <w:spacing w:line="600" w:lineRule="exact"/>
        <w:ind w:firstLine="641"/>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建筑风格。</w:t>
      </w:r>
      <w:r>
        <w:rPr>
          <w:rFonts w:ascii="仿宋_GB2312" w:eastAsia="仿宋_GB2312" w:hAnsi="仿宋_GB2312" w:cs="仿宋_GB2312" w:hint="eastAsia"/>
          <w:sz w:val="32"/>
          <w:szCs w:val="32"/>
        </w:rPr>
        <w:t>公共建筑以现代风格为主，加强裙房部分、屋顶和檐口建筑设计，屋顶形式宜采用平屋顶，鼓励传统建筑风格的现代演绎，适量体现藏式元素。民居建筑以仿藏式风格为主，抽象、简化藏式元素，弱化符号化的装饰，宜采用传统肌理演绎形式，包括围合式、</w:t>
      </w:r>
      <w:proofErr w:type="gramStart"/>
      <w:r>
        <w:rPr>
          <w:rFonts w:ascii="仿宋_GB2312" w:eastAsia="仿宋_GB2312" w:hAnsi="仿宋_GB2312" w:cs="仿宋_GB2312" w:hint="eastAsia"/>
          <w:sz w:val="32"/>
          <w:szCs w:val="32"/>
        </w:rPr>
        <w:t>簇群式</w:t>
      </w:r>
      <w:proofErr w:type="gramEnd"/>
      <w:r>
        <w:rPr>
          <w:rFonts w:ascii="仿宋_GB2312" w:eastAsia="仿宋_GB2312" w:hAnsi="仿宋_GB2312" w:cs="仿宋_GB2312" w:hint="eastAsia"/>
          <w:sz w:val="32"/>
          <w:szCs w:val="32"/>
        </w:rPr>
        <w:t>、行列式，鼓励丰富多样的建筑组合形式。</w:t>
      </w:r>
    </w:p>
    <w:p w14:paraId="43EE3E39" w14:textId="77777777" w:rsidR="00280812" w:rsidRDefault="00000000">
      <w:pPr>
        <w:spacing w:line="600" w:lineRule="exact"/>
        <w:ind w:firstLine="641"/>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建筑色彩。</w:t>
      </w:r>
      <w:r>
        <w:rPr>
          <w:rFonts w:ascii="仿宋_GB2312" w:eastAsia="仿宋_GB2312" w:hAnsi="仿宋_GB2312" w:cs="仿宋_GB2312" w:hint="eastAsia"/>
          <w:sz w:val="32"/>
          <w:szCs w:val="32"/>
        </w:rPr>
        <w:t>外墙采用白色或土黄色，木料、檐口采用暗红色，保持色彩朴素协调。</w:t>
      </w:r>
    </w:p>
    <w:p w14:paraId="25D5F93C" w14:textId="77777777" w:rsidR="00280812" w:rsidRDefault="00000000">
      <w:pPr>
        <w:spacing w:line="600" w:lineRule="exact"/>
        <w:ind w:firstLine="641"/>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lastRenderedPageBreak/>
        <w:t>绿化要求。</w:t>
      </w:r>
      <w:r>
        <w:rPr>
          <w:rFonts w:ascii="仿宋_GB2312" w:eastAsia="仿宋_GB2312" w:hAnsi="仿宋_GB2312" w:cs="仿宋_GB2312" w:hint="eastAsia"/>
          <w:sz w:val="32"/>
          <w:szCs w:val="32"/>
        </w:rPr>
        <w:t>按照道路性质，采用绿化、小品等进行街景设计。重要节点完善绿地植物配景，提升绿化质量。</w:t>
      </w:r>
    </w:p>
    <w:p w14:paraId="2150235E" w14:textId="77777777" w:rsidR="00280812" w:rsidRDefault="00000000">
      <w:pPr>
        <w:pStyle w:val="a0"/>
        <w:ind w:left="0" w:firstLineChars="200" w:firstLine="640"/>
      </w:pPr>
      <w:r>
        <w:rPr>
          <w:rFonts w:hint="eastAsia"/>
        </w:rPr>
        <w:t>绿地和开敞空间</w:t>
      </w:r>
    </w:p>
    <w:p w14:paraId="1A699814" w14:textId="77777777" w:rsidR="00280812" w:rsidRDefault="00000000">
      <w:pPr>
        <w:spacing w:line="60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规划广场和公共建筑共同组成集镇的开敞空间体系。科学配置绿地植物群落，提高绿化质量，丰富各绿地的生物多样性和文化内涵，</w:t>
      </w:r>
      <w:r>
        <w:rPr>
          <w:rFonts w:ascii="仿宋_GB2312" w:eastAsia="仿宋_GB2312" w:hAnsi="仿宋_GB2312" w:cs="仿宋_GB2312" w:hint="eastAsia"/>
          <w:sz w:val="32"/>
          <w:szCs w:val="32"/>
        </w:rPr>
        <w:t>提升集镇生活品质。</w:t>
      </w:r>
      <w:r>
        <w:rPr>
          <w:rFonts w:ascii="仿宋_GB2312" w:eastAsia="仿宋_GB2312" w:hAnsi="仿宋_GB2312" w:cs="仿宋_GB2312" w:hint="eastAsia"/>
          <w:sz w:val="32"/>
          <w:szCs w:val="32"/>
          <w:u w:val="single"/>
        </w:rPr>
        <w:t>集镇绿地与开敞空间用地0.55公顷</w:t>
      </w:r>
      <w:r>
        <w:rPr>
          <w:rFonts w:ascii="仿宋_GB2312" w:eastAsia="仿宋_GB2312" w:hAnsi="仿宋_GB2312" w:cs="仿宋_GB2312" w:hint="eastAsia"/>
          <w:sz w:val="32"/>
          <w:szCs w:val="32"/>
        </w:rPr>
        <w:t>，均为广场用地，位于乡卫生院西侧，服务村民日常休闲娱乐。</w:t>
      </w:r>
    </w:p>
    <w:p w14:paraId="08B975C7" w14:textId="77777777" w:rsidR="00280812" w:rsidRDefault="00000000">
      <w:pPr>
        <w:pStyle w:val="2"/>
        <w:numPr>
          <w:ilvl w:val="0"/>
          <w:numId w:val="9"/>
        </w:numPr>
        <w:rPr>
          <w:lang w:val="zh-CN"/>
        </w:rPr>
      </w:pPr>
      <w:bookmarkStart w:id="70" w:name="_Toc209177587"/>
      <w:r>
        <w:rPr>
          <w:rFonts w:hint="eastAsia"/>
          <w:lang w:val="zh-CN"/>
        </w:rPr>
        <w:t>住房建设</w:t>
      </w:r>
      <w:bookmarkEnd w:id="70"/>
    </w:p>
    <w:p w14:paraId="04E18FBD" w14:textId="77777777" w:rsidR="00280812" w:rsidRDefault="00000000">
      <w:pPr>
        <w:pStyle w:val="a0"/>
        <w:ind w:left="0" w:firstLineChars="200" w:firstLine="640"/>
      </w:pPr>
      <w:r>
        <w:rPr>
          <w:rFonts w:hint="eastAsia"/>
        </w:rPr>
        <w:t>集镇更新</w:t>
      </w:r>
    </w:p>
    <w:p w14:paraId="0B8B1029" w14:textId="77777777" w:rsidR="00280812" w:rsidRDefault="00000000">
      <w:pPr>
        <w:spacing w:line="60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推进集镇建设，打造面向未来的铁盖</w:t>
      </w:r>
      <w:proofErr w:type="gramStart"/>
      <w:r>
        <w:rPr>
          <w:rFonts w:ascii="仿宋_GB2312" w:eastAsia="仿宋_GB2312" w:hAnsi="仿宋_GB2312" w:cs="仿宋_GB2312" w:hint="eastAsia"/>
          <w:sz w:val="32"/>
          <w:szCs w:val="32"/>
          <w:lang w:val="zh-CN"/>
        </w:rPr>
        <w:t>乡现代</w:t>
      </w:r>
      <w:proofErr w:type="gramEnd"/>
      <w:r>
        <w:rPr>
          <w:rFonts w:ascii="仿宋_GB2312" w:eastAsia="仿宋_GB2312" w:hAnsi="仿宋_GB2312" w:cs="仿宋_GB2312" w:hint="eastAsia"/>
          <w:sz w:val="32"/>
          <w:szCs w:val="32"/>
          <w:lang w:val="zh-CN"/>
        </w:rPr>
        <w:t>服务业、高品质居住发展的示范区，形成</w:t>
      </w:r>
      <w:proofErr w:type="gramStart"/>
      <w:r>
        <w:rPr>
          <w:rFonts w:ascii="仿宋_GB2312" w:eastAsia="仿宋_GB2312" w:hAnsi="仿宋_GB2312" w:cs="仿宋_GB2312" w:hint="eastAsia"/>
          <w:sz w:val="32"/>
          <w:szCs w:val="32"/>
          <w:lang w:val="zh-CN"/>
        </w:rPr>
        <w:t>宜业宜</w:t>
      </w:r>
      <w:proofErr w:type="gramEnd"/>
      <w:r>
        <w:rPr>
          <w:rFonts w:ascii="仿宋_GB2312" w:eastAsia="仿宋_GB2312" w:hAnsi="仿宋_GB2312" w:cs="仿宋_GB2312" w:hint="eastAsia"/>
          <w:sz w:val="32"/>
          <w:szCs w:val="32"/>
          <w:lang w:val="zh-CN"/>
        </w:rPr>
        <w:t>居的新型集镇。</w:t>
      </w:r>
    </w:p>
    <w:p w14:paraId="7F05B870" w14:textId="77777777" w:rsidR="00280812" w:rsidRDefault="00000000">
      <w:pPr>
        <w:spacing w:line="60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推进居住区改造提升，通过发展商贸、旅游、文化创意、生态居住等现代服务业，提高铁盖乡集镇综合服务能力。</w:t>
      </w:r>
    </w:p>
    <w:p w14:paraId="68285467" w14:textId="77777777" w:rsidR="00280812" w:rsidRDefault="00000000">
      <w:pPr>
        <w:spacing w:line="60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优化完善居住配套，增加高品质公共服务设施供给，提升既有设施的服务能力。</w:t>
      </w:r>
    </w:p>
    <w:p w14:paraId="6A25B07F" w14:textId="77777777" w:rsidR="00280812" w:rsidRDefault="00000000">
      <w:pPr>
        <w:pStyle w:val="a0"/>
        <w:ind w:left="0" w:firstLineChars="200" w:firstLine="640"/>
      </w:pPr>
      <w:r>
        <w:rPr>
          <w:rFonts w:hint="eastAsia"/>
        </w:rPr>
        <w:t>住房保障</w:t>
      </w:r>
    </w:p>
    <w:p w14:paraId="73F2CC91" w14:textId="77777777" w:rsidR="00280812" w:rsidRDefault="00000000">
      <w:pPr>
        <w:spacing w:line="60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建立住房建设规划年度实施计划制度，进一步优化土地供应及闲置土地的处理，推动旧房改造，倡导环保型、节能型住房建设。居住用地布局应优先利用空闲地、闲置宅基地和未利用地，引导集中建设。</w:t>
      </w:r>
    </w:p>
    <w:p w14:paraId="316023BE" w14:textId="77777777" w:rsidR="00280812" w:rsidRDefault="00000000">
      <w:pPr>
        <w:pStyle w:val="2"/>
        <w:numPr>
          <w:ilvl w:val="0"/>
          <w:numId w:val="9"/>
        </w:numPr>
        <w:rPr>
          <w:lang w:val="zh-CN"/>
        </w:rPr>
      </w:pPr>
      <w:bookmarkStart w:id="71" w:name="_Toc209177588"/>
      <w:r>
        <w:rPr>
          <w:rFonts w:hint="eastAsia"/>
          <w:lang w:val="zh-CN"/>
        </w:rPr>
        <w:lastRenderedPageBreak/>
        <w:t>道路交通规划</w:t>
      </w:r>
      <w:bookmarkEnd w:id="71"/>
    </w:p>
    <w:p w14:paraId="19BDDAE2" w14:textId="77777777" w:rsidR="00280812" w:rsidRDefault="00000000">
      <w:pPr>
        <w:pStyle w:val="a0"/>
        <w:ind w:left="0" w:firstLineChars="200" w:firstLine="640"/>
      </w:pPr>
      <w:r>
        <w:rPr>
          <w:rFonts w:hint="eastAsia"/>
        </w:rPr>
        <w:t>路网结构规划</w:t>
      </w:r>
    </w:p>
    <w:p w14:paraId="615447A6" w14:textId="77777777" w:rsidR="00280812" w:rsidRDefault="00000000">
      <w:pPr>
        <w:pStyle w:val="a7"/>
        <w:ind w:firstLine="640"/>
      </w:pPr>
      <w:r>
        <w:rPr>
          <w:rFonts w:hint="eastAsia"/>
          <w:lang w:val="zh-CN"/>
        </w:rPr>
        <w:t>规划</w:t>
      </w:r>
      <w:r>
        <w:rPr>
          <w:rFonts w:hint="eastAsia"/>
        </w:rPr>
        <w:t>构建“一字型”主干路网结构，即</w:t>
      </w:r>
      <w:r>
        <w:t>县道</w:t>
      </w:r>
      <w:r>
        <w:rPr>
          <w:rFonts w:hint="eastAsia"/>
        </w:rPr>
        <w:t>X</w:t>
      </w:r>
      <w:r>
        <w:t>307</w:t>
      </w:r>
      <w:r>
        <w:rPr>
          <w:rFonts w:hint="eastAsia"/>
        </w:rPr>
        <w:t>贯通集镇。</w:t>
      </w:r>
    </w:p>
    <w:p w14:paraId="4A42E06D" w14:textId="77777777" w:rsidR="00280812" w:rsidRDefault="00000000">
      <w:pPr>
        <w:pStyle w:val="a0"/>
        <w:ind w:left="0" w:firstLineChars="200" w:firstLine="640"/>
      </w:pPr>
      <w:r>
        <w:rPr>
          <w:rFonts w:hint="eastAsia"/>
        </w:rPr>
        <w:t>道路等级规划</w:t>
      </w:r>
    </w:p>
    <w:p w14:paraId="5EFB14A8" w14:textId="77777777" w:rsidR="00280812" w:rsidRDefault="00000000">
      <w:pPr>
        <w:widowControl/>
        <w:spacing w:line="6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规划集镇道路系统分为干路、支路、巷路三个等级。</w:t>
      </w:r>
    </w:p>
    <w:p w14:paraId="15085020" w14:textId="77777777" w:rsidR="00280812" w:rsidRDefault="00000000">
      <w:pPr>
        <w:spacing w:line="60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县道X307为集镇主要的对外交通道路，规划道路红线宽度为8米。</w:t>
      </w:r>
    </w:p>
    <w:p w14:paraId="6F48583F" w14:textId="77777777" w:rsidR="00280812" w:rsidRDefault="00000000">
      <w:pPr>
        <w:spacing w:line="600" w:lineRule="exact"/>
        <w:ind w:firstLine="56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支路主要集散和分流干路的交通，规划支路的道路红线宽度控制在5-8米，道路断面形式为一板式。</w:t>
      </w:r>
    </w:p>
    <w:p w14:paraId="4A2BCD6D" w14:textId="77777777" w:rsidR="00280812" w:rsidRDefault="00000000">
      <w:pPr>
        <w:spacing w:line="600" w:lineRule="exact"/>
        <w:ind w:firstLine="56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规划巷路的道路红线宽度控制在2-4米。</w:t>
      </w:r>
    </w:p>
    <w:p w14:paraId="0D74A8BD" w14:textId="77777777" w:rsidR="00280812" w:rsidRDefault="00000000">
      <w:pPr>
        <w:pStyle w:val="a0"/>
        <w:ind w:left="0" w:firstLineChars="200" w:firstLine="640"/>
      </w:pPr>
      <w:r>
        <w:rPr>
          <w:rFonts w:hint="eastAsia"/>
        </w:rPr>
        <w:t>交通设施规划</w:t>
      </w:r>
    </w:p>
    <w:p w14:paraId="41DE742F" w14:textId="77777777" w:rsidR="00280812" w:rsidRDefault="00000000">
      <w:pPr>
        <w:spacing w:line="60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以城乡</w:t>
      </w:r>
      <w:proofErr w:type="gramStart"/>
      <w:r>
        <w:rPr>
          <w:rFonts w:ascii="仿宋_GB2312" w:eastAsia="仿宋_GB2312" w:hAnsi="仿宋_GB2312" w:cs="仿宋_GB2312" w:hint="eastAsia"/>
          <w:sz w:val="32"/>
          <w:szCs w:val="32"/>
          <w:lang w:val="zh-CN"/>
        </w:rPr>
        <w:t>公交</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lang w:val="zh-CN"/>
        </w:rPr>
        <w:t>体化发展为目标</w:t>
      </w:r>
      <w:proofErr w:type="gramEnd"/>
      <w:r>
        <w:rPr>
          <w:rFonts w:ascii="仿宋_GB2312" w:eastAsia="仿宋_GB2312" w:hAnsi="仿宋_GB2312" w:cs="仿宋_GB2312" w:hint="eastAsia"/>
          <w:sz w:val="32"/>
          <w:szCs w:val="32"/>
          <w:lang w:val="zh-CN"/>
        </w:rPr>
        <w:t>，推动城乡公交提质增效，拓展通达深度、发车频率和服务效率，规划增加铁盖乡公路客运车站，服务共和县域城乡交通集散。</w:t>
      </w:r>
    </w:p>
    <w:p w14:paraId="73957BF3" w14:textId="77777777" w:rsidR="00280812" w:rsidRDefault="00000000">
      <w:pPr>
        <w:pStyle w:val="2"/>
        <w:numPr>
          <w:ilvl w:val="0"/>
          <w:numId w:val="9"/>
        </w:numPr>
        <w:rPr>
          <w:lang w:val="zh-CN"/>
        </w:rPr>
      </w:pPr>
      <w:bookmarkStart w:id="72" w:name="_Toc209177589"/>
      <w:r>
        <w:rPr>
          <w:rFonts w:hint="eastAsia"/>
          <w:lang w:val="zh-CN"/>
        </w:rPr>
        <w:t>市政基础设施规划</w:t>
      </w:r>
      <w:bookmarkEnd w:id="72"/>
    </w:p>
    <w:p w14:paraId="48C10207" w14:textId="77777777" w:rsidR="00280812" w:rsidRDefault="00000000">
      <w:pPr>
        <w:pStyle w:val="a0"/>
        <w:ind w:left="0" w:firstLineChars="200" w:firstLine="640"/>
      </w:pPr>
      <w:r>
        <w:rPr>
          <w:rFonts w:hint="eastAsia"/>
        </w:rPr>
        <w:t>给水工程</w:t>
      </w:r>
    </w:p>
    <w:p w14:paraId="22DD5304"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水源及供水方式。</w:t>
      </w:r>
      <w:r>
        <w:rPr>
          <w:rFonts w:ascii="仿宋_GB2312" w:eastAsia="仿宋_GB2312" w:hAnsi="仿宋_GB2312" w:cs="仿宋_GB2312" w:hint="eastAsia"/>
          <w:sz w:val="32"/>
          <w:szCs w:val="32"/>
        </w:rPr>
        <w:t>给水水源近期以地下水为主，远期通过“三滩”引水进行供水。规划新建铁盖给水厂，用地面积约0.4公顷。</w:t>
      </w:r>
    </w:p>
    <w:p w14:paraId="172ED646"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用水量预测。</w:t>
      </w:r>
      <w:r>
        <w:rPr>
          <w:rFonts w:ascii="仿宋_GB2312" w:eastAsia="仿宋_GB2312" w:hAnsi="仿宋_GB2312" w:cs="仿宋_GB2312" w:hint="eastAsia"/>
          <w:sz w:val="32"/>
          <w:szCs w:val="32"/>
        </w:rPr>
        <w:t>至2</w:t>
      </w:r>
      <w:r>
        <w:rPr>
          <w:rFonts w:ascii="仿宋_GB2312" w:eastAsia="仿宋_GB2312" w:hAnsi="仿宋_GB2312" w:cs="仿宋_GB2312"/>
          <w:sz w:val="32"/>
          <w:szCs w:val="32"/>
        </w:rPr>
        <w:t>035</w:t>
      </w:r>
      <w:r>
        <w:rPr>
          <w:rFonts w:ascii="仿宋_GB2312" w:eastAsia="仿宋_GB2312" w:hAnsi="仿宋_GB2312" w:cs="仿宋_GB2312" w:hint="eastAsia"/>
          <w:sz w:val="32"/>
          <w:szCs w:val="32"/>
        </w:rPr>
        <w:t>年，预测铁盖乡集镇最高日用水总量约57立方米／日。</w:t>
      </w:r>
    </w:p>
    <w:p w14:paraId="7594D9E5"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管网布局。规划管径</w:t>
      </w:r>
      <w:r>
        <w:rPr>
          <w:rFonts w:ascii="仿宋_GB2312" w:eastAsia="仿宋_GB2312" w:hAnsi="仿宋_GB2312" w:cs="仿宋_GB2312" w:hint="eastAsia"/>
          <w:sz w:val="32"/>
          <w:szCs w:val="32"/>
        </w:rPr>
        <w:t>DN200-DN100，给水管线沿集镇干</w:t>
      </w:r>
      <w:r>
        <w:rPr>
          <w:rFonts w:ascii="仿宋_GB2312" w:eastAsia="仿宋_GB2312" w:hAnsi="仿宋_GB2312" w:cs="仿宋_GB2312" w:hint="eastAsia"/>
          <w:sz w:val="32"/>
          <w:szCs w:val="32"/>
        </w:rPr>
        <w:lastRenderedPageBreak/>
        <w:t>路进行敷设。供水管网近期考虑节约投资可布置成枝状网，远期采取以环状网为主，环状网和枝状网相结合的布置形式，保证供水安全可靠性。</w:t>
      </w:r>
    </w:p>
    <w:p w14:paraId="52157933" w14:textId="77777777" w:rsidR="00280812" w:rsidRDefault="00000000">
      <w:pPr>
        <w:pStyle w:val="a8"/>
        <w:ind w:firstLine="640"/>
        <w:rPr>
          <w:rFonts w:ascii="仿宋_GB2312" w:hAnsi="仿宋_GB2312" w:cs="仿宋_GB2312" w:hint="eastAsia"/>
          <w:szCs w:val="32"/>
        </w:rPr>
      </w:pPr>
      <w:r>
        <w:rPr>
          <w:rFonts w:ascii="楷体_GB2312" w:eastAsia="楷体_GB2312" w:hAnsi="楷体_GB2312" w:cs="楷体_GB2312" w:hint="eastAsia"/>
          <w:szCs w:val="32"/>
        </w:rPr>
        <w:t>水质标准。</w:t>
      </w:r>
      <w:r>
        <w:rPr>
          <w:rFonts w:ascii="仿宋_GB2312" w:hAnsi="仿宋_GB2312" w:cs="仿宋_GB2312" w:hint="eastAsia"/>
          <w:szCs w:val="32"/>
        </w:rPr>
        <w:t>通过建立水源保护区，制定水源地保护区污染治理管理办法，建立水源地保护区监督管理机制，建立水源地监测预警系统，建立健全水源地应急机制等措施，保证水源水质满足《生活饮用水卫生标准（GB5749-2022）》要求。</w:t>
      </w:r>
    </w:p>
    <w:p w14:paraId="1AF4A56A" w14:textId="77777777" w:rsidR="00280812" w:rsidRDefault="00000000">
      <w:pPr>
        <w:pStyle w:val="a0"/>
        <w:ind w:left="0" w:firstLineChars="200" w:firstLine="640"/>
      </w:pPr>
      <w:r>
        <w:rPr>
          <w:rFonts w:hint="eastAsia"/>
        </w:rPr>
        <w:t>排水工程</w:t>
      </w:r>
    </w:p>
    <w:p w14:paraId="598D92AB"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排水体制。</w:t>
      </w:r>
      <w:bookmarkStart w:id="73" w:name="_Hlk176534876"/>
      <w:r>
        <w:rPr>
          <w:rFonts w:ascii="仿宋_GB2312" w:eastAsia="仿宋_GB2312" w:hAnsi="仿宋_GB2312" w:cs="仿宋_GB2312" w:hint="eastAsia"/>
          <w:sz w:val="32"/>
          <w:szCs w:val="32"/>
        </w:rPr>
        <w:t>规划采用不完全分流排水体制，规划在干路采用雨污分流制，在支路采用雨污合流制。雨水就近排入道路边沟或低洼绿地。</w:t>
      </w:r>
    </w:p>
    <w:bookmarkEnd w:id="73"/>
    <w:p w14:paraId="2FF73AAA"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污水量预测。</w:t>
      </w:r>
      <w:r>
        <w:rPr>
          <w:rFonts w:ascii="仿宋_GB2312" w:eastAsia="仿宋_GB2312" w:hAnsi="仿宋_GB2312" w:cs="仿宋_GB2312" w:hint="eastAsia"/>
          <w:sz w:val="32"/>
          <w:szCs w:val="32"/>
        </w:rPr>
        <w:t>至2</w:t>
      </w:r>
      <w:r>
        <w:rPr>
          <w:rFonts w:ascii="仿宋_GB2312" w:eastAsia="仿宋_GB2312" w:hAnsi="仿宋_GB2312" w:cs="仿宋_GB2312"/>
          <w:sz w:val="32"/>
          <w:szCs w:val="32"/>
        </w:rPr>
        <w:t>035</w:t>
      </w:r>
      <w:r>
        <w:rPr>
          <w:rFonts w:ascii="仿宋_GB2312" w:eastAsia="仿宋_GB2312" w:hAnsi="仿宋_GB2312" w:cs="仿宋_GB2312" w:hint="eastAsia"/>
          <w:sz w:val="32"/>
          <w:szCs w:val="32"/>
        </w:rPr>
        <w:t>年，铁盖乡集镇平均日污水产生总量约56.86立方米／日。</w:t>
      </w:r>
    </w:p>
    <w:p w14:paraId="451CDFAC"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污水处理设施。</w:t>
      </w:r>
      <w:r>
        <w:rPr>
          <w:rFonts w:ascii="仿宋_GB2312" w:eastAsia="仿宋_GB2312" w:hAnsi="仿宋_GB2312" w:cs="仿宋_GB2312" w:hint="eastAsia"/>
          <w:sz w:val="32"/>
          <w:szCs w:val="32"/>
        </w:rPr>
        <w:t>小型污水处理设施位于集镇东侧地势较低处，处理后水质应达到国家规定的排放标准。</w:t>
      </w:r>
    </w:p>
    <w:p w14:paraId="00B70ABB" w14:textId="77777777" w:rsidR="00280812" w:rsidRDefault="00000000">
      <w:pPr>
        <w:pStyle w:val="a0"/>
        <w:ind w:left="0" w:firstLineChars="200" w:firstLine="640"/>
      </w:pPr>
      <w:r>
        <w:rPr>
          <w:rFonts w:hint="eastAsia"/>
        </w:rPr>
        <w:t>电力工程</w:t>
      </w:r>
    </w:p>
    <w:p w14:paraId="6B849D13"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电源。</w:t>
      </w:r>
      <w:r>
        <w:rPr>
          <w:rFonts w:ascii="仿宋_GB2312" w:eastAsia="仿宋_GB2312" w:hAnsi="仿宋_GB2312" w:cs="仿宋_GB2312" w:hint="eastAsia"/>
          <w:sz w:val="32"/>
          <w:szCs w:val="32"/>
        </w:rPr>
        <w:t>规划电源接马汉台1</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千伏变电站。</w:t>
      </w:r>
    </w:p>
    <w:p w14:paraId="7C2FEE9C"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用电负荷预测。</w:t>
      </w:r>
      <w:r>
        <w:rPr>
          <w:rFonts w:ascii="仿宋_GB2312" w:eastAsia="仿宋_GB2312" w:hAnsi="仿宋_GB2312" w:cs="仿宋_GB2312" w:hint="eastAsia"/>
          <w:sz w:val="32"/>
          <w:szCs w:val="32"/>
        </w:rPr>
        <w:t>至2035年，预测集镇综合用电负荷约192千瓦。</w:t>
      </w:r>
    </w:p>
    <w:p w14:paraId="6B470DE2"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供电管网。</w:t>
      </w:r>
      <w:r>
        <w:rPr>
          <w:rFonts w:ascii="仿宋_GB2312" w:eastAsia="仿宋_GB2312" w:hAnsi="仿宋_GB2312" w:cs="仿宋_GB2312" w:hint="eastAsia"/>
          <w:sz w:val="32"/>
          <w:szCs w:val="32"/>
        </w:rPr>
        <w:t>10KV电力线路沿主要道路架设，低压配电采用220/380V，电力线布置在道路的西侧或南侧。</w:t>
      </w:r>
    </w:p>
    <w:p w14:paraId="6E96C0D9" w14:textId="77777777" w:rsidR="00280812" w:rsidRDefault="00000000">
      <w:pPr>
        <w:pStyle w:val="a0"/>
        <w:ind w:left="0" w:firstLineChars="200" w:firstLine="640"/>
      </w:pPr>
      <w:r>
        <w:rPr>
          <w:rFonts w:hint="eastAsia"/>
        </w:rPr>
        <w:lastRenderedPageBreak/>
        <w:t>通信工程</w:t>
      </w:r>
    </w:p>
    <w:p w14:paraId="3990D720"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通信设施。</w:t>
      </w:r>
      <w:r>
        <w:rPr>
          <w:rFonts w:ascii="仿宋_GB2312" w:eastAsia="仿宋_GB2312" w:hAnsi="仿宋_GB2312" w:cs="仿宋_GB2312" w:hint="eastAsia"/>
          <w:sz w:val="32"/>
          <w:szCs w:val="32"/>
        </w:rPr>
        <w:t>规划保留现状信号塔、邮政所、广播室等通信设施。</w:t>
      </w:r>
    </w:p>
    <w:p w14:paraId="18648AC8" w14:textId="77777777" w:rsidR="00280812" w:rsidRDefault="00000000">
      <w:pPr>
        <w:spacing w:line="600" w:lineRule="exact"/>
        <w:ind w:firstLineChars="200" w:firstLine="640"/>
        <w:rPr>
          <w:rFonts w:ascii="仿宋_GB2312" w:eastAsia="仿宋_GB2312" w:hAnsi="仿宋_GB2312" w:cs="仿宋_GB2312" w:hint="eastAsia"/>
          <w:sz w:val="32"/>
          <w:szCs w:val="32"/>
        </w:rPr>
      </w:pPr>
      <w:bookmarkStart w:id="74" w:name="_Hlk176535025"/>
      <w:r>
        <w:rPr>
          <w:rFonts w:ascii="楷体_GB2312" w:eastAsia="楷体_GB2312" w:hAnsi="楷体_GB2312" w:cs="楷体_GB2312" w:hint="eastAsia"/>
          <w:sz w:val="32"/>
          <w:szCs w:val="32"/>
        </w:rPr>
        <w:t>通信管网。</w:t>
      </w:r>
      <w:r>
        <w:rPr>
          <w:rFonts w:ascii="仿宋_GB2312" w:eastAsia="仿宋_GB2312" w:hAnsi="仿宋_GB2312" w:cs="仿宋_GB2312" w:hint="eastAsia"/>
          <w:sz w:val="32"/>
          <w:szCs w:val="32"/>
        </w:rPr>
        <w:t>近期保持电信线与有线电视</w:t>
      </w:r>
      <w:proofErr w:type="gramStart"/>
      <w:r>
        <w:rPr>
          <w:rFonts w:ascii="仿宋_GB2312" w:eastAsia="仿宋_GB2312" w:hAnsi="仿宋_GB2312" w:cs="仿宋_GB2312" w:hint="eastAsia"/>
          <w:sz w:val="32"/>
          <w:szCs w:val="32"/>
        </w:rPr>
        <w:t>线路同杆架设</w:t>
      </w:r>
      <w:proofErr w:type="gramEnd"/>
      <w:r>
        <w:rPr>
          <w:rFonts w:ascii="仿宋_GB2312" w:eastAsia="仿宋_GB2312" w:hAnsi="仿宋_GB2312" w:cs="仿宋_GB2312" w:hint="eastAsia"/>
          <w:sz w:val="32"/>
          <w:szCs w:val="32"/>
        </w:rPr>
        <w:t>，规划新建各类通信线路采用管道埋地敷设方式，与电缆分置在道路两侧，道路建设时需预埋通信管道。</w:t>
      </w:r>
    </w:p>
    <w:bookmarkEnd w:id="74"/>
    <w:p w14:paraId="2A48F5E9" w14:textId="77777777" w:rsidR="00280812" w:rsidRDefault="00000000">
      <w:pPr>
        <w:pStyle w:val="a0"/>
        <w:ind w:left="0" w:firstLineChars="200" w:firstLine="640"/>
      </w:pPr>
      <w:r>
        <w:rPr>
          <w:rFonts w:hint="eastAsia"/>
        </w:rPr>
        <w:t>燃气工程</w:t>
      </w:r>
    </w:p>
    <w:p w14:paraId="26F673F3"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集镇近期仍采用罐装液化石油气为主要</w:t>
      </w:r>
      <w:r>
        <w:rPr>
          <w:rFonts w:ascii="仿宋_GB2312" w:eastAsia="仿宋_GB2312" w:hAnsi="仿宋_GB2312" w:cs="仿宋_GB2312"/>
          <w:sz w:val="32"/>
          <w:szCs w:val="32"/>
        </w:rPr>
        <w:t>燃料</w:t>
      </w:r>
      <w:r>
        <w:rPr>
          <w:rFonts w:ascii="仿宋_GB2312" w:eastAsia="仿宋_GB2312" w:hAnsi="仿宋_GB2312" w:cs="仿宋_GB2312" w:hint="eastAsia"/>
          <w:sz w:val="32"/>
          <w:szCs w:val="32"/>
        </w:rPr>
        <w:t>，远期自共和县综合门站敷设燃气管道，新建燃气配气站一座，占地面积</w:t>
      </w:r>
      <w:r>
        <w:rPr>
          <w:rFonts w:ascii="仿宋_GB2312" w:eastAsia="仿宋_GB2312" w:hAnsi="仿宋_GB2312" w:cs="仿宋_GB2312"/>
          <w:sz w:val="32"/>
          <w:szCs w:val="32"/>
        </w:rPr>
        <w:t>0.5</w:t>
      </w:r>
      <w:r>
        <w:rPr>
          <w:rFonts w:ascii="仿宋_GB2312" w:eastAsia="仿宋_GB2312" w:hAnsi="仿宋_GB2312" w:cs="仿宋_GB2312" w:hint="eastAsia"/>
          <w:sz w:val="32"/>
          <w:szCs w:val="32"/>
        </w:rPr>
        <w:t>公顷。发展以</w:t>
      </w:r>
      <w:r>
        <w:rPr>
          <w:rFonts w:ascii="仿宋_GB2312" w:eastAsia="仿宋_GB2312" w:hAnsi="仿宋_GB2312" w:cs="仿宋_GB2312"/>
          <w:sz w:val="32"/>
          <w:szCs w:val="32"/>
        </w:rPr>
        <w:t>秸秆</w:t>
      </w:r>
      <w:r>
        <w:rPr>
          <w:rFonts w:ascii="仿宋_GB2312" w:eastAsia="仿宋_GB2312" w:hAnsi="仿宋_GB2312" w:cs="仿宋_GB2312" w:hint="eastAsia"/>
          <w:sz w:val="32"/>
          <w:szCs w:val="32"/>
        </w:rPr>
        <w:t>、人畜粪便、沼气等</w:t>
      </w:r>
      <w:r>
        <w:rPr>
          <w:rFonts w:ascii="仿宋_GB2312" w:eastAsia="仿宋_GB2312" w:hAnsi="仿宋_GB2312" w:cs="仿宋_GB2312"/>
          <w:sz w:val="32"/>
          <w:szCs w:val="32"/>
        </w:rPr>
        <w:t>为原料</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生物质能利用，提升农村清洁用能比例。</w:t>
      </w:r>
    </w:p>
    <w:p w14:paraId="68B78176" w14:textId="77777777" w:rsidR="00280812" w:rsidRDefault="00000000">
      <w:pPr>
        <w:pStyle w:val="a0"/>
        <w:ind w:left="0" w:firstLineChars="200" w:firstLine="640"/>
      </w:pPr>
      <w:r>
        <w:rPr>
          <w:rFonts w:hint="eastAsia"/>
        </w:rPr>
        <w:t>供热工程</w:t>
      </w:r>
    </w:p>
    <w:p w14:paraId="35FD8ECF"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集镇规划采用电采暖方式取暖。推广普及电力、太阳能等清洁取暖方式，逐步将农村地区散烧煤、</w:t>
      </w:r>
      <w:proofErr w:type="gramStart"/>
      <w:r>
        <w:rPr>
          <w:rFonts w:ascii="仿宋_GB2312" w:eastAsia="仿宋_GB2312" w:hAnsi="仿宋_GB2312" w:cs="仿宋_GB2312" w:hint="eastAsia"/>
          <w:sz w:val="32"/>
          <w:szCs w:val="32"/>
        </w:rPr>
        <w:t>粪区域</w:t>
      </w:r>
      <w:proofErr w:type="gramEnd"/>
      <w:r>
        <w:rPr>
          <w:rFonts w:ascii="仿宋_GB2312" w:eastAsia="仿宋_GB2312" w:hAnsi="仿宋_GB2312" w:cs="仿宋_GB2312" w:hint="eastAsia"/>
          <w:sz w:val="32"/>
          <w:szCs w:val="32"/>
        </w:rPr>
        <w:t>全部改为清洁取暖。</w:t>
      </w:r>
    </w:p>
    <w:p w14:paraId="4E55FEF9" w14:textId="77777777" w:rsidR="00280812" w:rsidRDefault="00000000">
      <w:pPr>
        <w:pStyle w:val="a0"/>
        <w:ind w:left="0" w:firstLineChars="200" w:firstLine="640"/>
      </w:pPr>
      <w:r>
        <w:rPr>
          <w:rFonts w:hint="eastAsia"/>
        </w:rPr>
        <w:t>环卫工程</w:t>
      </w:r>
    </w:p>
    <w:p w14:paraId="45452203"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生活垃圾规模预测。</w:t>
      </w:r>
      <w:r>
        <w:rPr>
          <w:rFonts w:ascii="仿宋_GB2312" w:eastAsia="仿宋_GB2312" w:hAnsi="仿宋_GB2312" w:cs="仿宋_GB2312" w:hint="eastAsia"/>
          <w:sz w:val="32"/>
          <w:szCs w:val="32"/>
        </w:rPr>
        <w:t>规划预测集镇生活垃圾最高日产量约0.48吨。</w:t>
      </w:r>
    </w:p>
    <w:p w14:paraId="366E2387"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垃圾收运体系。</w:t>
      </w:r>
      <w:r>
        <w:rPr>
          <w:rFonts w:ascii="仿宋_GB2312" w:eastAsia="仿宋_GB2312" w:hAnsi="仿宋_GB2312" w:cs="仿宋_GB2312" w:hint="eastAsia"/>
          <w:sz w:val="32"/>
          <w:szCs w:val="32"/>
        </w:rPr>
        <w:t>规划采用“户收集-村转运-乡处理”的生活垃圾收运体系。</w:t>
      </w:r>
    </w:p>
    <w:p w14:paraId="3A132609"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环卫设施。</w:t>
      </w:r>
      <w:r>
        <w:rPr>
          <w:rFonts w:ascii="仿宋_GB2312" w:eastAsia="仿宋_GB2312" w:hAnsi="仿宋_GB2312" w:cs="仿宋_GB2312" w:hint="eastAsia"/>
          <w:sz w:val="32"/>
          <w:szCs w:val="32"/>
        </w:rPr>
        <w:t>规划一座垃圾填埋场，位于七台村，占地面积约</w:t>
      </w:r>
      <w:r>
        <w:rPr>
          <w:rFonts w:ascii="仿宋_GB2312" w:eastAsia="仿宋_GB2312" w:hAnsi="仿宋_GB2312" w:cs="仿宋_GB2312"/>
          <w:sz w:val="32"/>
          <w:szCs w:val="32"/>
        </w:rPr>
        <w:t>1.34</w:t>
      </w:r>
      <w:r>
        <w:rPr>
          <w:rFonts w:ascii="仿宋_GB2312" w:eastAsia="仿宋_GB2312" w:hAnsi="仿宋_GB2312" w:cs="仿宋_GB2312" w:hint="eastAsia"/>
          <w:sz w:val="32"/>
          <w:szCs w:val="32"/>
        </w:rPr>
        <w:t>公顷。生活垃圾收集点的服务半径不应超过70米。积极推进“厕所革命”，因地制宜开展农村厕所无害</w:t>
      </w:r>
      <w:proofErr w:type="gramStart"/>
      <w:r>
        <w:rPr>
          <w:rFonts w:ascii="仿宋_GB2312" w:eastAsia="仿宋_GB2312" w:hAnsi="仿宋_GB2312" w:cs="仿宋_GB2312" w:hint="eastAsia"/>
          <w:sz w:val="32"/>
          <w:szCs w:val="32"/>
        </w:rPr>
        <w:lastRenderedPageBreak/>
        <w:t>化卫生</w:t>
      </w:r>
      <w:proofErr w:type="gramEnd"/>
      <w:r>
        <w:rPr>
          <w:rFonts w:ascii="仿宋_GB2312" w:eastAsia="仿宋_GB2312" w:hAnsi="仿宋_GB2312" w:cs="仿宋_GB2312" w:hint="eastAsia"/>
          <w:sz w:val="32"/>
          <w:szCs w:val="32"/>
        </w:rPr>
        <w:t>改造，全面提升人居环境质量。提升改造现状公共厕所，并依托行政办公、中小学等人群密集场所设置节水型公共厕所；提升改造各村庄现状公共厕所，均采用水冲式。</w:t>
      </w:r>
    </w:p>
    <w:p w14:paraId="66106371" w14:textId="77777777" w:rsidR="00280812" w:rsidRDefault="00000000">
      <w:pPr>
        <w:spacing w:line="600" w:lineRule="exact"/>
        <w:ind w:firstLineChars="200" w:firstLine="640"/>
        <w:rPr>
          <w:rFonts w:ascii="楷体_GB2312" w:eastAsia="楷体_GB2312" w:hAnsi="楷体_GB2312" w:cs="楷体_GB2312" w:hint="eastAsia"/>
          <w:sz w:val="32"/>
          <w:szCs w:val="32"/>
        </w:rPr>
      </w:pPr>
      <w:bookmarkStart w:id="75" w:name="_Hlk176535082"/>
      <w:r>
        <w:rPr>
          <w:rFonts w:ascii="楷体_GB2312" w:eastAsia="楷体_GB2312" w:hAnsi="楷体_GB2312" w:cs="楷体_GB2312" w:hint="eastAsia"/>
          <w:sz w:val="32"/>
          <w:szCs w:val="32"/>
        </w:rPr>
        <w:t>垃圾资源化利用。</w:t>
      </w:r>
      <w:r>
        <w:rPr>
          <w:rFonts w:ascii="仿宋_GB2312" w:eastAsia="仿宋_GB2312" w:hAnsi="仿宋_GB2312" w:cs="仿宋_GB2312" w:hint="eastAsia"/>
          <w:sz w:val="32"/>
          <w:szCs w:val="32"/>
        </w:rPr>
        <w:t>推进垃圾源头减量化、无害化和资源化利用，全面实施固废源头分类，鼓励社会专业企业参与垃圾分类与处理。至2035年，农村生活垃圾收运处理率达到100%，垃圾无害化处理率100%，垃圾资源化利用率40%。</w:t>
      </w:r>
    </w:p>
    <w:p w14:paraId="1ED2B9C5" w14:textId="77777777" w:rsidR="00280812" w:rsidRDefault="00000000">
      <w:pPr>
        <w:pStyle w:val="2"/>
        <w:numPr>
          <w:ilvl w:val="0"/>
          <w:numId w:val="9"/>
        </w:numPr>
        <w:rPr>
          <w:lang w:val="zh-CN"/>
        </w:rPr>
      </w:pPr>
      <w:bookmarkStart w:id="76" w:name="_Toc209177590"/>
      <w:bookmarkEnd w:id="75"/>
      <w:r>
        <w:rPr>
          <w:rFonts w:hint="eastAsia"/>
          <w:lang w:val="zh-CN"/>
        </w:rPr>
        <w:t>综合防灾减灾</w:t>
      </w:r>
      <w:bookmarkEnd w:id="76"/>
    </w:p>
    <w:p w14:paraId="152D85CC" w14:textId="77777777" w:rsidR="00280812" w:rsidRDefault="00000000">
      <w:pPr>
        <w:pStyle w:val="a0"/>
        <w:ind w:left="0" w:firstLineChars="200" w:firstLine="640"/>
      </w:pPr>
      <w:r>
        <w:rPr>
          <w:rFonts w:hint="eastAsia"/>
        </w:rPr>
        <w:t>抗震减灾</w:t>
      </w:r>
    </w:p>
    <w:p w14:paraId="706F18C5" w14:textId="77777777" w:rsidR="00280812" w:rsidRDefault="00000000">
      <w:pPr>
        <w:widowControl/>
        <w:spacing w:line="600" w:lineRule="exact"/>
        <w:ind w:firstLine="641"/>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lang w:val="zh-CN"/>
        </w:rPr>
        <w:t>设防标准。</w:t>
      </w:r>
      <w:r>
        <w:rPr>
          <w:rFonts w:ascii="仿宋_GB2312" w:eastAsia="仿宋_GB2312" w:hAnsi="仿宋_GB2312" w:cs="仿宋_GB2312" w:hint="eastAsia"/>
          <w:sz w:val="32"/>
          <w:szCs w:val="32"/>
        </w:rPr>
        <w:t>铁盖乡集镇所在区域地震动峰值加速度</w:t>
      </w:r>
      <w:r>
        <w:rPr>
          <w:rFonts w:ascii="仿宋_GB2312" w:eastAsia="仿宋_GB2312" w:hAnsi="仿宋_GB2312" w:cs="仿宋_GB2312"/>
          <w:sz w:val="32"/>
          <w:szCs w:val="32"/>
        </w:rPr>
        <w:t>0.1</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g</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抗震设防基本烈度</w:t>
      </w:r>
      <w:r>
        <w:rPr>
          <w:rFonts w:ascii="仿宋_GB2312" w:eastAsia="仿宋_GB2312" w:hAnsi="仿宋_GB2312" w:cs="仿宋_GB2312"/>
          <w:sz w:val="32"/>
          <w:szCs w:val="32"/>
          <w:u w:val="single"/>
        </w:rPr>
        <w:t>7</w:t>
      </w:r>
      <w:r>
        <w:rPr>
          <w:rFonts w:ascii="仿宋_GB2312" w:eastAsia="仿宋_GB2312" w:hAnsi="仿宋_GB2312" w:cs="仿宋_GB2312" w:hint="eastAsia"/>
          <w:sz w:val="32"/>
          <w:szCs w:val="32"/>
          <w:u w:val="single"/>
        </w:rPr>
        <w:t>度。</w:t>
      </w:r>
      <w:r>
        <w:rPr>
          <w:rFonts w:ascii="仿宋_GB2312" w:eastAsia="仿宋_GB2312" w:hAnsi="仿宋_GB2312" w:cs="仿宋_GB2312" w:hint="eastAsia"/>
          <w:sz w:val="32"/>
          <w:szCs w:val="32"/>
        </w:rPr>
        <w:t>学校、医院、体育场馆、文化场馆等大型公共建筑和重要生命线工程应按高于基本烈度1度要求设防。重大建设工程和可能发生严重次生灾害的建设工程，应当进行地震安全性评价，并按地震安全性评价报告结果确定其抗震设防要求。</w:t>
      </w:r>
    </w:p>
    <w:p w14:paraId="6AD45FE1" w14:textId="77777777" w:rsidR="00280812" w:rsidRDefault="00000000">
      <w:pPr>
        <w:widowControl/>
        <w:spacing w:line="600" w:lineRule="exact"/>
        <w:ind w:firstLine="641"/>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lang w:val="zh-CN"/>
        </w:rPr>
        <w:t>抗震配套设施。</w:t>
      </w:r>
      <w:r>
        <w:rPr>
          <w:rFonts w:ascii="仿宋_GB2312" w:eastAsia="仿宋_GB2312" w:hAnsi="仿宋_GB2312" w:cs="仿宋_GB2312" w:hint="eastAsia"/>
          <w:sz w:val="32"/>
          <w:szCs w:val="32"/>
        </w:rPr>
        <w:t>铁盖乡政府作为综合防灾应急指挥中心。政府内部包含应急救灾物资储备点。铁盖乡卫生院作为医疗救护中心，承担对伤员的早期治疗和部分专科治疗。铁盖乡寄宿制小学作为避难场所。至2035年，</w:t>
      </w:r>
      <w:r>
        <w:rPr>
          <w:rFonts w:ascii="仿宋_GB2312" w:eastAsia="仿宋_GB2312" w:hAnsi="仿宋_GB2312" w:cs="仿宋_GB2312" w:hint="eastAsia"/>
          <w:sz w:val="32"/>
          <w:szCs w:val="32"/>
          <w:u w:val="single"/>
        </w:rPr>
        <w:t>人均应急避难场所面积不低于1.5平方米。</w:t>
      </w:r>
    </w:p>
    <w:p w14:paraId="159DDD4E" w14:textId="77777777" w:rsidR="00280812" w:rsidRDefault="00000000">
      <w:pPr>
        <w:widowControl/>
        <w:spacing w:line="600" w:lineRule="exact"/>
        <w:ind w:firstLine="641"/>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lang w:val="zh-CN"/>
        </w:rPr>
        <w:t>疏散通道。</w:t>
      </w:r>
      <w:r>
        <w:rPr>
          <w:rFonts w:ascii="仿宋_GB2312" w:eastAsia="仿宋_GB2312" w:hAnsi="仿宋_GB2312" w:cs="仿宋_GB2312" w:hint="eastAsia"/>
          <w:sz w:val="32"/>
          <w:szCs w:val="32"/>
        </w:rPr>
        <w:t>原则上应使居民的疏散救护便捷安全，保证主要道路畅通无阻。规划管理中要对沿线建筑高度和建</w:t>
      </w:r>
      <w:r>
        <w:rPr>
          <w:rFonts w:ascii="仿宋_GB2312" w:eastAsia="仿宋_GB2312" w:hAnsi="仿宋_GB2312" w:cs="仿宋_GB2312" w:hint="eastAsia"/>
          <w:sz w:val="32"/>
          <w:szCs w:val="32"/>
        </w:rPr>
        <w:lastRenderedPageBreak/>
        <w:t>筑后退距离严格审批，以保证建筑物倒塌后仍能通行。紧急避震疏散场地内外的避震疏散主通道有效宽度不宜低于 4m，固定避震疏散场地内外的避震疏散主通道有效宽度不宜低于7m。避震疏散主通道两侧的建筑应能保障疏散通道的安全畅通。</w:t>
      </w:r>
    </w:p>
    <w:p w14:paraId="5F2431D9" w14:textId="77777777" w:rsidR="00280812" w:rsidRDefault="00000000">
      <w:pPr>
        <w:pStyle w:val="a0"/>
        <w:ind w:left="0" w:firstLineChars="200" w:firstLine="640"/>
      </w:pPr>
      <w:r>
        <w:rPr>
          <w:rFonts w:hint="eastAsia"/>
        </w:rPr>
        <w:t>防洪工程</w:t>
      </w:r>
    </w:p>
    <w:p w14:paraId="2193C576" w14:textId="77777777" w:rsidR="00280812" w:rsidRDefault="00000000">
      <w:pPr>
        <w:widowControl/>
        <w:spacing w:line="600" w:lineRule="exact"/>
        <w:ind w:firstLineChars="200" w:firstLine="640"/>
        <w:jc w:val="left"/>
        <w:rPr>
          <w:rFonts w:ascii="仿宋_GB2312" w:eastAsia="仿宋_GB2312" w:hAnsi="仿宋_GB2312" w:cs="仿宋_GB2312" w:hint="eastAsia"/>
          <w:sz w:val="32"/>
          <w:szCs w:val="32"/>
          <w:u w:val="single"/>
        </w:rPr>
      </w:pPr>
      <w:r>
        <w:rPr>
          <w:rFonts w:ascii="楷体_GB2312" w:eastAsia="楷体_GB2312" w:hAnsi="楷体_GB2312" w:cs="楷体_GB2312" w:hint="eastAsia"/>
          <w:sz w:val="32"/>
          <w:szCs w:val="32"/>
          <w:lang w:val="zh-CN"/>
        </w:rPr>
        <w:t>防洪标准。</w:t>
      </w:r>
      <w:r>
        <w:rPr>
          <w:rFonts w:ascii="仿宋_GB2312" w:eastAsia="仿宋_GB2312" w:hAnsi="仿宋_GB2312" w:cs="仿宋_GB2312" w:hint="eastAsia"/>
          <w:sz w:val="32"/>
          <w:szCs w:val="32"/>
          <w:u w:val="single"/>
        </w:rPr>
        <w:t>根据《防洪标准》（GB50201-2014），铁盖乡集镇的防洪标准为20年一遇</w:t>
      </w:r>
      <w:proofErr w:type="gramStart"/>
      <w:r>
        <w:rPr>
          <w:rFonts w:ascii="仿宋_GB2312" w:eastAsia="仿宋_GB2312" w:hAnsi="仿宋_GB2312" w:cs="仿宋_GB2312" w:hint="eastAsia"/>
          <w:sz w:val="32"/>
          <w:szCs w:val="32"/>
          <w:u w:val="single"/>
        </w:rPr>
        <w:t>。</w:t>
      </w:r>
      <w:proofErr w:type="gramEnd"/>
    </w:p>
    <w:p w14:paraId="350BD269" w14:textId="77777777" w:rsidR="00280812" w:rsidRDefault="00000000">
      <w:pPr>
        <w:widowControl/>
        <w:spacing w:line="600" w:lineRule="exact"/>
        <w:ind w:firstLine="641"/>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lang w:val="zh-CN"/>
        </w:rPr>
        <w:t>防洪措施。</w:t>
      </w:r>
      <w:r>
        <w:rPr>
          <w:rFonts w:ascii="仿宋_GB2312" w:eastAsia="仿宋_GB2312" w:hAnsi="仿宋_GB2312" w:cs="仿宋_GB2312" w:hint="eastAsia"/>
          <w:sz w:val="32"/>
          <w:szCs w:val="32"/>
        </w:rPr>
        <w:t>合理有序开展周边河道、排洪沟、道路边沟等整治工程，提高集镇行洪排涝能力。</w:t>
      </w:r>
    </w:p>
    <w:p w14:paraId="35BC42A7" w14:textId="77777777" w:rsidR="00280812" w:rsidRDefault="00000000">
      <w:pPr>
        <w:pStyle w:val="a0"/>
        <w:ind w:left="0" w:firstLineChars="200" w:firstLine="640"/>
      </w:pPr>
      <w:r>
        <w:rPr>
          <w:rFonts w:hint="eastAsia"/>
        </w:rPr>
        <w:t>消防工程</w:t>
      </w:r>
    </w:p>
    <w:p w14:paraId="06D2B67F" w14:textId="77777777" w:rsidR="00280812" w:rsidRDefault="00000000">
      <w:pPr>
        <w:pStyle w:val="a8"/>
        <w:ind w:firstLine="640"/>
        <w:rPr>
          <w:rFonts w:ascii="仿宋_GB2312" w:hAnsi="仿宋_GB2312" w:cs="仿宋_GB2312" w:hint="eastAsia"/>
          <w:szCs w:val="32"/>
        </w:rPr>
      </w:pPr>
      <w:r>
        <w:rPr>
          <w:rFonts w:ascii="楷体_GB2312" w:eastAsia="楷体_GB2312" w:hAnsi="楷体_GB2312" w:cs="楷体_GB2312" w:hint="eastAsia"/>
          <w:szCs w:val="32"/>
          <w:lang w:val="zh-CN"/>
        </w:rPr>
        <w:t>消防设施。</w:t>
      </w:r>
      <w:r>
        <w:rPr>
          <w:rFonts w:ascii="仿宋_GB2312" w:hAnsi="仿宋_GB2312" w:cs="仿宋_GB2312" w:hint="eastAsia"/>
          <w:szCs w:val="32"/>
        </w:rPr>
        <w:t>建立以专职消防队伍为主要消防力量，以志愿者消防队伍或企业兼职消防队伍为补充的消防体系，各类公共场所设置消防设施，加强消防通信建设，完善具备有线、无线、卫星和计算机基础网络的消防通信系统，提升灾害事故快速响应、高效救援能力。</w:t>
      </w:r>
    </w:p>
    <w:p w14:paraId="3B2627E3" w14:textId="77777777" w:rsidR="00280812" w:rsidRDefault="00000000">
      <w:pPr>
        <w:pStyle w:val="a8"/>
        <w:ind w:firstLine="640"/>
        <w:rPr>
          <w:rFonts w:ascii="仿宋_GB2312" w:hAnsi="仿宋_GB2312" w:cs="仿宋_GB2312" w:hint="eastAsia"/>
          <w:szCs w:val="32"/>
        </w:rPr>
      </w:pPr>
      <w:r>
        <w:rPr>
          <w:rFonts w:ascii="楷体_GB2312" w:eastAsia="楷体_GB2312" w:hAnsi="楷体_GB2312" w:cs="楷体_GB2312" w:hint="eastAsia"/>
          <w:szCs w:val="32"/>
          <w:lang w:val="zh-CN"/>
        </w:rPr>
        <w:t>消防给水。</w:t>
      </w:r>
      <w:r>
        <w:rPr>
          <w:rFonts w:ascii="仿宋_GB2312" w:hAnsi="仿宋_GB2312" w:cs="仿宋_GB2312" w:hint="eastAsia"/>
          <w:szCs w:val="32"/>
        </w:rPr>
        <w:t>加强消防供水建设，规划形成市政水源为主、天然水源为辅的消防供水体系，消防给水管</w:t>
      </w:r>
      <w:proofErr w:type="gramStart"/>
      <w:r>
        <w:rPr>
          <w:rFonts w:ascii="仿宋_GB2312" w:hAnsi="仿宋_GB2312" w:cs="仿宋_GB2312" w:hint="eastAsia"/>
          <w:szCs w:val="32"/>
        </w:rPr>
        <w:t>径</w:t>
      </w:r>
      <w:proofErr w:type="gramEnd"/>
      <w:r>
        <w:rPr>
          <w:rFonts w:ascii="仿宋_GB2312" w:hAnsi="仿宋_GB2312" w:cs="仿宋_GB2312" w:hint="eastAsia"/>
          <w:szCs w:val="32"/>
        </w:rPr>
        <w:t>不应小于100毫米，消火栓最大间距不应超过120米。</w:t>
      </w:r>
    </w:p>
    <w:p w14:paraId="24E9DF3F" w14:textId="77777777" w:rsidR="00280812" w:rsidRDefault="00000000">
      <w:pPr>
        <w:spacing w:line="600" w:lineRule="exact"/>
        <w:ind w:firstLine="641"/>
        <w:rPr>
          <w:rFonts w:ascii="仿宋_GB2312" w:eastAsia="仿宋_GB2312" w:hAnsi="仿宋_GB2312" w:cs="仿宋_GB2312" w:hint="eastAsia"/>
          <w:sz w:val="32"/>
          <w:szCs w:val="32"/>
        </w:rPr>
      </w:pPr>
      <w:r>
        <w:rPr>
          <w:rFonts w:ascii="楷体_GB2312" w:eastAsia="楷体_GB2312" w:hAnsi="楷体_GB2312" w:cs="楷体_GB2312" w:hint="eastAsia"/>
          <w:sz w:val="32"/>
          <w:szCs w:val="32"/>
          <w:lang w:val="zh-CN"/>
        </w:rPr>
        <w:t>消防通道。</w:t>
      </w:r>
      <w:r>
        <w:rPr>
          <w:rFonts w:ascii="仿宋_GB2312" w:eastAsia="仿宋_GB2312" w:hAnsi="仿宋_GB2312" w:cs="仿宋_GB2312" w:hint="eastAsia"/>
          <w:sz w:val="32"/>
          <w:szCs w:val="32"/>
          <w:u w:val="single"/>
        </w:rPr>
        <w:t>道路必须满足消防车通过的要求，消防车通道宽度不应小于4米，道路上空净高不得小于4米，建筑设计应严格按消防规范执行。</w:t>
      </w:r>
      <w:r>
        <w:rPr>
          <w:rFonts w:ascii="仿宋_GB2312" w:eastAsia="仿宋_GB2312" w:hAnsi="仿宋_GB2312" w:cs="仿宋_GB2312" w:hint="eastAsia"/>
          <w:sz w:val="32"/>
          <w:szCs w:val="32"/>
        </w:rPr>
        <w:t>规划以县道X307为主要疏散通道，以其他支路作为次要疏散通道。消防车通道应符合</w:t>
      </w:r>
      <w:r>
        <w:rPr>
          <w:rFonts w:ascii="仿宋_GB2312" w:eastAsia="仿宋_GB2312" w:hAnsi="仿宋_GB2312" w:cs="仿宋_GB2312" w:hint="eastAsia"/>
          <w:sz w:val="32"/>
          <w:szCs w:val="32"/>
        </w:rPr>
        <w:lastRenderedPageBreak/>
        <w:t>消防车辆安全、快捷通行的要求。</w:t>
      </w:r>
    </w:p>
    <w:p w14:paraId="7F14A847" w14:textId="77777777" w:rsidR="00280812" w:rsidRDefault="00000000">
      <w:pPr>
        <w:pStyle w:val="a0"/>
        <w:ind w:left="0" w:firstLineChars="200" w:firstLine="640"/>
      </w:pPr>
      <w:r>
        <w:rPr>
          <w:rFonts w:hint="eastAsia"/>
        </w:rPr>
        <w:t>地质灾害防治</w:t>
      </w:r>
    </w:p>
    <w:p w14:paraId="5688B9EE" w14:textId="77777777" w:rsidR="00280812" w:rsidRDefault="00000000">
      <w:pPr>
        <w:pStyle w:val="a7"/>
        <w:ind w:firstLine="640"/>
        <w:rPr>
          <w:bCs/>
        </w:rPr>
      </w:pPr>
      <w:r>
        <w:rPr>
          <w:rFonts w:hint="eastAsia"/>
          <w:bCs/>
        </w:rPr>
        <w:t>铁盖乡集镇</w:t>
      </w:r>
      <w:r>
        <w:rPr>
          <w:rFonts w:hint="eastAsia"/>
          <w:bCs/>
          <w:lang w:val="zh-CN"/>
        </w:rPr>
        <w:t>范围均为地质灾害高</w:t>
      </w:r>
      <w:r>
        <w:rPr>
          <w:rFonts w:hint="eastAsia"/>
          <w:bCs/>
        </w:rPr>
        <w:t>风险区，地质灾害防治划为重点防治区。深化地质灾害隐患点详细调查评价，</w:t>
      </w:r>
      <w:r>
        <w:rPr>
          <w:rFonts w:hint="eastAsia"/>
          <w:bCs/>
          <w:u w:val="single"/>
          <w:lang w:val="zh-CN"/>
        </w:rPr>
        <w:t>地质灾害易发区内的开发建设，应当进行地质灾害危险性评估，并根据地质灾害危险性评估提出的预防治理措施，有序开展地质灾害工程治理或搬迁避让工作，评估结果为不适宜的场地不得进行开发建设，地质灾害危险区内禁止从事容易诱发地质灾害的各种活动</w:t>
      </w:r>
      <w:r>
        <w:rPr>
          <w:rFonts w:hint="eastAsia"/>
          <w:bCs/>
        </w:rPr>
        <w:t>。综合采用工程治理、排危除险、避让搬迁、专业监测等多种措施，推进地质灾害隐患治理，降低地质灾害隐患风险。</w:t>
      </w:r>
    </w:p>
    <w:p w14:paraId="08681216" w14:textId="77777777" w:rsidR="00280812" w:rsidRDefault="00000000">
      <w:pPr>
        <w:pStyle w:val="a0"/>
        <w:ind w:left="0" w:firstLineChars="200" w:firstLine="640"/>
      </w:pPr>
      <w:r>
        <w:rPr>
          <w:rFonts w:hint="eastAsia"/>
        </w:rPr>
        <w:t>防疫规划</w:t>
      </w:r>
    </w:p>
    <w:p w14:paraId="643B571D" w14:textId="77777777" w:rsidR="00280812" w:rsidRDefault="00000000">
      <w:pPr>
        <w:pStyle w:val="a7"/>
        <w:ind w:firstLine="640"/>
        <w:rPr>
          <w:rFonts w:ascii="楷体_GB2312" w:eastAsia="楷体_GB2312" w:hAnsi="Times New Roman" w:cs="Times New Roman"/>
          <w:bCs/>
          <w:szCs w:val="32"/>
          <w:u w:val="single"/>
        </w:rPr>
      </w:pPr>
      <w:r>
        <w:rPr>
          <w:rFonts w:hint="eastAsia"/>
          <w:bCs/>
          <w:u w:val="single"/>
        </w:rPr>
        <w:t>结合现状卫生院设置卫生防疫站，负责铁盖乡日常防疫和物资储备以及灾后防疫和指挥。</w:t>
      </w:r>
    </w:p>
    <w:p w14:paraId="54DE3054" w14:textId="77777777" w:rsidR="00280812" w:rsidRDefault="00000000">
      <w:pPr>
        <w:pStyle w:val="2"/>
        <w:numPr>
          <w:ilvl w:val="0"/>
          <w:numId w:val="9"/>
        </w:numPr>
        <w:rPr>
          <w:lang w:val="zh-CN"/>
        </w:rPr>
      </w:pPr>
      <w:bookmarkStart w:id="77" w:name="_Toc209177591"/>
      <w:r>
        <w:rPr>
          <w:rFonts w:hint="eastAsia"/>
          <w:lang w:val="zh-CN"/>
        </w:rPr>
        <w:t>五线管控</w:t>
      </w:r>
      <w:bookmarkEnd w:id="77"/>
    </w:p>
    <w:p w14:paraId="77C823E4" w14:textId="77777777" w:rsidR="00280812" w:rsidRDefault="00000000">
      <w:pPr>
        <w:keepNext/>
        <w:keepLines/>
        <w:numPr>
          <w:ilvl w:val="0"/>
          <w:numId w:val="4"/>
        </w:numPr>
        <w:tabs>
          <w:tab w:val="left" w:pos="851"/>
        </w:tabs>
        <w:spacing w:before="300" w:line="420" w:lineRule="exact"/>
        <w:ind w:left="0" w:firstLineChars="200" w:firstLine="640"/>
        <w:jc w:val="left"/>
        <w:outlineLvl w:val="2"/>
        <w:rPr>
          <w:rFonts w:ascii="楷体_GB2312" w:eastAsia="楷体_GB2312" w:hAnsi="Times New Roman" w:cs="Times New Roman"/>
          <w:bCs/>
          <w:sz w:val="32"/>
          <w:szCs w:val="32"/>
        </w:rPr>
      </w:pPr>
      <w:r>
        <w:rPr>
          <w:rFonts w:ascii="楷体_GB2312" w:eastAsia="楷体_GB2312" w:hAnsi="Times New Roman" w:cs="Times New Roman" w:hint="eastAsia"/>
          <w:bCs/>
          <w:sz w:val="32"/>
          <w:szCs w:val="32"/>
        </w:rPr>
        <w:t>道路红线</w:t>
      </w:r>
    </w:p>
    <w:p w14:paraId="23C8F03D"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将集镇城镇村道路和公路作为道路红线进行强制性控制，总面积1.08公顷。</w:t>
      </w:r>
      <w:r>
        <w:rPr>
          <w:rFonts w:ascii="仿宋_GB2312" w:eastAsia="仿宋_GB2312" w:hAnsi="仿宋_GB2312" w:cs="仿宋_GB2312" w:hint="eastAsia"/>
          <w:sz w:val="32"/>
          <w:szCs w:val="32"/>
        </w:rPr>
        <w:t>红线控制范围内，经城乡规划行政主管部门批准可以按规划建设绿化设施，市政公用地上、地下管（杆）线，道路交通安全设施。不得建设与道路功能无关的管（杆）线、配电设施、通信设施、环卫设施、道路交通安全设施等。禁止在红线控制范围内进行挖取沙</w:t>
      </w:r>
      <w:r>
        <w:rPr>
          <w:rFonts w:ascii="仿宋_GB2312" w:eastAsia="仿宋_GB2312" w:hAnsi="仿宋_GB2312" w:cs="仿宋_GB2312" w:hint="eastAsia"/>
          <w:sz w:val="32"/>
          <w:szCs w:val="32"/>
        </w:rPr>
        <w:lastRenderedPageBreak/>
        <w:t>土等改变地形地貌活动。</w:t>
      </w:r>
    </w:p>
    <w:p w14:paraId="6AF0F1BC" w14:textId="77777777" w:rsidR="00280812" w:rsidRDefault="00000000">
      <w:pPr>
        <w:pStyle w:val="a0"/>
        <w:ind w:left="0" w:firstLineChars="200" w:firstLine="640"/>
      </w:pPr>
      <w:r>
        <w:rPr>
          <w:rFonts w:hint="eastAsia"/>
        </w:rPr>
        <w:t>绿线管控</w:t>
      </w:r>
    </w:p>
    <w:p w14:paraId="23569665" w14:textId="77777777" w:rsidR="00280812" w:rsidRDefault="00000000">
      <w:pPr>
        <w:pStyle w:val="a7"/>
        <w:ind w:firstLine="640"/>
        <w:rPr>
          <w:bCs/>
        </w:rPr>
      </w:pPr>
      <w:r>
        <w:rPr>
          <w:rFonts w:hint="eastAsia"/>
          <w:bCs/>
          <w:u w:val="single"/>
        </w:rPr>
        <w:t>规划将集镇范围内公园绿地、防护绿地和广场均划为集镇绿线管控范围，总面积0.55公顷。城市绿线内所有建设活动均应符合相关管理要求。</w:t>
      </w:r>
      <w:r>
        <w:rPr>
          <w:rFonts w:hint="eastAsia"/>
          <w:bCs/>
        </w:rPr>
        <w:t>控制线范围内的用地，不得改作他用，不得违反法律法规、强制性标准以及批准的规划进行开发建设；在城市绿线范围内，不符合规划要求的建筑物、构筑物及其他设施应当限期迁出。绿线内可兼容设施道路、市政管线等线状交通、线状市政基础设施；因重大市政交通基础设施建设等公共利益确需调整绿线的，应保证绿线结构系统性；因建设或者其他特殊情况，需要临时占用城市绿线内用地的，必须依法办理相关审批手续。城市绿线的调整应符合国家有关规定。</w:t>
      </w:r>
    </w:p>
    <w:p w14:paraId="7A77AE38" w14:textId="77777777" w:rsidR="00280812" w:rsidRDefault="00000000">
      <w:pPr>
        <w:keepNext/>
        <w:keepLines/>
        <w:numPr>
          <w:ilvl w:val="0"/>
          <w:numId w:val="4"/>
        </w:numPr>
        <w:tabs>
          <w:tab w:val="left" w:pos="851"/>
        </w:tabs>
        <w:spacing w:before="300" w:line="420" w:lineRule="exact"/>
        <w:ind w:left="0" w:firstLineChars="200" w:firstLine="640"/>
        <w:jc w:val="left"/>
        <w:outlineLvl w:val="2"/>
        <w:rPr>
          <w:rFonts w:ascii="楷体_GB2312" w:eastAsia="楷体_GB2312" w:hAnsi="Times New Roman" w:cs="Times New Roman"/>
          <w:bCs/>
          <w:sz w:val="32"/>
          <w:szCs w:val="32"/>
        </w:rPr>
      </w:pPr>
      <w:r>
        <w:rPr>
          <w:rFonts w:ascii="楷体_GB2312" w:eastAsia="楷体_GB2312" w:hAnsi="Times New Roman" w:cs="Times New Roman" w:hint="eastAsia"/>
          <w:bCs/>
          <w:sz w:val="32"/>
          <w:szCs w:val="32"/>
        </w:rPr>
        <w:t>黄线管控</w:t>
      </w:r>
    </w:p>
    <w:p w14:paraId="7D0C7FCA"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铁盖乡集镇不涉及黄线。</w:t>
      </w:r>
    </w:p>
    <w:p w14:paraId="2D59AF0F" w14:textId="77777777" w:rsidR="00280812" w:rsidRDefault="00000000">
      <w:pPr>
        <w:keepNext/>
        <w:keepLines/>
        <w:numPr>
          <w:ilvl w:val="0"/>
          <w:numId w:val="4"/>
        </w:numPr>
        <w:tabs>
          <w:tab w:val="left" w:pos="851"/>
        </w:tabs>
        <w:spacing w:before="300" w:line="420" w:lineRule="exact"/>
        <w:ind w:left="0" w:firstLineChars="200" w:firstLine="640"/>
        <w:jc w:val="left"/>
        <w:outlineLvl w:val="2"/>
        <w:rPr>
          <w:rFonts w:ascii="楷体_GB2312" w:eastAsia="楷体_GB2312" w:hAnsi="Times New Roman" w:cs="Times New Roman"/>
          <w:bCs/>
          <w:sz w:val="32"/>
          <w:szCs w:val="32"/>
        </w:rPr>
      </w:pPr>
      <w:r>
        <w:rPr>
          <w:rFonts w:ascii="楷体_GB2312" w:eastAsia="楷体_GB2312" w:hAnsi="Times New Roman" w:cs="Times New Roman" w:hint="eastAsia"/>
          <w:bCs/>
          <w:sz w:val="32"/>
          <w:szCs w:val="32"/>
        </w:rPr>
        <w:t>紫线管控</w:t>
      </w:r>
    </w:p>
    <w:p w14:paraId="5DE17F86"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铁盖乡集镇不涉及紫线。</w:t>
      </w:r>
    </w:p>
    <w:p w14:paraId="75B8B9EA" w14:textId="77777777" w:rsidR="00280812" w:rsidRDefault="00000000">
      <w:pPr>
        <w:keepNext/>
        <w:keepLines/>
        <w:numPr>
          <w:ilvl w:val="0"/>
          <w:numId w:val="4"/>
        </w:numPr>
        <w:tabs>
          <w:tab w:val="left" w:pos="851"/>
        </w:tabs>
        <w:spacing w:before="300" w:line="420" w:lineRule="exact"/>
        <w:ind w:left="0" w:firstLineChars="200" w:firstLine="640"/>
        <w:jc w:val="left"/>
        <w:outlineLvl w:val="2"/>
        <w:rPr>
          <w:rFonts w:ascii="楷体_GB2312" w:eastAsia="楷体_GB2312" w:hAnsi="Times New Roman" w:cs="Times New Roman"/>
          <w:bCs/>
          <w:sz w:val="32"/>
          <w:szCs w:val="32"/>
        </w:rPr>
      </w:pPr>
      <w:r>
        <w:rPr>
          <w:rFonts w:ascii="楷体_GB2312" w:eastAsia="楷体_GB2312" w:hAnsi="Times New Roman" w:cs="Times New Roman" w:hint="eastAsia"/>
          <w:bCs/>
          <w:sz w:val="32"/>
          <w:szCs w:val="32"/>
        </w:rPr>
        <w:t>蓝线管控</w:t>
      </w:r>
    </w:p>
    <w:p w14:paraId="6EF54992"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铁盖乡集镇不涉及蓝线。</w:t>
      </w:r>
    </w:p>
    <w:p w14:paraId="21923D85" w14:textId="77777777" w:rsidR="00280812" w:rsidRDefault="00000000">
      <w:pPr>
        <w:pStyle w:val="a7"/>
        <w:ind w:firstLine="640"/>
        <w:rPr>
          <w:rFonts w:hAnsi="仿宋_GB2312" w:cs="仿宋_GB2312" w:hint="eastAsia"/>
          <w:szCs w:val="32"/>
        </w:rPr>
      </w:pPr>
      <w:r>
        <w:rPr>
          <w:rFonts w:hAnsi="仿宋_GB2312" w:cs="仿宋_GB2312" w:hint="eastAsia"/>
          <w:szCs w:val="32"/>
        </w:rPr>
        <w:br w:type="page"/>
      </w:r>
    </w:p>
    <w:p w14:paraId="024EE10D" w14:textId="77777777" w:rsidR="00280812" w:rsidRDefault="00000000">
      <w:pPr>
        <w:pStyle w:val="1"/>
        <w:ind w:left="0" w:firstLine="0"/>
      </w:pPr>
      <w:bookmarkStart w:id="78" w:name="_Toc209177592"/>
      <w:r>
        <w:rPr>
          <w:rFonts w:hint="eastAsia"/>
        </w:rPr>
        <w:lastRenderedPageBreak/>
        <w:t>保护传承文化遗产，塑造彰显特色风貌魅力</w:t>
      </w:r>
      <w:bookmarkEnd w:id="78"/>
    </w:p>
    <w:p w14:paraId="271C5903" w14:textId="77777777" w:rsidR="00280812" w:rsidRDefault="00000000">
      <w:pPr>
        <w:pStyle w:val="2"/>
        <w:numPr>
          <w:ilvl w:val="0"/>
          <w:numId w:val="11"/>
        </w:numPr>
        <w:rPr>
          <w:lang w:val="zh-CN"/>
        </w:rPr>
      </w:pPr>
      <w:bookmarkStart w:id="79" w:name="_Toc209177593"/>
      <w:r>
        <w:rPr>
          <w:rFonts w:hint="eastAsia"/>
          <w:lang w:val="zh-CN"/>
        </w:rPr>
        <w:t>历史文化保护</w:t>
      </w:r>
      <w:bookmarkEnd w:id="79"/>
    </w:p>
    <w:p w14:paraId="058F7ECB" w14:textId="77777777" w:rsidR="00280812" w:rsidRDefault="00000000">
      <w:pPr>
        <w:pStyle w:val="a0"/>
        <w:ind w:left="0" w:firstLineChars="200" w:firstLine="640"/>
      </w:pPr>
      <w:r>
        <w:rPr>
          <w:rFonts w:hint="eastAsia"/>
        </w:rPr>
        <w:t>保护目标</w:t>
      </w:r>
    </w:p>
    <w:p w14:paraId="1A36674F" w14:textId="77777777" w:rsidR="00280812" w:rsidRDefault="00000000">
      <w:pPr>
        <w:spacing w:line="600" w:lineRule="exact"/>
        <w:ind w:firstLine="641"/>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加强文物保护利用和文化遗产保护传承。</w:t>
      </w:r>
      <w:r>
        <w:rPr>
          <w:rFonts w:ascii="仿宋_GB2312" w:eastAsia="仿宋_GB2312" w:hAnsi="仿宋_GB2312" w:cs="仿宋_GB2312" w:hint="eastAsia"/>
          <w:sz w:val="32"/>
          <w:szCs w:val="32"/>
        </w:rPr>
        <w:t>充分挖掘和保护各类历史文化资源，建立健全城乡历史文化遗产保护体系，创新完善保护制度和机制，强化对历史文化遗产的整体性保护，彰显铁盖乡的历史发展脉络和地域文化特征。</w:t>
      </w:r>
    </w:p>
    <w:p w14:paraId="6BB0852A" w14:textId="77777777" w:rsidR="00280812" w:rsidRDefault="00000000">
      <w:pPr>
        <w:pStyle w:val="a0"/>
        <w:ind w:left="0" w:firstLineChars="200" w:firstLine="640"/>
      </w:pPr>
      <w:r>
        <w:rPr>
          <w:rFonts w:hint="eastAsia"/>
        </w:rPr>
        <w:t>历史文化保护线</w:t>
      </w:r>
    </w:p>
    <w:p w14:paraId="52BD47A3" w14:textId="77777777" w:rsidR="00280812" w:rsidRDefault="00000000">
      <w:pPr>
        <w:spacing w:line="600" w:lineRule="exact"/>
        <w:ind w:firstLine="64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落实历史文化保护线。</w:t>
      </w:r>
      <w:r>
        <w:rPr>
          <w:rFonts w:ascii="仿宋_GB2312" w:eastAsia="仿宋_GB2312" w:hAnsi="仿宋_GB2312" w:cs="仿宋_GB2312" w:hint="eastAsia"/>
          <w:sz w:val="32"/>
          <w:szCs w:val="32"/>
        </w:rPr>
        <w:t>历史文化保护线面积3.81公顷，包括3处省级文物保护单位、2处县级文物保护单位的保护范围和建设控制地带范围边界，按相应法律法规和批复的保护规划进行保护管理。对于纳入历史文化遗产保护名录、但暂不具备历史文化保护线划定条件的，加强部门协同，及时落实动态补划，并及时纳入共和县国土空间规划“一张图”实施监督信息系统。</w:t>
      </w:r>
    </w:p>
    <w:p w14:paraId="39D3C38B" w14:textId="77777777" w:rsidR="00280812" w:rsidRDefault="00000000">
      <w:pPr>
        <w:pStyle w:val="a0"/>
        <w:ind w:left="0" w:firstLineChars="200" w:firstLine="640"/>
      </w:pPr>
      <w:r>
        <w:rPr>
          <w:rFonts w:hint="eastAsia"/>
        </w:rPr>
        <w:t>历史文化资源管控与利用</w:t>
      </w:r>
    </w:p>
    <w:p w14:paraId="58B195A1" w14:textId="77777777" w:rsidR="00280812" w:rsidRDefault="00000000">
      <w:pPr>
        <w:spacing w:line="600" w:lineRule="exact"/>
        <w:ind w:firstLine="641"/>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文物保护单位保护。</w:t>
      </w:r>
      <w:r>
        <w:rPr>
          <w:rFonts w:ascii="仿宋_GB2312" w:eastAsia="仿宋_GB2312" w:hAnsi="仿宋_GB2312" w:cs="仿宋_GB2312" w:hint="eastAsia"/>
          <w:sz w:val="32"/>
          <w:szCs w:val="32"/>
        </w:rPr>
        <w:t>省级文物保护单位</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处，分别是曲沟古城、</w:t>
      </w:r>
      <w:proofErr w:type="gramStart"/>
      <w:r>
        <w:rPr>
          <w:rFonts w:ascii="仿宋_GB2312" w:eastAsia="仿宋_GB2312" w:hAnsi="仿宋_GB2312" w:cs="仿宋_GB2312" w:hint="eastAsia"/>
          <w:sz w:val="32"/>
          <w:szCs w:val="32"/>
        </w:rPr>
        <w:t>托勒台遗址</w:t>
      </w:r>
      <w:proofErr w:type="gramEnd"/>
      <w:r>
        <w:rPr>
          <w:rFonts w:ascii="仿宋_GB2312" w:eastAsia="仿宋_GB2312" w:hAnsi="仿宋_GB2312" w:cs="仿宋_GB2312" w:hint="eastAsia"/>
          <w:sz w:val="32"/>
          <w:szCs w:val="32"/>
        </w:rPr>
        <w:t>和马汉</w:t>
      </w:r>
      <w:proofErr w:type="gramStart"/>
      <w:r>
        <w:rPr>
          <w:rFonts w:ascii="仿宋_GB2312" w:eastAsia="仿宋_GB2312" w:hAnsi="仿宋_GB2312" w:cs="仿宋_GB2312" w:hint="eastAsia"/>
          <w:sz w:val="32"/>
          <w:szCs w:val="32"/>
        </w:rPr>
        <w:t>台北坎沿西</w:t>
      </w:r>
      <w:proofErr w:type="gramEnd"/>
      <w:r>
        <w:rPr>
          <w:rFonts w:ascii="仿宋_GB2312" w:eastAsia="仿宋_GB2312" w:hAnsi="仿宋_GB2312" w:cs="仿宋_GB2312" w:hint="eastAsia"/>
          <w:sz w:val="32"/>
          <w:szCs w:val="32"/>
        </w:rPr>
        <w:t>遗址；县级文物保护单位</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处，即红山顶遗址和</w:t>
      </w:r>
      <w:proofErr w:type="gramStart"/>
      <w:r>
        <w:rPr>
          <w:rFonts w:ascii="仿宋_GB2312" w:eastAsia="仿宋_GB2312" w:hAnsi="仿宋_GB2312" w:cs="仿宋_GB2312" w:hint="eastAsia"/>
          <w:sz w:val="32"/>
          <w:szCs w:val="32"/>
        </w:rPr>
        <w:t>窝堡台遗址</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严格遵照文物保护相关法律法规进行保护，不允许改变文物的原有状况、面貌及环境。</w:t>
      </w:r>
      <w:r>
        <w:rPr>
          <w:rFonts w:ascii="仿宋_GB2312" w:eastAsia="仿宋_GB2312" w:hAnsi="仿宋_GB2312" w:cs="仿宋_GB2312" w:hint="eastAsia"/>
          <w:sz w:val="32"/>
          <w:szCs w:val="32"/>
        </w:rPr>
        <w:t>如需进行必要的修缮，应在专家指导下遵循“不改变原状”的原则，做到“修旧如旧”，并严格按审核手续进行。县文物主管部门应及时公布尚未核定公布为</w:t>
      </w:r>
      <w:r>
        <w:rPr>
          <w:rFonts w:ascii="仿宋_GB2312" w:eastAsia="仿宋_GB2312" w:hAnsi="仿宋_GB2312" w:cs="仿宋_GB2312" w:hint="eastAsia"/>
          <w:sz w:val="32"/>
          <w:szCs w:val="32"/>
        </w:rPr>
        <w:lastRenderedPageBreak/>
        <w:t>文物保护单位的不可移动文物，不可移动文物应按照原址保护、整体保护、不改变文物原状的原则实施保护，并加强管理，继续予以登记并公布为文物保护单位。</w:t>
      </w:r>
    </w:p>
    <w:p w14:paraId="3624DCD5" w14:textId="77777777" w:rsidR="00280812" w:rsidRDefault="00000000">
      <w:pPr>
        <w:pStyle w:val="a7"/>
        <w:ind w:firstLine="640"/>
      </w:pPr>
      <w:r>
        <w:rPr>
          <w:rFonts w:ascii="楷体_GB2312" w:eastAsia="楷体_GB2312" w:hAnsi="楷体_GB2312" w:cs="楷体_GB2312" w:hint="eastAsia"/>
          <w:szCs w:val="32"/>
        </w:rPr>
        <w:t>保护传承非物质文化遗产和传统文化</w:t>
      </w:r>
      <w:r>
        <w:rPr>
          <w:rFonts w:ascii="楷体_GB2312" w:eastAsia="楷体_GB2312" w:hAnsi="楷体_GB2312" w:cs="楷体_GB2312" w:hint="eastAsia"/>
        </w:rPr>
        <w:t>。</w:t>
      </w:r>
      <w:proofErr w:type="gramStart"/>
      <w:r>
        <w:rPr>
          <w:rFonts w:hAnsi="仿宋_GB2312" w:cs="仿宋_GB2312" w:hint="eastAsia"/>
        </w:rPr>
        <w:t>共和县非物质</w:t>
      </w:r>
      <w:proofErr w:type="gramEnd"/>
      <w:r>
        <w:rPr>
          <w:rFonts w:hAnsi="仿宋_GB2312" w:cs="仿宋_GB2312" w:hint="eastAsia"/>
        </w:rPr>
        <w:t>文化遗产共29项，无特指属于铁盖乡的非遗，但多为藏族农牧民间的表演艺术、民间技艺、传统手工艺、社会风俗、习俗等，应进行系统保护。建立完善非物质文化遗产保护机构，制订非物质文化遗产管理规划，积极利用各类公共空间、广场，积极开发非物质文化遗产和传统文化为主要内容的旅游活动，提供小型博物馆、传统艺术表演场所、藏式餐厅、藏式旅馆等适宜的文化空间，建设具有展示、传承功能的非</w:t>
      </w:r>
      <w:proofErr w:type="gramStart"/>
      <w:r>
        <w:rPr>
          <w:rFonts w:hAnsi="仿宋_GB2312" w:cs="仿宋_GB2312" w:hint="eastAsia"/>
        </w:rPr>
        <w:t>遗保护</w:t>
      </w:r>
      <w:proofErr w:type="gramEnd"/>
      <w:r>
        <w:rPr>
          <w:rFonts w:hAnsi="仿宋_GB2312" w:cs="仿宋_GB2312" w:hint="eastAsia"/>
        </w:rPr>
        <w:t>传承场所，定期举办非物质文化遗产节庆活动。</w:t>
      </w:r>
    </w:p>
    <w:p w14:paraId="4DF1F856" w14:textId="77777777" w:rsidR="00280812" w:rsidRDefault="00000000">
      <w:pPr>
        <w:pStyle w:val="2"/>
        <w:numPr>
          <w:ilvl w:val="0"/>
          <w:numId w:val="9"/>
        </w:numPr>
        <w:rPr>
          <w:lang w:val="zh-CN"/>
        </w:rPr>
      </w:pPr>
      <w:bookmarkStart w:id="80" w:name="_Toc209177594"/>
      <w:r>
        <w:rPr>
          <w:rFonts w:hint="eastAsia"/>
          <w:lang w:val="zh-CN"/>
        </w:rPr>
        <w:t>景观风貌引导</w:t>
      </w:r>
      <w:bookmarkEnd w:id="80"/>
    </w:p>
    <w:p w14:paraId="56D0CDD0" w14:textId="77777777" w:rsidR="00280812" w:rsidRDefault="00000000">
      <w:pPr>
        <w:pStyle w:val="a0"/>
        <w:ind w:left="0" w:firstLineChars="200" w:firstLine="640"/>
      </w:pPr>
      <w:r>
        <w:rPr>
          <w:rFonts w:hint="eastAsia"/>
        </w:rPr>
        <w:t>风貌定位</w:t>
      </w:r>
    </w:p>
    <w:p w14:paraId="6CE8B465" w14:textId="77777777" w:rsidR="00280812" w:rsidRDefault="00000000">
      <w:pPr>
        <w:pStyle w:val="a7"/>
        <w:ind w:firstLine="640"/>
      </w:pPr>
      <w:bookmarkStart w:id="81" w:name="_Hlk148543855"/>
      <w:r>
        <w:rPr>
          <w:rFonts w:hint="eastAsia"/>
        </w:rPr>
        <w:t>根据铁盖乡的自然资源本底特征和文化特色，形成“沙湖相映、蓝绿融合”的总体风貌定位。</w:t>
      </w:r>
      <w:bookmarkEnd w:id="81"/>
    </w:p>
    <w:p w14:paraId="7B0CF1DC" w14:textId="77777777" w:rsidR="00280812" w:rsidRDefault="00000000">
      <w:pPr>
        <w:pStyle w:val="a0"/>
        <w:ind w:left="0" w:firstLineChars="200" w:firstLine="640"/>
      </w:pPr>
      <w:r>
        <w:rPr>
          <w:rFonts w:hint="eastAsia"/>
        </w:rPr>
        <w:t>风貌分区</w:t>
      </w:r>
    </w:p>
    <w:p w14:paraId="12AA856C" w14:textId="77777777" w:rsidR="00280812" w:rsidRDefault="00000000">
      <w:pPr>
        <w:pStyle w:val="a7"/>
        <w:ind w:firstLine="640"/>
      </w:pPr>
      <w:bookmarkStart w:id="82" w:name="_Hlk148277735"/>
      <w:r>
        <w:rPr>
          <w:rFonts w:ascii="楷体" w:eastAsia="楷体" w:hAnsi="楷体" w:hint="eastAsia"/>
          <w:szCs w:val="32"/>
        </w:rPr>
        <w:t>规划形成“一心两带三区多点”的景观风貌分区。</w:t>
      </w:r>
      <w:bookmarkEnd w:id="82"/>
      <w:r>
        <w:rPr>
          <w:rFonts w:hint="eastAsia"/>
        </w:rPr>
        <w:t>“一心”即铁盖乡集镇；“两带”为两条景观带，即沿黄生态景观带和魅力人文景观带；“三区”为三个景观风貌区，即人文景观风貌区、高原草原风貌区、沿黄沙漠风貌区；“多点”由人文要素和自然要素组成的景观节点，</w:t>
      </w:r>
      <w:proofErr w:type="gramStart"/>
      <w:r>
        <w:rPr>
          <w:rFonts w:hint="eastAsia"/>
        </w:rPr>
        <w:t>如</w:t>
      </w:r>
      <w:r>
        <w:rPr>
          <w:rFonts w:hint="eastAsia"/>
        </w:rPr>
        <w:lastRenderedPageBreak/>
        <w:t>特色</w:t>
      </w:r>
      <w:proofErr w:type="gramEnd"/>
      <w:r>
        <w:rPr>
          <w:rFonts w:hint="eastAsia"/>
        </w:rPr>
        <w:t>居民点、恰恰湾休闲旅游节点、龙羊湖西岸休闲旅游节点、农家风情园节点等。</w:t>
      </w:r>
    </w:p>
    <w:p w14:paraId="24D09485" w14:textId="77777777" w:rsidR="00280812" w:rsidRDefault="00000000">
      <w:pPr>
        <w:pStyle w:val="a0"/>
        <w:ind w:left="0" w:firstLineChars="200" w:firstLine="640"/>
      </w:pPr>
      <w:proofErr w:type="gramStart"/>
      <w:r>
        <w:rPr>
          <w:rFonts w:hint="eastAsia"/>
        </w:rPr>
        <w:t>乡域风貌</w:t>
      </w:r>
      <w:proofErr w:type="gramEnd"/>
      <w:r>
        <w:rPr>
          <w:rFonts w:hint="eastAsia"/>
        </w:rPr>
        <w:t>管控</w:t>
      </w:r>
    </w:p>
    <w:p w14:paraId="27A7A0A4" w14:textId="77777777" w:rsidR="00280812" w:rsidRDefault="00000000">
      <w:pPr>
        <w:pStyle w:val="a7"/>
        <w:ind w:firstLine="640"/>
      </w:pPr>
      <w:r>
        <w:rPr>
          <w:rFonts w:ascii="楷体" w:eastAsia="楷体" w:hAnsi="楷体" w:hint="eastAsia"/>
          <w:szCs w:val="32"/>
        </w:rPr>
        <w:t>建筑风格及体量。</w:t>
      </w:r>
      <w:r>
        <w:rPr>
          <w:rFonts w:hint="eastAsia"/>
        </w:rPr>
        <w:t>公共建筑以藏式传统公共建筑基本特征为基础，适度展示时代精神。居住建筑的风格以庄</w:t>
      </w:r>
      <w:proofErr w:type="gramStart"/>
      <w:r>
        <w:rPr>
          <w:rFonts w:hint="eastAsia"/>
        </w:rPr>
        <w:t>廓基本</w:t>
      </w:r>
      <w:proofErr w:type="gramEnd"/>
      <w:r>
        <w:rPr>
          <w:rFonts w:hint="eastAsia"/>
        </w:rPr>
        <w:t>形态为主。</w:t>
      </w:r>
    </w:p>
    <w:p w14:paraId="64CA88B2" w14:textId="77777777" w:rsidR="00280812" w:rsidRDefault="00000000">
      <w:pPr>
        <w:pStyle w:val="a7"/>
        <w:ind w:firstLine="640"/>
      </w:pPr>
      <w:r>
        <w:rPr>
          <w:rFonts w:ascii="楷体" w:eastAsia="楷体" w:hAnsi="楷体" w:hint="eastAsia"/>
          <w:szCs w:val="32"/>
        </w:rPr>
        <w:t>建筑朝向。</w:t>
      </w:r>
      <w:r>
        <w:rPr>
          <w:rFonts w:hint="eastAsia"/>
        </w:rPr>
        <w:t>延续现有肌理，以南北向为主。</w:t>
      </w:r>
    </w:p>
    <w:p w14:paraId="48EAFBB1" w14:textId="77777777" w:rsidR="00280812" w:rsidRDefault="00000000">
      <w:pPr>
        <w:pStyle w:val="a7"/>
        <w:ind w:firstLine="640"/>
      </w:pPr>
      <w:r>
        <w:rPr>
          <w:rFonts w:ascii="楷体" w:eastAsia="楷体" w:hAnsi="楷体" w:hint="eastAsia"/>
          <w:szCs w:val="32"/>
        </w:rPr>
        <w:t>建筑高度。</w:t>
      </w:r>
      <w:r>
        <w:rPr>
          <w:rFonts w:hint="eastAsia"/>
        </w:rPr>
        <w:t>临街商业建筑层数一般应设置为</w:t>
      </w:r>
      <w:r>
        <w:rPr>
          <w:rFonts w:hAnsi="仿宋_GB2312" w:cs="仿宋_GB2312" w:hint="eastAsia"/>
        </w:rPr>
        <w:t>1-2层，重要的公共建筑及标志性建筑不得超过4层，居住建筑以1-2</w:t>
      </w:r>
      <w:r>
        <w:rPr>
          <w:rFonts w:hint="eastAsia"/>
        </w:rPr>
        <w:t>层为宜。</w:t>
      </w:r>
    </w:p>
    <w:p w14:paraId="79C685C5" w14:textId="77777777" w:rsidR="00280812" w:rsidRDefault="00000000">
      <w:pPr>
        <w:pStyle w:val="a7"/>
        <w:ind w:firstLine="640"/>
      </w:pPr>
      <w:r>
        <w:rPr>
          <w:rFonts w:ascii="楷体" w:eastAsia="楷体" w:hAnsi="楷体" w:hint="eastAsia"/>
          <w:szCs w:val="32"/>
        </w:rPr>
        <w:t>建筑色彩。</w:t>
      </w:r>
      <w:r>
        <w:rPr>
          <w:rFonts w:hint="eastAsia"/>
        </w:rPr>
        <w:t>铁盖乡临街建筑总体风格为典型的藏式风格，色彩以藏民族传统的土黄色为主。规划建筑主体色为灰色和土黄色，辅助色为白色，用于建筑外墙面，点缀色为藏红色和灰色，用于女儿墙、窗框窗楣等建筑细部装饰。</w:t>
      </w:r>
    </w:p>
    <w:p w14:paraId="53B34B85" w14:textId="77777777" w:rsidR="00280812" w:rsidRDefault="00000000">
      <w:pPr>
        <w:pStyle w:val="a7"/>
        <w:ind w:firstLine="640"/>
      </w:pPr>
      <w:r>
        <w:rPr>
          <w:rFonts w:ascii="楷体" w:eastAsia="楷体" w:hAnsi="楷体" w:hint="eastAsia"/>
          <w:szCs w:val="32"/>
        </w:rPr>
        <w:t>建筑立面设计。</w:t>
      </w:r>
      <w:r>
        <w:rPr>
          <w:rFonts w:hint="eastAsia"/>
        </w:rPr>
        <w:t>外墙采用土黄色和灰色文化石贴面与白色外墙结合，部分墙体做藏式风格上小下大的斜墙面，体现厚重、坚固的建筑特色。</w:t>
      </w:r>
      <w:r>
        <w:rPr>
          <w:rFonts w:hint="eastAsia"/>
        </w:rPr>
        <w:br w:type="page"/>
      </w:r>
    </w:p>
    <w:p w14:paraId="20651851" w14:textId="77777777" w:rsidR="00280812" w:rsidRDefault="00000000">
      <w:pPr>
        <w:pStyle w:val="1"/>
        <w:ind w:left="0" w:firstLine="0"/>
      </w:pPr>
      <w:bookmarkStart w:id="83" w:name="_Toc209177595"/>
      <w:r>
        <w:rPr>
          <w:rFonts w:hint="eastAsia"/>
        </w:rPr>
        <w:lastRenderedPageBreak/>
        <w:t>强化空间统筹，增强基础设施</w:t>
      </w:r>
      <w:bookmarkStart w:id="84" w:name="_Hlk188015980"/>
      <w:r>
        <w:rPr>
          <w:rFonts w:hint="eastAsia"/>
        </w:rPr>
        <w:t>支撑保障能力</w:t>
      </w:r>
      <w:bookmarkEnd w:id="83"/>
      <w:bookmarkEnd w:id="84"/>
    </w:p>
    <w:p w14:paraId="61629D96" w14:textId="77777777" w:rsidR="00280812" w:rsidRDefault="00000000">
      <w:pPr>
        <w:pStyle w:val="2"/>
        <w:numPr>
          <w:ilvl w:val="0"/>
          <w:numId w:val="12"/>
        </w:numPr>
        <w:rPr>
          <w:lang w:val="zh-CN"/>
        </w:rPr>
      </w:pPr>
      <w:bookmarkStart w:id="85" w:name="_Toc209177596"/>
      <w:r>
        <w:rPr>
          <w:rFonts w:hint="eastAsia"/>
          <w:lang w:val="zh-CN"/>
        </w:rPr>
        <w:t>综合交通规划</w:t>
      </w:r>
      <w:bookmarkEnd w:id="85"/>
    </w:p>
    <w:p w14:paraId="5074CB14" w14:textId="77777777" w:rsidR="00280812" w:rsidRDefault="00000000">
      <w:pPr>
        <w:pStyle w:val="a0"/>
        <w:ind w:left="0" w:firstLineChars="200" w:firstLine="640"/>
      </w:pPr>
      <w:r>
        <w:rPr>
          <w:rFonts w:hint="eastAsia"/>
        </w:rPr>
        <w:t>综合交通网络布局</w:t>
      </w:r>
    </w:p>
    <w:p w14:paraId="3D15D483" w14:textId="77777777" w:rsidR="00280812" w:rsidRDefault="00000000">
      <w:pPr>
        <w:pStyle w:val="a7"/>
        <w:ind w:firstLine="640"/>
        <w:rPr>
          <w:rFonts w:hAnsi="仿宋_GB2312" w:cs="仿宋_GB2312" w:hint="eastAsia"/>
          <w:szCs w:val="32"/>
        </w:rPr>
      </w:pPr>
      <w:bookmarkStart w:id="86" w:name="_Hlk148277819"/>
      <w:r>
        <w:rPr>
          <w:rFonts w:ascii="楷体" w:eastAsia="楷体" w:hAnsi="楷体" w:hint="eastAsia"/>
          <w:szCs w:val="32"/>
        </w:rPr>
        <w:t>综合交通体系。</w:t>
      </w:r>
      <w:r>
        <w:rPr>
          <w:rFonts w:hAnsi="仿宋_GB2312" w:cs="仿宋_GB2312" w:hint="eastAsia"/>
          <w:szCs w:val="32"/>
        </w:rPr>
        <w:t>以“一横”即县道X307，“两纵”即县道X307和X310、村道C181和C170为骨架，构建“一横两纵”综合交通体系，实现互联互通、覆盖成网。</w:t>
      </w:r>
    </w:p>
    <w:p w14:paraId="4C8F7D2B" w14:textId="77777777" w:rsidR="00280812" w:rsidRDefault="00000000">
      <w:pPr>
        <w:pStyle w:val="a7"/>
        <w:ind w:firstLine="640"/>
        <w:rPr>
          <w:rFonts w:hAnsi="仿宋_GB2312" w:cs="仿宋_GB2312" w:hint="eastAsia"/>
          <w:szCs w:val="32"/>
        </w:rPr>
      </w:pPr>
      <w:r>
        <w:rPr>
          <w:rFonts w:ascii="楷体" w:eastAsia="楷体" w:hAnsi="楷体" w:hint="eastAsia"/>
          <w:szCs w:val="32"/>
        </w:rPr>
        <w:t>预留铁路廊道。</w:t>
      </w:r>
      <w:r>
        <w:rPr>
          <w:rFonts w:hAnsi="仿宋_GB2312" w:cs="仿宋_GB2312" w:hint="eastAsia"/>
          <w:szCs w:val="32"/>
        </w:rPr>
        <w:t>落实上位规划对重要交通的空间布局和控制要求，规划预留“青藏滇”铁路廊道，预控线路等级为国铁Ι级单线、电气化铁路，预留复线扩能改造条件。根据《铁路运输安全保护条例》，铁路线路安全保护区的范围，从铁路线路路堤坡脚、路堑坡顶或者铁路桥梁外侧起向外的距离分别为：城市市区不少于8米、城市郊区不少于10米、村镇居民居住区不少于其他地区不少于15米。铁路线路安全保护区与公路建筑控制区、河道管理范围或者水利工程管理和保护范围重叠的，由铁路管理机构和公路管理机构、水利行政主管部门协商后，报县级以上地方人民政府划定。</w:t>
      </w:r>
    </w:p>
    <w:p w14:paraId="4C322E93" w14:textId="77777777" w:rsidR="00280812" w:rsidRDefault="00000000">
      <w:pPr>
        <w:pStyle w:val="a7"/>
        <w:ind w:firstLine="640"/>
        <w:rPr>
          <w:rFonts w:hAnsi="仿宋_GB2312" w:cs="仿宋_GB2312" w:hint="eastAsia"/>
          <w:szCs w:val="32"/>
        </w:rPr>
      </w:pPr>
      <w:r>
        <w:rPr>
          <w:rFonts w:ascii="楷体" w:eastAsia="楷体" w:hAnsi="楷体" w:hint="eastAsia"/>
          <w:szCs w:val="32"/>
        </w:rPr>
        <w:t>建设高标准公路网络。</w:t>
      </w:r>
      <w:r>
        <w:rPr>
          <w:rFonts w:hAnsi="仿宋_GB2312" w:cs="仿宋_GB2312" w:hint="eastAsia"/>
          <w:szCs w:val="32"/>
        </w:rPr>
        <w:t>规划保留现状G0613</w:t>
      </w:r>
      <w:proofErr w:type="gramStart"/>
      <w:r>
        <w:rPr>
          <w:rFonts w:hAnsi="仿宋_GB2312" w:cs="仿宋_GB2312" w:hint="eastAsia"/>
          <w:szCs w:val="32"/>
        </w:rPr>
        <w:t>共玉高速公路</w:t>
      </w:r>
      <w:proofErr w:type="gramEnd"/>
      <w:r>
        <w:rPr>
          <w:rFonts w:hAnsi="仿宋_GB2312" w:cs="仿宋_GB2312" w:hint="eastAsia"/>
          <w:szCs w:val="32"/>
        </w:rPr>
        <w:t>，改扩建国道</w:t>
      </w:r>
      <w:r>
        <w:rPr>
          <w:rFonts w:hAnsi="仿宋_GB2312" w:cs="仿宋_GB2312"/>
          <w:szCs w:val="32"/>
        </w:rPr>
        <w:t>G214</w:t>
      </w:r>
      <w:r>
        <w:rPr>
          <w:rFonts w:hAnsi="仿宋_GB2312" w:cs="仿宋_GB2312" w:hint="eastAsia"/>
          <w:szCs w:val="32"/>
        </w:rPr>
        <w:t>、国道</w:t>
      </w:r>
      <w:r>
        <w:rPr>
          <w:rFonts w:hAnsi="仿宋_GB2312" w:cs="仿宋_GB2312"/>
          <w:szCs w:val="32"/>
        </w:rPr>
        <w:t>G572</w:t>
      </w:r>
      <w:r>
        <w:rPr>
          <w:rFonts w:hAnsi="仿宋_GB2312" w:cs="仿宋_GB2312" w:hint="eastAsia"/>
          <w:szCs w:val="32"/>
        </w:rPr>
        <w:t>、共和县铁盖乡至G572沿黄公路，新建泽库-</w:t>
      </w:r>
      <w:proofErr w:type="gramStart"/>
      <w:r>
        <w:rPr>
          <w:rFonts w:hAnsi="仿宋_GB2312" w:cs="仿宋_GB2312" w:hint="eastAsia"/>
          <w:szCs w:val="32"/>
        </w:rPr>
        <w:t>切泉沟</w:t>
      </w:r>
      <w:proofErr w:type="gramEnd"/>
      <w:r>
        <w:rPr>
          <w:rFonts w:hAnsi="仿宋_GB2312" w:cs="仿宋_GB2312" w:hint="eastAsia"/>
          <w:szCs w:val="32"/>
        </w:rPr>
        <w:t>高速公路。至2035年，普通国、省干线全部达到二级公路及以上技术标准。根据《公路安全保护条例》，公路建筑控制区的范围从公路用地外缘起向外的距离标准为国道不少于20米、省道不少于15米、县</w:t>
      </w:r>
      <w:r>
        <w:rPr>
          <w:rFonts w:hAnsi="仿宋_GB2312" w:cs="仿宋_GB2312" w:hint="eastAsia"/>
          <w:szCs w:val="32"/>
        </w:rPr>
        <w:lastRenderedPageBreak/>
        <w:t>道不少于10米、乡道不少于5米；新建村镇、开发区、学校和货物集散地、大型商业网点、农贸市场等公共场所，与公路建筑控制区边界外缘的距离应当符合国道、省道不少于50米，县道、乡道不少于20米，并尽可能在公路一侧建设。</w:t>
      </w:r>
    </w:p>
    <w:p w14:paraId="04E420D3" w14:textId="77777777" w:rsidR="00280812" w:rsidRDefault="00000000">
      <w:pPr>
        <w:pStyle w:val="a0"/>
        <w:ind w:left="0" w:firstLineChars="200" w:firstLine="640"/>
      </w:pPr>
      <w:r>
        <w:rPr>
          <w:rFonts w:hint="eastAsia"/>
        </w:rPr>
        <w:t>农村公路网规划</w:t>
      </w:r>
    </w:p>
    <w:p w14:paraId="6CE9F17D" w14:textId="77777777" w:rsidR="00280812" w:rsidRDefault="00000000">
      <w:pPr>
        <w:pStyle w:val="a7"/>
        <w:ind w:firstLine="640"/>
        <w:rPr>
          <w:rFonts w:hAnsi="仿宋_GB2312" w:cs="仿宋_GB2312" w:hint="eastAsia"/>
          <w:szCs w:val="32"/>
        </w:rPr>
      </w:pPr>
      <w:r>
        <w:rPr>
          <w:rFonts w:hAnsi="仿宋_GB2312" w:cs="仿宋_GB2312" w:hint="eastAsia"/>
          <w:szCs w:val="32"/>
        </w:rPr>
        <w:t>推进“四好农村路”建设，实现各行政村通双车道四级公路比例达100%，提升农村公路覆盖广度和深度。规划农村公路主要包括X307和X310等2条县道，C101-C110、C112、C170和C181等23条村道。以改善农村公路通行条件，至2035年，县道全部达到三级公路及以上技术标准，村道全部达到四级公路及以上技术标准。规划县道红线宽度控制在8-12米，村道红线宽度控制在3-5米。</w:t>
      </w:r>
    </w:p>
    <w:bookmarkEnd w:id="86"/>
    <w:p w14:paraId="0788EA8A" w14:textId="77777777" w:rsidR="00280812" w:rsidRDefault="00000000">
      <w:pPr>
        <w:pStyle w:val="a0"/>
        <w:ind w:left="0" w:firstLineChars="200" w:firstLine="640"/>
      </w:pPr>
      <w:r>
        <w:rPr>
          <w:rFonts w:hint="eastAsia"/>
        </w:rPr>
        <w:t>城乡公交一体化</w:t>
      </w:r>
    </w:p>
    <w:p w14:paraId="642CEB02" w14:textId="77777777" w:rsidR="00280812" w:rsidRDefault="00000000">
      <w:pPr>
        <w:pStyle w:val="a7"/>
        <w:ind w:firstLine="640"/>
        <w:rPr>
          <w:rFonts w:hAnsi="仿宋_GB2312" w:cs="仿宋_GB2312" w:hint="eastAsia"/>
          <w:szCs w:val="32"/>
        </w:rPr>
      </w:pPr>
      <w:bookmarkStart w:id="87" w:name="_Hlk155187357"/>
      <w:r>
        <w:rPr>
          <w:rFonts w:hAnsi="仿宋_GB2312" w:cs="仿宋_GB2312" w:hint="eastAsia"/>
          <w:szCs w:val="32"/>
        </w:rPr>
        <w:t>推进城乡客运服务一体化，改善农村交通出行条件，提高城乡客运公共服务均等化水平。加快补齐乡村公交设施短板，提升改造</w:t>
      </w:r>
      <w:bookmarkEnd w:id="87"/>
      <w:r>
        <w:rPr>
          <w:rFonts w:hAnsi="仿宋_GB2312" w:cs="仿宋_GB2312" w:hint="eastAsia"/>
          <w:szCs w:val="32"/>
        </w:rPr>
        <w:t>铁盖乡公路客运车站，作为共和县客运交通三级枢纽，服务共和县域城乡交通集散，有条件的行政村按需布置村级客运招呼站点，连接乡级镇、县城和其他乡镇的公共线路。</w:t>
      </w:r>
    </w:p>
    <w:p w14:paraId="7D570716" w14:textId="77777777" w:rsidR="00280812" w:rsidRDefault="00000000">
      <w:pPr>
        <w:pStyle w:val="a0"/>
        <w:ind w:left="0" w:firstLineChars="200" w:firstLine="640"/>
      </w:pPr>
      <w:r>
        <w:rPr>
          <w:rFonts w:hint="eastAsia"/>
        </w:rPr>
        <w:t>现代化物流体系</w:t>
      </w:r>
    </w:p>
    <w:p w14:paraId="0EB7CB82" w14:textId="77777777" w:rsidR="00280812" w:rsidRDefault="00000000">
      <w:pPr>
        <w:pStyle w:val="a7"/>
        <w:ind w:firstLine="640"/>
        <w:rPr>
          <w:rFonts w:hAnsi="仿宋_GB2312" w:cs="仿宋_GB2312" w:hint="eastAsia"/>
          <w:szCs w:val="32"/>
        </w:rPr>
      </w:pPr>
      <w:r>
        <w:rPr>
          <w:rFonts w:ascii="楷体_GB2312" w:eastAsia="楷体_GB2312" w:hAnsi="楷体_GB2312" w:cs="楷体_GB2312" w:hint="eastAsia"/>
          <w:szCs w:val="32"/>
        </w:rPr>
        <w:t>构建完善的物流运输网络。</w:t>
      </w:r>
      <w:r>
        <w:rPr>
          <w:rFonts w:hAnsi="仿宋_GB2312" w:cs="仿宋_GB2312" w:hint="eastAsia"/>
          <w:szCs w:val="32"/>
        </w:rPr>
        <w:t>结合县域城镇物流体系规划，以县道X307和X310为纽带，在集镇设置一处物流集散</w:t>
      </w:r>
      <w:r>
        <w:rPr>
          <w:rFonts w:hAnsi="仿宋_GB2312" w:cs="仿宋_GB2312" w:hint="eastAsia"/>
          <w:szCs w:val="32"/>
        </w:rPr>
        <w:lastRenderedPageBreak/>
        <w:t>点。依托覆盖乡域的综合立体交通网，构建公路为主的物流运输网络。</w:t>
      </w:r>
    </w:p>
    <w:p w14:paraId="6E3DE3F1" w14:textId="77777777" w:rsidR="00280812" w:rsidRDefault="00000000">
      <w:pPr>
        <w:pStyle w:val="a7"/>
        <w:ind w:firstLine="640"/>
        <w:rPr>
          <w:rFonts w:hAnsi="仿宋_GB2312" w:cs="仿宋_GB2312" w:hint="eastAsia"/>
          <w:szCs w:val="32"/>
        </w:rPr>
      </w:pPr>
      <w:r>
        <w:rPr>
          <w:rFonts w:ascii="楷体_GB2312" w:eastAsia="楷体_GB2312" w:hAnsi="楷体_GB2312" w:cs="楷体_GB2312" w:hint="eastAsia"/>
          <w:szCs w:val="32"/>
        </w:rPr>
        <w:t>完善乡村物流配送网络。</w:t>
      </w:r>
      <w:r>
        <w:rPr>
          <w:rFonts w:hAnsi="仿宋_GB2312" w:cs="仿宋_GB2312" w:hint="eastAsia"/>
          <w:szCs w:val="32"/>
        </w:rPr>
        <w:t>加快推进农村生产生活资料配送网络建设，完善乡、村两级农村物流配送体系，有效解决乡村物流“最后一公里”问题。鼓励邮政和快递服务网点合作，推动客运班线代运货</w:t>
      </w:r>
      <w:proofErr w:type="gramStart"/>
      <w:r>
        <w:rPr>
          <w:rFonts w:hAnsi="仿宋_GB2312" w:cs="仿宋_GB2312" w:hint="eastAsia"/>
          <w:szCs w:val="32"/>
        </w:rPr>
        <w:t>邮</w:t>
      </w:r>
      <w:proofErr w:type="gramEnd"/>
      <w:r>
        <w:rPr>
          <w:rFonts w:hAnsi="仿宋_GB2312" w:cs="仿宋_GB2312" w:hint="eastAsia"/>
          <w:szCs w:val="32"/>
        </w:rPr>
        <w:t>小件，实现优势互补，拓展服务范围。</w:t>
      </w:r>
    </w:p>
    <w:p w14:paraId="3C52049C" w14:textId="77777777" w:rsidR="00280812" w:rsidRDefault="00000000">
      <w:pPr>
        <w:pStyle w:val="a0"/>
        <w:ind w:left="0" w:firstLineChars="200" w:firstLine="640"/>
      </w:pPr>
      <w:r>
        <w:rPr>
          <w:rFonts w:hint="eastAsia"/>
        </w:rPr>
        <w:t>低空基础设施建设</w:t>
      </w:r>
    </w:p>
    <w:p w14:paraId="0A6AC126" w14:textId="77777777" w:rsidR="00280812" w:rsidRDefault="00000000">
      <w:pPr>
        <w:pStyle w:val="a7"/>
        <w:ind w:firstLine="640"/>
        <w:rPr>
          <w:rFonts w:hAnsi="仿宋_GB2312" w:cs="仿宋_GB2312" w:hint="eastAsia"/>
          <w:szCs w:val="32"/>
        </w:rPr>
      </w:pPr>
      <w:r>
        <w:rPr>
          <w:rFonts w:hAnsi="仿宋_GB2312" w:cs="仿宋_GB2312" w:hint="eastAsia"/>
          <w:szCs w:val="32"/>
        </w:rPr>
        <w:t>根据需求和发展条件，规划预留低空飞行综合服务站，在重点人口聚集区建设临时起降场（点），适时开通周边州（市）机场通用航空短途运输航线。</w:t>
      </w:r>
    </w:p>
    <w:p w14:paraId="1106FA48" w14:textId="77777777" w:rsidR="00280812" w:rsidRDefault="00000000">
      <w:pPr>
        <w:pStyle w:val="a7"/>
        <w:ind w:firstLine="640"/>
        <w:rPr>
          <w:rFonts w:hAnsi="仿宋_GB2312" w:cs="仿宋_GB2312" w:hint="eastAsia"/>
          <w:szCs w:val="32"/>
        </w:rPr>
      </w:pPr>
      <w:r>
        <w:rPr>
          <w:rFonts w:hAnsi="仿宋_GB2312" w:cs="仿宋_GB2312" w:hint="eastAsia"/>
          <w:szCs w:val="32"/>
        </w:rPr>
        <w:t>加快推进</w:t>
      </w:r>
      <w:proofErr w:type="gramStart"/>
      <w:r>
        <w:rPr>
          <w:rFonts w:hAnsi="仿宋_GB2312" w:cs="仿宋_GB2312" w:hint="eastAsia"/>
          <w:szCs w:val="32"/>
        </w:rPr>
        <w:t>低空智</w:t>
      </w:r>
      <w:proofErr w:type="gramEnd"/>
      <w:r>
        <w:rPr>
          <w:rFonts w:hAnsi="仿宋_GB2312" w:cs="仿宋_GB2312" w:hint="eastAsia"/>
          <w:szCs w:val="32"/>
        </w:rPr>
        <w:t>联网新型信息基础设施建设，建立跨部门、跨领域的安全监管体系，基本形成布局合理、功能完善、运行高效的低空基础设施。</w:t>
      </w:r>
    </w:p>
    <w:p w14:paraId="7374C60E" w14:textId="77777777" w:rsidR="00280812" w:rsidRDefault="00000000">
      <w:pPr>
        <w:pStyle w:val="2"/>
        <w:numPr>
          <w:ilvl w:val="0"/>
          <w:numId w:val="9"/>
        </w:numPr>
        <w:rPr>
          <w:lang w:val="zh-CN"/>
        </w:rPr>
      </w:pPr>
      <w:bookmarkStart w:id="88" w:name="_Toc209177597"/>
      <w:r>
        <w:rPr>
          <w:rFonts w:hint="eastAsia"/>
          <w:lang w:val="zh-CN"/>
        </w:rPr>
        <w:t>水利基础设施网络</w:t>
      </w:r>
      <w:bookmarkEnd w:id="88"/>
    </w:p>
    <w:p w14:paraId="61DF09D6" w14:textId="77777777" w:rsidR="00280812" w:rsidRDefault="00000000">
      <w:pPr>
        <w:pStyle w:val="a0"/>
        <w:ind w:left="0" w:firstLineChars="200" w:firstLine="640"/>
      </w:pPr>
      <w:r>
        <w:rPr>
          <w:rFonts w:hint="eastAsia"/>
        </w:rPr>
        <w:t>镇村水利工程</w:t>
      </w:r>
    </w:p>
    <w:p w14:paraId="60E690CE" w14:textId="77777777" w:rsidR="00280812" w:rsidRDefault="00000000">
      <w:pPr>
        <w:pStyle w:val="a7"/>
        <w:ind w:firstLine="640"/>
        <w:rPr>
          <w:rFonts w:hAnsi="仿宋_GB2312" w:cs="仿宋_GB2312" w:hint="eastAsia"/>
          <w:szCs w:val="32"/>
        </w:rPr>
      </w:pPr>
      <w:r>
        <w:rPr>
          <w:rFonts w:hAnsi="仿宋_GB2312" w:cs="仿宋_GB2312" w:hint="eastAsia"/>
          <w:szCs w:val="32"/>
        </w:rPr>
        <w:t>提高水资源保障能力，配合推进共和盆地及其外围水资源配置工程(三滩引水生态综合治理一期工程)，坚守水资源开发利用控制、用水效率控制、水功能区限制纳污的“三条红线”。</w:t>
      </w:r>
    </w:p>
    <w:p w14:paraId="084E2633" w14:textId="77777777" w:rsidR="00280812" w:rsidRDefault="00000000">
      <w:pPr>
        <w:pStyle w:val="a7"/>
        <w:ind w:firstLine="640"/>
        <w:rPr>
          <w:rFonts w:hAnsi="仿宋_GB2312" w:cs="仿宋_GB2312" w:hint="eastAsia"/>
          <w:szCs w:val="32"/>
        </w:rPr>
      </w:pPr>
      <w:r>
        <w:rPr>
          <w:rFonts w:hAnsi="仿宋_GB2312" w:cs="仿宋_GB2312" w:hint="eastAsia"/>
          <w:szCs w:val="32"/>
        </w:rPr>
        <w:t>加快推进人畜饮水安全工程建设，提高农村供水保障。加快推进实施马汉台黄河灌区改造工程、灌溉水渠维修改造建设项目，增强灌区供水能力，提高水资源利用效率。</w:t>
      </w:r>
    </w:p>
    <w:p w14:paraId="0E71D751" w14:textId="77777777" w:rsidR="00280812" w:rsidRDefault="00000000">
      <w:pPr>
        <w:pStyle w:val="2"/>
        <w:numPr>
          <w:ilvl w:val="0"/>
          <w:numId w:val="9"/>
        </w:numPr>
        <w:rPr>
          <w:lang w:val="zh-CN"/>
        </w:rPr>
      </w:pPr>
      <w:bookmarkStart w:id="89" w:name="_Toc209177598"/>
      <w:r>
        <w:rPr>
          <w:rFonts w:hint="eastAsia"/>
          <w:lang w:val="zh-CN"/>
        </w:rPr>
        <w:lastRenderedPageBreak/>
        <w:t>基础设施规划</w:t>
      </w:r>
      <w:bookmarkEnd w:id="89"/>
    </w:p>
    <w:p w14:paraId="405DEAEF" w14:textId="77777777" w:rsidR="00280812" w:rsidRDefault="00000000">
      <w:pPr>
        <w:pStyle w:val="a0"/>
        <w:ind w:left="0" w:firstLineChars="200" w:firstLine="640"/>
      </w:pPr>
      <w:r>
        <w:rPr>
          <w:rFonts w:hint="eastAsia"/>
        </w:rPr>
        <w:t>给水工程</w:t>
      </w:r>
    </w:p>
    <w:p w14:paraId="501D3B51"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水源。</w:t>
      </w:r>
      <w:r>
        <w:rPr>
          <w:rFonts w:ascii="仿宋_GB2312" w:eastAsia="仿宋_GB2312" w:hAnsi="仿宋_GB2312" w:cs="仿宋_GB2312" w:hint="eastAsia"/>
          <w:sz w:val="32"/>
          <w:szCs w:val="32"/>
        </w:rPr>
        <w:t>规划水源近期以地下水为主、远期通过“三滩”引水进行供水。由地下水作为供水水源时，</w:t>
      </w:r>
      <w:proofErr w:type="gramStart"/>
      <w:r>
        <w:rPr>
          <w:rFonts w:ascii="仿宋_GB2312" w:eastAsia="仿宋_GB2312" w:hAnsi="仿宋_GB2312" w:cs="仿宋_GB2312" w:hint="eastAsia"/>
          <w:sz w:val="32"/>
          <w:szCs w:val="32"/>
        </w:rPr>
        <w:t>须设置</w:t>
      </w:r>
      <w:proofErr w:type="gramEnd"/>
      <w:r>
        <w:rPr>
          <w:rFonts w:ascii="仿宋_GB2312" w:eastAsia="仿宋_GB2312" w:hAnsi="仿宋_GB2312" w:cs="仿宋_GB2312" w:hint="eastAsia"/>
          <w:sz w:val="32"/>
          <w:szCs w:val="32"/>
        </w:rPr>
        <w:t>相应的地下水处理工艺，符合《生活饮用水卫生标准（GB 5749-200</w:t>
      </w:r>
      <w:r>
        <w:rPr>
          <w:rFonts w:ascii="仿宋_GB2312" w:eastAsia="仿宋_GB2312" w:hAnsi="仿宋_GB2312" w:cs="仿宋_GB2312"/>
          <w:sz w:val="32"/>
          <w:szCs w:val="32"/>
        </w:rPr>
        <w:t>22</w:t>
      </w:r>
      <w:r>
        <w:rPr>
          <w:rFonts w:ascii="仿宋_GB2312" w:eastAsia="仿宋_GB2312" w:hAnsi="仿宋_GB2312" w:cs="仿宋_GB2312" w:hint="eastAsia"/>
          <w:sz w:val="32"/>
          <w:szCs w:val="32"/>
        </w:rPr>
        <w:t>）》后方可供给用户使用。</w:t>
      </w:r>
    </w:p>
    <w:p w14:paraId="0705FC2C"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用水量预测。</w:t>
      </w:r>
      <w:r>
        <w:rPr>
          <w:rFonts w:ascii="仿宋_GB2312" w:eastAsia="仿宋_GB2312" w:hAnsi="仿宋_GB2312" w:cs="仿宋_GB2312" w:hint="eastAsia"/>
          <w:sz w:val="32"/>
          <w:szCs w:val="32"/>
        </w:rPr>
        <w:t>根据《镇规划标准（GB 50188-2007）》规范，并结合《青海省用水定额》，综合考虑当地的实际情况，至2035年，预测铁盖乡常住人口最高日用水量约380立方米/人 日。</w:t>
      </w:r>
    </w:p>
    <w:p w14:paraId="4833A843"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供水设施。</w:t>
      </w:r>
      <w:r>
        <w:rPr>
          <w:rFonts w:ascii="仿宋_GB2312" w:eastAsia="仿宋_GB2312" w:hAnsi="仿宋_GB2312" w:cs="仿宋_GB2312" w:hint="eastAsia"/>
          <w:sz w:val="32"/>
          <w:szCs w:val="32"/>
        </w:rPr>
        <w:t>规划在七台村新建铁盖乡给水厂，用地规模约0.4公顷；其他各村庄根据实际需求设置小型给水设施，相邻较近的可以共建供水设施，以满足村民用水需求。</w:t>
      </w:r>
    </w:p>
    <w:p w14:paraId="60811B48"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管网布局。集镇</w:t>
      </w:r>
      <w:r>
        <w:rPr>
          <w:rFonts w:ascii="仿宋_GB2312" w:eastAsia="仿宋_GB2312" w:hAnsi="仿宋_GB2312" w:cs="仿宋_GB2312" w:hint="eastAsia"/>
          <w:sz w:val="32"/>
          <w:szCs w:val="32"/>
        </w:rPr>
        <w:t>供水管网近期考虑节约投资可布置成枝状网，远期采取环状网和枝状网相结合的布置形式。中心村和基层村给水管网采取相邻中心村、基层村供水干线联网，保证供水安全可靠性。</w:t>
      </w:r>
    </w:p>
    <w:p w14:paraId="0F4F3FC5" w14:textId="77777777" w:rsidR="00280812" w:rsidRDefault="00000000">
      <w:pPr>
        <w:pStyle w:val="a7"/>
        <w:ind w:firstLine="640"/>
        <w:rPr>
          <w:rFonts w:hAnsi="仿宋_GB2312" w:cs="仿宋_GB2312" w:hint="eastAsia"/>
          <w:szCs w:val="32"/>
        </w:rPr>
      </w:pPr>
      <w:r>
        <w:rPr>
          <w:rFonts w:ascii="楷体_GB2312" w:eastAsia="楷体_GB2312" w:hAnsi="楷体_GB2312" w:cs="楷体_GB2312" w:hint="eastAsia"/>
          <w:szCs w:val="32"/>
        </w:rPr>
        <w:t>水质标准。</w:t>
      </w:r>
      <w:r>
        <w:rPr>
          <w:rFonts w:hAnsi="仿宋_GB2312" w:cs="仿宋_GB2312" w:hint="eastAsia"/>
          <w:szCs w:val="32"/>
        </w:rPr>
        <w:t>通过建立水源保护区，制定水源地保护区污染治理管理办法，建立水源地保护区监督管理机制，建立水源地监测预警系统，建立健全水源地应急机制等措施，保证水源水质满足《生活饮用水卫生标准（GB5749-2022）》要求。</w:t>
      </w:r>
    </w:p>
    <w:p w14:paraId="7FAB4A40" w14:textId="77777777" w:rsidR="00280812" w:rsidRDefault="00000000">
      <w:pPr>
        <w:pStyle w:val="a0"/>
        <w:ind w:left="0" w:firstLineChars="200" w:firstLine="640"/>
      </w:pPr>
      <w:r>
        <w:rPr>
          <w:rFonts w:hint="eastAsia"/>
        </w:rPr>
        <w:lastRenderedPageBreak/>
        <w:t>排水工程</w:t>
      </w:r>
    </w:p>
    <w:p w14:paraId="12BAFB25"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排水体制。</w:t>
      </w:r>
      <w:r>
        <w:rPr>
          <w:rFonts w:ascii="仿宋_GB2312" w:eastAsia="仿宋_GB2312" w:hAnsi="仿宋_GB2312" w:cs="仿宋_GB2312" w:hint="eastAsia"/>
          <w:sz w:val="32"/>
          <w:szCs w:val="32"/>
        </w:rPr>
        <w:t>集镇规划采用不完全分流排水体制，雨水就近排入道路边沟或低洼绿地。各村排水体制近期采用雨污合流制，逐步实现不完全分流制。</w:t>
      </w:r>
    </w:p>
    <w:p w14:paraId="23075192" w14:textId="77777777" w:rsidR="00280812" w:rsidRDefault="00000000">
      <w:pPr>
        <w:spacing w:line="600" w:lineRule="exact"/>
        <w:ind w:firstLine="641"/>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污水量预测。</w:t>
      </w:r>
      <w:r>
        <w:rPr>
          <w:rFonts w:ascii="仿宋_GB2312" w:eastAsia="仿宋_GB2312" w:hAnsi="仿宋_GB2312" w:cs="仿宋_GB2312" w:hint="eastAsia"/>
          <w:sz w:val="32"/>
          <w:szCs w:val="32"/>
        </w:rPr>
        <w:t>农村污水量包括农村生活污水量，另外计入地下水渗入量。结合铁盖乡的用水实际情况，铁盖乡的平均日污水量约199.50立方米/日。</w:t>
      </w:r>
    </w:p>
    <w:p w14:paraId="3D55BD87" w14:textId="77777777" w:rsidR="00280812" w:rsidRDefault="00000000">
      <w:pPr>
        <w:spacing w:line="600" w:lineRule="exact"/>
        <w:ind w:firstLine="641"/>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污水处理设施。</w:t>
      </w:r>
      <w:r>
        <w:rPr>
          <w:rFonts w:ascii="仿宋_GB2312" w:eastAsia="仿宋_GB2312" w:hAnsi="仿宋_GB2312" w:cs="仿宋_GB2312" w:hint="eastAsia"/>
          <w:sz w:val="32"/>
          <w:szCs w:val="32"/>
        </w:rPr>
        <w:t>至2035年，有条件且位于集镇污水处理站服务范围内的村庄，应建设和完善污水收集系统，将污水纳入集镇污水处理站集中处理；位于集镇污水处理站服务范围外的村庄，有条件时应联村</w:t>
      </w:r>
      <w:proofErr w:type="gramStart"/>
      <w:r>
        <w:rPr>
          <w:rFonts w:ascii="仿宋_GB2312" w:eastAsia="仿宋_GB2312" w:hAnsi="仿宋_GB2312" w:cs="仿宋_GB2312" w:hint="eastAsia"/>
          <w:sz w:val="32"/>
          <w:szCs w:val="32"/>
        </w:rPr>
        <w:t>或单村建设</w:t>
      </w:r>
      <w:proofErr w:type="gramEnd"/>
      <w:r>
        <w:rPr>
          <w:rFonts w:ascii="仿宋_GB2312" w:eastAsia="仿宋_GB2312" w:hAnsi="仿宋_GB2312" w:cs="仿宋_GB2312" w:hint="eastAsia"/>
          <w:sz w:val="32"/>
          <w:szCs w:val="32"/>
        </w:rPr>
        <w:t>小型污水处理设施，污水处理站出水应符合《青海省农村生活污水处理排放标准》DB63/T1777的有关规定；污水处理站出水用于农田灌溉时，应符合现行国家标准《农田灌溉水质标准》（GB5084）的有关规定。</w:t>
      </w:r>
    </w:p>
    <w:p w14:paraId="36D63DB6" w14:textId="77777777" w:rsidR="00280812" w:rsidRDefault="00000000">
      <w:pPr>
        <w:pStyle w:val="a0"/>
        <w:ind w:left="0" w:firstLineChars="200" w:firstLine="640"/>
      </w:pPr>
      <w:r>
        <w:rPr>
          <w:rFonts w:hint="eastAsia"/>
        </w:rPr>
        <w:t>电力工程</w:t>
      </w:r>
    </w:p>
    <w:p w14:paraId="709A2C25" w14:textId="77777777" w:rsidR="00280812" w:rsidRDefault="00000000">
      <w:pPr>
        <w:spacing w:line="600" w:lineRule="exact"/>
        <w:ind w:firstLine="641"/>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电源。</w:t>
      </w:r>
      <w:r>
        <w:rPr>
          <w:rFonts w:ascii="仿宋_GB2312" w:eastAsia="仿宋_GB2312" w:hAnsi="仿宋_GB2312" w:cs="仿宋_GB2312" w:hint="eastAsia"/>
          <w:sz w:val="32"/>
          <w:szCs w:val="32"/>
        </w:rPr>
        <w:t>规划接马汉台1</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千伏变电站。</w:t>
      </w:r>
    </w:p>
    <w:p w14:paraId="08EC2E31" w14:textId="77777777" w:rsidR="00280812" w:rsidRDefault="00000000">
      <w:pPr>
        <w:spacing w:line="600" w:lineRule="exact"/>
        <w:ind w:firstLine="641"/>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用电负荷预测。</w:t>
      </w:r>
      <w:r>
        <w:rPr>
          <w:rFonts w:ascii="仿宋_GB2312" w:eastAsia="仿宋_GB2312" w:hAnsi="仿宋_GB2312" w:cs="仿宋_GB2312" w:hint="eastAsia"/>
          <w:sz w:val="32"/>
          <w:szCs w:val="32"/>
        </w:rPr>
        <w:t>预测全乡综合用电负荷约1280千瓦。</w:t>
      </w:r>
    </w:p>
    <w:p w14:paraId="4AB50B85" w14:textId="77777777" w:rsidR="00280812" w:rsidRDefault="00000000">
      <w:pPr>
        <w:spacing w:line="600" w:lineRule="exact"/>
        <w:ind w:firstLine="641"/>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供电线路。</w:t>
      </w:r>
      <w:proofErr w:type="gramStart"/>
      <w:r>
        <w:rPr>
          <w:rFonts w:ascii="仿宋_GB2312" w:eastAsia="仿宋_GB2312" w:hAnsi="仿宋_GB2312" w:cs="仿宋_GB2312" w:hint="eastAsia"/>
          <w:sz w:val="32"/>
          <w:szCs w:val="32"/>
        </w:rPr>
        <w:t>低压出线</w:t>
      </w:r>
      <w:proofErr w:type="gramEnd"/>
      <w:r>
        <w:rPr>
          <w:rFonts w:ascii="仿宋_GB2312" w:eastAsia="仿宋_GB2312" w:hAnsi="仿宋_GB2312" w:cs="仿宋_GB2312" w:hint="eastAsia"/>
          <w:sz w:val="32"/>
          <w:szCs w:val="32"/>
        </w:rPr>
        <w:t>应沿区内道路或绿化带敷设，为解决线路与建筑物间的安全距离，缓和绿化与电力架空线路的矛盾，减少外力破坏事故，提高供电可靠性，建议采用架空绝缘导线。</w:t>
      </w:r>
    </w:p>
    <w:p w14:paraId="1E87DC5D" w14:textId="77777777" w:rsidR="00280812" w:rsidRDefault="00000000">
      <w:pPr>
        <w:spacing w:line="600" w:lineRule="exact"/>
        <w:ind w:firstLine="641"/>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配电设施。</w:t>
      </w:r>
      <w:r>
        <w:rPr>
          <w:rFonts w:ascii="仿宋_GB2312" w:eastAsia="仿宋_GB2312" w:hAnsi="仿宋_GB2312" w:cs="仿宋_GB2312" w:hint="eastAsia"/>
          <w:sz w:val="32"/>
          <w:szCs w:val="32"/>
        </w:rPr>
        <w:t>对村庄现状杆式</w:t>
      </w:r>
      <w:proofErr w:type="gramStart"/>
      <w:r>
        <w:rPr>
          <w:rFonts w:ascii="仿宋_GB2312" w:eastAsia="仿宋_GB2312" w:hAnsi="仿宋_GB2312" w:cs="仿宋_GB2312" w:hint="eastAsia"/>
          <w:sz w:val="32"/>
          <w:szCs w:val="32"/>
        </w:rPr>
        <w:t>变进行</w:t>
      </w:r>
      <w:proofErr w:type="gramEnd"/>
      <w:r>
        <w:rPr>
          <w:rFonts w:ascii="仿宋_GB2312" w:eastAsia="仿宋_GB2312" w:hAnsi="仿宋_GB2312" w:cs="仿宋_GB2312" w:hint="eastAsia"/>
          <w:sz w:val="32"/>
          <w:szCs w:val="32"/>
        </w:rPr>
        <w:t>评估，对老旧杆式</w:t>
      </w:r>
      <w:proofErr w:type="gramStart"/>
      <w:r>
        <w:rPr>
          <w:rFonts w:ascii="仿宋_GB2312" w:eastAsia="仿宋_GB2312" w:hAnsi="仿宋_GB2312" w:cs="仿宋_GB2312" w:hint="eastAsia"/>
          <w:sz w:val="32"/>
          <w:szCs w:val="32"/>
        </w:rPr>
        <w:lastRenderedPageBreak/>
        <w:t>变进行</w:t>
      </w:r>
      <w:proofErr w:type="gramEnd"/>
      <w:r>
        <w:rPr>
          <w:rFonts w:ascii="仿宋_GB2312" w:eastAsia="仿宋_GB2312" w:hAnsi="仿宋_GB2312" w:cs="仿宋_GB2312" w:hint="eastAsia"/>
          <w:sz w:val="32"/>
          <w:szCs w:val="32"/>
        </w:rPr>
        <w:t>更换，保障用电可靠性。</w:t>
      </w:r>
    </w:p>
    <w:p w14:paraId="67B4D5BB" w14:textId="77777777" w:rsidR="00280812" w:rsidRDefault="00000000">
      <w:pPr>
        <w:spacing w:line="600" w:lineRule="exact"/>
        <w:ind w:firstLine="641"/>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电力</w:t>
      </w:r>
      <w:proofErr w:type="gramStart"/>
      <w:r>
        <w:rPr>
          <w:rFonts w:ascii="楷体_GB2312" w:eastAsia="楷体_GB2312" w:hAnsi="楷体_GB2312" w:cs="楷体_GB2312" w:hint="eastAsia"/>
          <w:sz w:val="32"/>
          <w:szCs w:val="32"/>
        </w:rPr>
        <w:t>廊道管</w:t>
      </w:r>
      <w:proofErr w:type="gramEnd"/>
      <w:r>
        <w:rPr>
          <w:rFonts w:ascii="楷体_GB2312" w:eastAsia="楷体_GB2312" w:hAnsi="楷体_GB2312" w:cs="楷体_GB2312" w:hint="eastAsia"/>
          <w:sz w:val="32"/>
          <w:szCs w:val="32"/>
        </w:rPr>
        <w:t>控。</w:t>
      </w:r>
      <w:r>
        <w:rPr>
          <w:rFonts w:ascii="仿宋_GB2312" w:eastAsia="仿宋_GB2312" w:hAnsi="仿宋_GB2312" w:cs="仿宋_GB2312" w:hint="eastAsia"/>
          <w:sz w:val="32"/>
          <w:szCs w:val="32"/>
        </w:rPr>
        <w:t>高压廊道保护与管</w:t>
      </w:r>
      <w:proofErr w:type="gramStart"/>
      <w:r>
        <w:rPr>
          <w:rFonts w:ascii="仿宋_GB2312" w:eastAsia="仿宋_GB2312" w:hAnsi="仿宋_GB2312" w:cs="仿宋_GB2312" w:hint="eastAsia"/>
          <w:sz w:val="32"/>
          <w:szCs w:val="32"/>
        </w:rPr>
        <w:t>控符合</w:t>
      </w:r>
      <w:proofErr w:type="gramEnd"/>
      <w:r>
        <w:rPr>
          <w:rFonts w:ascii="仿宋_GB2312" w:eastAsia="仿宋_GB2312" w:hAnsi="仿宋_GB2312" w:cs="仿宋_GB2312" w:hint="eastAsia"/>
          <w:sz w:val="32"/>
          <w:szCs w:val="32"/>
        </w:rPr>
        <w:t>相关规范要求，在高压廊道内，不得新建建筑物、构筑物。</w:t>
      </w:r>
      <w:r>
        <w:rPr>
          <w:rFonts w:ascii="仿宋_GB2312" w:eastAsia="仿宋_GB2312" w:hAnsi="仿宋_GB2312" w:cs="仿宋_GB2312" w:hint="eastAsia"/>
          <w:sz w:val="32"/>
          <w:szCs w:val="32"/>
          <w:u w:val="single"/>
        </w:rPr>
        <w:t>7</w:t>
      </w:r>
      <w:r>
        <w:rPr>
          <w:rFonts w:ascii="仿宋_GB2312" w:eastAsia="仿宋_GB2312" w:hAnsi="仿宋_GB2312" w:cs="仿宋_GB2312"/>
          <w:sz w:val="32"/>
          <w:szCs w:val="32"/>
          <w:u w:val="single"/>
        </w:rPr>
        <w:t>50</w:t>
      </w:r>
      <w:r>
        <w:rPr>
          <w:rFonts w:ascii="仿宋_GB2312" w:eastAsia="仿宋_GB2312" w:hAnsi="仿宋_GB2312" w:cs="仿宋_GB2312" w:hint="eastAsia"/>
          <w:sz w:val="32"/>
          <w:szCs w:val="32"/>
          <w:u w:val="single"/>
        </w:rPr>
        <w:t>千伏高压走廊宽度按9</w:t>
      </w:r>
      <w:r>
        <w:rPr>
          <w:rFonts w:ascii="仿宋_GB2312" w:eastAsia="仿宋_GB2312" w:hAnsi="仿宋_GB2312" w:cs="仿宋_GB2312"/>
          <w:sz w:val="32"/>
          <w:szCs w:val="32"/>
          <w:u w:val="single"/>
        </w:rPr>
        <w:t>0-11</w:t>
      </w:r>
      <w:r>
        <w:rPr>
          <w:rFonts w:ascii="仿宋_GB2312" w:eastAsia="仿宋_GB2312" w:hAnsi="仿宋_GB2312" w:cs="仿宋_GB2312" w:hint="eastAsia"/>
          <w:sz w:val="32"/>
          <w:szCs w:val="32"/>
          <w:u w:val="single"/>
        </w:rPr>
        <w:t>米控制，330千伏高压走廊宽度按3</w:t>
      </w:r>
      <w:r>
        <w:rPr>
          <w:rFonts w:ascii="仿宋_GB2312" w:eastAsia="仿宋_GB2312" w:hAnsi="仿宋_GB2312" w:cs="仿宋_GB2312"/>
          <w:sz w:val="32"/>
          <w:szCs w:val="32"/>
          <w:u w:val="single"/>
        </w:rPr>
        <w:t>5-</w:t>
      </w:r>
      <w:r>
        <w:rPr>
          <w:rFonts w:ascii="仿宋_GB2312" w:eastAsia="仿宋_GB2312" w:hAnsi="仿宋_GB2312" w:cs="仿宋_GB2312" w:hint="eastAsia"/>
          <w:sz w:val="32"/>
          <w:szCs w:val="32"/>
          <w:u w:val="single"/>
        </w:rPr>
        <w:t>45米控制，110千伏高压走廊宽度</w:t>
      </w:r>
      <w:r>
        <w:rPr>
          <w:rFonts w:ascii="仿宋_GB2312" w:eastAsia="仿宋_GB2312" w:hAnsi="仿宋_GB2312" w:cs="仿宋_GB2312"/>
          <w:sz w:val="32"/>
          <w:szCs w:val="32"/>
          <w:u w:val="single"/>
        </w:rPr>
        <w:t>15-25</w:t>
      </w:r>
      <w:r>
        <w:rPr>
          <w:rFonts w:ascii="仿宋_GB2312" w:eastAsia="仿宋_GB2312" w:hAnsi="仿宋_GB2312" w:cs="仿宋_GB2312" w:hint="eastAsia"/>
          <w:sz w:val="32"/>
          <w:szCs w:val="32"/>
          <w:u w:val="single"/>
        </w:rPr>
        <w:t>米，</w:t>
      </w:r>
      <w:r>
        <w:rPr>
          <w:rFonts w:ascii="仿宋_GB2312" w:eastAsia="仿宋_GB2312" w:hAnsi="仿宋_GB2312" w:cs="仿宋_GB2312"/>
          <w:sz w:val="32"/>
          <w:szCs w:val="32"/>
          <w:u w:val="single"/>
        </w:rPr>
        <w:t>35</w:t>
      </w:r>
      <w:r>
        <w:rPr>
          <w:rFonts w:ascii="仿宋_GB2312" w:eastAsia="仿宋_GB2312" w:hAnsi="仿宋_GB2312" w:cs="仿宋_GB2312" w:hint="eastAsia"/>
          <w:sz w:val="32"/>
          <w:szCs w:val="32"/>
          <w:u w:val="single"/>
        </w:rPr>
        <w:t>千伏线路高压线走廊宽度</w:t>
      </w:r>
      <w:r>
        <w:rPr>
          <w:rFonts w:ascii="仿宋_GB2312" w:eastAsia="仿宋_GB2312" w:hAnsi="仿宋_GB2312" w:cs="仿宋_GB2312"/>
          <w:sz w:val="32"/>
          <w:szCs w:val="32"/>
          <w:u w:val="single"/>
        </w:rPr>
        <w:t>15-20</w:t>
      </w:r>
      <w:r>
        <w:rPr>
          <w:rFonts w:ascii="仿宋_GB2312" w:eastAsia="仿宋_GB2312" w:hAnsi="仿宋_GB2312" w:cs="仿宋_GB2312" w:hint="eastAsia"/>
          <w:sz w:val="32"/>
          <w:szCs w:val="32"/>
          <w:u w:val="single"/>
        </w:rPr>
        <w:t>米。</w:t>
      </w:r>
      <w:r>
        <w:rPr>
          <w:rFonts w:ascii="仿宋_GB2312" w:eastAsia="仿宋_GB2312" w:hAnsi="仿宋_GB2312" w:cs="仿宋_GB2312" w:hint="eastAsia"/>
          <w:sz w:val="32"/>
          <w:szCs w:val="32"/>
        </w:rPr>
        <w:t>高压架空线路尽量选用节省占地的紧凑型塔型，并采用同塔双回(或多回)路架设。</w:t>
      </w:r>
    </w:p>
    <w:p w14:paraId="3814EBAE" w14:textId="77777777" w:rsidR="00280812" w:rsidRDefault="00000000">
      <w:pPr>
        <w:pStyle w:val="a0"/>
        <w:ind w:left="0" w:firstLineChars="200" w:firstLine="640"/>
      </w:pPr>
      <w:r>
        <w:rPr>
          <w:rFonts w:hint="eastAsia"/>
        </w:rPr>
        <w:t>通信工程</w:t>
      </w:r>
    </w:p>
    <w:p w14:paraId="680A7CC5" w14:textId="77777777" w:rsidR="00280812" w:rsidRDefault="00000000">
      <w:pPr>
        <w:pStyle w:val="a7"/>
        <w:ind w:firstLine="640"/>
      </w:pPr>
      <w:bookmarkStart w:id="90" w:name="_Hlk148279530"/>
      <w:r>
        <w:rPr>
          <w:rFonts w:ascii="楷体_GB2312" w:eastAsia="楷体_GB2312" w:hAnsi="楷体_GB2312" w:cs="楷体_GB2312" w:hint="eastAsia"/>
        </w:rPr>
        <w:t>通信设施。</w:t>
      </w:r>
      <w:r>
        <w:rPr>
          <w:rFonts w:hint="eastAsia"/>
        </w:rPr>
        <w:t>规划利用现状的邮政局作为乡域的邮政服务中心。各中心村尽量以相邻村庄为单位设邮政营业网点及小型模块局。在基层村，由周边村庄通信设施提供服务。</w:t>
      </w:r>
    </w:p>
    <w:p w14:paraId="6C845344" w14:textId="77777777" w:rsidR="00280812" w:rsidRDefault="00000000">
      <w:pPr>
        <w:pStyle w:val="a7"/>
        <w:ind w:firstLine="640"/>
      </w:pPr>
      <w:r>
        <w:rPr>
          <w:rFonts w:ascii="楷体_GB2312" w:eastAsia="楷体_GB2312" w:hAnsi="楷体_GB2312" w:cs="楷体_GB2312" w:hint="eastAsia"/>
        </w:rPr>
        <w:t>通信管网。</w:t>
      </w:r>
      <w:r>
        <w:rPr>
          <w:rFonts w:hint="eastAsia"/>
        </w:rPr>
        <w:t>电信主管线由集镇电信管网引入，电信通道沿路送向各村庄。互联网逐步实现光纤入户要求。逐步推进“三网”融合，铺设5G通信基站，实现资源的共建共享。同时提供快递接收和寄送服务，打通农村地区的电商网络。</w:t>
      </w:r>
    </w:p>
    <w:bookmarkEnd w:id="90"/>
    <w:p w14:paraId="6C62F3E8" w14:textId="77777777" w:rsidR="00280812" w:rsidRDefault="00000000">
      <w:pPr>
        <w:pStyle w:val="a0"/>
        <w:ind w:left="0" w:firstLineChars="200" w:firstLine="640"/>
      </w:pPr>
      <w:r>
        <w:rPr>
          <w:rFonts w:hint="eastAsia"/>
        </w:rPr>
        <w:t>燃气工程</w:t>
      </w:r>
    </w:p>
    <w:p w14:paraId="7AC8806F" w14:textId="77777777" w:rsidR="00280812" w:rsidRDefault="00000000">
      <w:pPr>
        <w:pStyle w:val="a7"/>
        <w:ind w:firstLine="640"/>
      </w:pPr>
      <w:r>
        <w:rPr>
          <w:rFonts w:hint="eastAsia"/>
        </w:rPr>
        <w:t>铁盖乡集镇近期采用罐装液化石油气为主要</w:t>
      </w:r>
      <w:r>
        <w:t>燃料</w:t>
      </w:r>
      <w:r>
        <w:rPr>
          <w:rFonts w:hint="eastAsia"/>
        </w:rPr>
        <w:t>，远期自共和县综合门站接燃气管道。其他村庄以电力、液化石油气为主。</w:t>
      </w:r>
    </w:p>
    <w:p w14:paraId="2E901AA3" w14:textId="77777777" w:rsidR="00280812" w:rsidRDefault="00000000">
      <w:pPr>
        <w:pStyle w:val="a7"/>
        <w:ind w:firstLine="640"/>
      </w:pPr>
      <w:r>
        <w:rPr>
          <w:rFonts w:hint="eastAsia"/>
        </w:rPr>
        <w:t>鼓励发展以</w:t>
      </w:r>
      <w:r>
        <w:t>秸秆</w:t>
      </w:r>
      <w:r>
        <w:rPr>
          <w:rFonts w:hint="eastAsia"/>
        </w:rPr>
        <w:t>、人畜粪便、沼气等</w:t>
      </w:r>
      <w:r>
        <w:t>为原料</w:t>
      </w:r>
      <w:r>
        <w:rPr>
          <w:rFonts w:hint="eastAsia"/>
        </w:rPr>
        <w:t>的</w:t>
      </w:r>
      <w:r>
        <w:t>生物质能利用，提升农村清洁用能比例。</w:t>
      </w:r>
    </w:p>
    <w:p w14:paraId="0516F7E7" w14:textId="77777777" w:rsidR="00280812" w:rsidRDefault="00000000">
      <w:pPr>
        <w:pStyle w:val="a0"/>
        <w:ind w:left="0" w:firstLineChars="200" w:firstLine="640"/>
      </w:pPr>
      <w:r>
        <w:rPr>
          <w:rFonts w:hint="eastAsia"/>
        </w:rPr>
        <w:lastRenderedPageBreak/>
        <w:t>供热工程</w:t>
      </w:r>
    </w:p>
    <w:p w14:paraId="63EAF673" w14:textId="77777777" w:rsidR="00280812" w:rsidRDefault="00000000">
      <w:pPr>
        <w:pStyle w:val="a7"/>
        <w:ind w:firstLine="640"/>
        <w:rPr>
          <w:rFonts w:hAnsi="仿宋_GB2312" w:cs="仿宋_GB2312" w:hint="eastAsia"/>
          <w:szCs w:val="32"/>
        </w:rPr>
      </w:pPr>
      <w:r>
        <w:rPr>
          <w:rFonts w:hAnsi="仿宋_GB2312" w:cs="仿宋_GB2312" w:hint="eastAsia"/>
          <w:szCs w:val="32"/>
        </w:rPr>
        <w:t>铁盖</w:t>
      </w:r>
      <w:proofErr w:type="gramStart"/>
      <w:r>
        <w:rPr>
          <w:rFonts w:hAnsi="仿宋_GB2312" w:cs="仿宋_GB2312" w:hint="eastAsia"/>
          <w:szCs w:val="32"/>
        </w:rPr>
        <w:t>乡域规划</w:t>
      </w:r>
      <w:proofErr w:type="gramEnd"/>
      <w:r>
        <w:rPr>
          <w:rFonts w:hAnsi="仿宋_GB2312" w:cs="仿宋_GB2312" w:hint="eastAsia"/>
          <w:szCs w:val="32"/>
        </w:rPr>
        <w:t>采用“煤改电”取暖方式，推广普及电力、太阳能等清洁取暖方式，逐步将农村地区散烧煤、</w:t>
      </w:r>
      <w:proofErr w:type="gramStart"/>
      <w:r>
        <w:rPr>
          <w:rFonts w:hAnsi="仿宋_GB2312" w:cs="仿宋_GB2312" w:hint="eastAsia"/>
          <w:szCs w:val="32"/>
        </w:rPr>
        <w:t>粪区域</w:t>
      </w:r>
      <w:proofErr w:type="gramEnd"/>
      <w:r>
        <w:rPr>
          <w:rFonts w:hAnsi="仿宋_GB2312" w:cs="仿宋_GB2312" w:hint="eastAsia"/>
          <w:szCs w:val="32"/>
        </w:rPr>
        <w:t>全部改为清洁取暖。</w:t>
      </w:r>
      <w:r>
        <w:rPr>
          <w:rFonts w:hAnsi="仿宋_GB2312" w:cs="仿宋_GB2312"/>
          <w:szCs w:val="32"/>
        </w:rPr>
        <w:t>适当提高可再生能源供热比例，提高</w:t>
      </w:r>
      <w:r>
        <w:rPr>
          <w:rFonts w:hAnsi="仿宋_GB2312" w:cs="仿宋_GB2312" w:hint="eastAsia"/>
          <w:szCs w:val="32"/>
        </w:rPr>
        <w:t>建筑能源利用效率。加快绿色节能建筑和农用节能技术、产品推广步伐。大力发展“互联网+”智慧能源，加快提升能源消费智能化、高效化水平。</w:t>
      </w:r>
    </w:p>
    <w:p w14:paraId="07471B7B" w14:textId="77777777" w:rsidR="00280812" w:rsidRDefault="00000000">
      <w:pPr>
        <w:pStyle w:val="a0"/>
        <w:ind w:left="0" w:firstLineChars="200" w:firstLine="640"/>
      </w:pPr>
      <w:r>
        <w:rPr>
          <w:rFonts w:hint="eastAsia"/>
        </w:rPr>
        <w:t>环卫工程</w:t>
      </w:r>
    </w:p>
    <w:p w14:paraId="09E5DA1B" w14:textId="77777777" w:rsidR="00280812" w:rsidRDefault="00000000">
      <w:pPr>
        <w:pStyle w:val="a7"/>
        <w:ind w:firstLine="640"/>
      </w:pPr>
      <w:bookmarkStart w:id="91" w:name="_Hlk163724056"/>
      <w:bookmarkStart w:id="92" w:name="_Hlk148279706"/>
      <w:r>
        <w:rPr>
          <w:rFonts w:ascii="楷体_GB2312" w:eastAsia="楷体_GB2312" w:hAnsi="楷体_GB2312" w:cs="楷体_GB2312" w:hint="eastAsia"/>
        </w:rPr>
        <w:t>垃圾收运体系。</w:t>
      </w:r>
      <w:r>
        <w:rPr>
          <w:rFonts w:hint="eastAsia"/>
        </w:rPr>
        <w:t>规划采用“户收集-村转运-乡处理”的生活垃圾收运体系。</w:t>
      </w:r>
    </w:p>
    <w:p w14:paraId="1F744C43" w14:textId="77777777" w:rsidR="00280812"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生活垃圾规模预测。</w:t>
      </w:r>
      <w:r>
        <w:rPr>
          <w:rFonts w:ascii="仿宋_GB2312" w:eastAsia="仿宋_GB2312" w:hAnsi="仿宋_GB2312" w:cs="仿宋_GB2312" w:hint="eastAsia"/>
          <w:sz w:val="32"/>
          <w:szCs w:val="32"/>
        </w:rPr>
        <w:t>规划预测全乡生活垃圾最高日产量约3.2吨。</w:t>
      </w:r>
    </w:p>
    <w:p w14:paraId="5318E47B" w14:textId="77777777" w:rsidR="00280812" w:rsidRDefault="00000000">
      <w:pPr>
        <w:pStyle w:val="a7"/>
        <w:ind w:firstLine="640"/>
      </w:pPr>
      <w:r>
        <w:rPr>
          <w:rFonts w:ascii="楷体_GB2312" w:eastAsia="楷体_GB2312" w:hAnsi="楷体_GB2312" w:cs="楷体_GB2312" w:hint="eastAsia"/>
        </w:rPr>
        <w:t>环卫设施。</w:t>
      </w:r>
      <w:r>
        <w:rPr>
          <w:rFonts w:hint="eastAsia"/>
        </w:rPr>
        <w:t>规划新建</w:t>
      </w:r>
      <w:r>
        <w:t>2</w:t>
      </w:r>
      <w:r>
        <w:rPr>
          <w:rFonts w:hint="eastAsia"/>
        </w:rPr>
        <w:t>处垃圾填埋场，位于七台村和九道班，分别为</w:t>
      </w:r>
      <w:r>
        <w:t>1.34</w:t>
      </w:r>
      <w:r>
        <w:rPr>
          <w:rFonts w:hint="eastAsia"/>
        </w:rPr>
        <w:t>公顷和0</w:t>
      </w:r>
      <w:r>
        <w:t>.5</w:t>
      </w:r>
      <w:r>
        <w:rPr>
          <w:rFonts w:hint="eastAsia"/>
        </w:rPr>
        <w:t>公顷。</w:t>
      </w:r>
      <w:bookmarkEnd w:id="91"/>
      <w:r>
        <w:rPr>
          <w:rFonts w:hint="eastAsia"/>
        </w:rPr>
        <w:t>积极推进“厕所革命”，因地制宜开展农村厕所无害</w:t>
      </w:r>
      <w:proofErr w:type="gramStart"/>
      <w:r>
        <w:rPr>
          <w:rFonts w:hint="eastAsia"/>
        </w:rPr>
        <w:t>化卫生</w:t>
      </w:r>
      <w:proofErr w:type="gramEnd"/>
      <w:r>
        <w:rPr>
          <w:rFonts w:hint="eastAsia"/>
        </w:rPr>
        <w:t>改造，全面提升人居环境质量。提升改造现状公共厕所，并依托行政办公、学校、广场等人群密集场所设置节水型公共厕所；提升改造各村庄现状公共厕所，均采用水冲式</w:t>
      </w:r>
      <w:bookmarkEnd w:id="92"/>
      <w:r>
        <w:rPr>
          <w:rFonts w:hint="eastAsia"/>
        </w:rPr>
        <w:t>。</w:t>
      </w:r>
    </w:p>
    <w:p w14:paraId="4C631C76" w14:textId="77777777" w:rsidR="00280812" w:rsidRDefault="00000000">
      <w:pPr>
        <w:pStyle w:val="a7"/>
        <w:ind w:firstLine="640"/>
        <w:rPr>
          <w:rFonts w:ascii="楷体_GB2312" w:eastAsia="楷体_GB2312" w:hAnsi="楷体_GB2312" w:cs="楷体_GB2312" w:hint="eastAsia"/>
        </w:rPr>
      </w:pPr>
      <w:r>
        <w:rPr>
          <w:rFonts w:ascii="楷体_GB2312" w:eastAsia="楷体_GB2312" w:hAnsi="楷体_GB2312" w:cs="楷体_GB2312" w:hint="eastAsia"/>
        </w:rPr>
        <w:t>垃圾资源化利用。</w:t>
      </w:r>
      <w:r>
        <w:rPr>
          <w:rFonts w:hint="eastAsia"/>
        </w:rPr>
        <w:t>推进垃圾源头减量化、无害化和资源化利用，全面实施固废源头分类，鼓励社会专业企业参与垃圾分类与处理。至2035年，农村生活垃圾收运处理率达到100%，垃圾无害化处理率100%，垃圾资源化利用率40%。</w:t>
      </w:r>
    </w:p>
    <w:p w14:paraId="7D42917F" w14:textId="77777777" w:rsidR="00280812" w:rsidRDefault="00000000">
      <w:pPr>
        <w:pStyle w:val="a0"/>
        <w:ind w:left="0" w:firstLineChars="200" w:firstLine="640"/>
      </w:pPr>
      <w:r>
        <w:rPr>
          <w:rFonts w:hint="eastAsia"/>
        </w:rPr>
        <w:lastRenderedPageBreak/>
        <w:t>新基建工程</w:t>
      </w:r>
    </w:p>
    <w:p w14:paraId="7DD49EB5" w14:textId="77777777" w:rsidR="00280812" w:rsidRDefault="00000000">
      <w:pPr>
        <w:pStyle w:val="a7"/>
        <w:ind w:firstLine="640"/>
        <w:rPr>
          <w:rFonts w:hAnsi="仿宋_GB2312" w:cs="仿宋_GB2312" w:hint="eastAsia"/>
          <w:szCs w:val="32"/>
        </w:rPr>
      </w:pPr>
      <w:r>
        <w:rPr>
          <w:rFonts w:hAnsi="仿宋_GB2312" w:cs="仿宋_GB2312" w:hint="eastAsia"/>
          <w:szCs w:val="32"/>
        </w:rPr>
        <w:t>加快推进5G基站建设，集镇宏基站设置密度为7个基站/平方千米，基站站间距400-450米；农村宏基站设置密度为2个基站/平方千米，基站站间距750-700米。依托清洁能源发电优势，重点推进高压输配电设施建设。因地制宜建设充电场、充电桩等新能源汽车充电设施，多途径推进新基建工程建设。</w:t>
      </w:r>
    </w:p>
    <w:p w14:paraId="60D98368" w14:textId="77777777" w:rsidR="00280812" w:rsidRDefault="00000000">
      <w:pPr>
        <w:pStyle w:val="2"/>
        <w:numPr>
          <w:ilvl w:val="0"/>
          <w:numId w:val="9"/>
        </w:numPr>
        <w:rPr>
          <w:lang w:val="zh-CN"/>
        </w:rPr>
      </w:pPr>
      <w:bookmarkStart w:id="93" w:name="_Toc209177599"/>
      <w:r>
        <w:rPr>
          <w:rFonts w:hint="eastAsia"/>
          <w:lang w:val="zh-CN"/>
        </w:rPr>
        <w:t>综合防灾减灾体系</w:t>
      </w:r>
      <w:bookmarkEnd w:id="93"/>
    </w:p>
    <w:p w14:paraId="13931E27" w14:textId="77777777" w:rsidR="00280812" w:rsidRDefault="00000000">
      <w:pPr>
        <w:pStyle w:val="a0"/>
        <w:ind w:left="0" w:firstLineChars="200" w:firstLine="640"/>
      </w:pPr>
      <w:r>
        <w:rPr>
          <w:rFonts w:hint="eastAsia"/>
        </w:rPr>
        <w:t>防震减灾工程</w:t>
      </w:r>
    </w:p>
    <w:p w14:paraId="33452C15" w14:textId="77777777" w:rsidR="00280812" w:rsidRDefault="00000000">
      <w:pPr>
        <w:pStyle w:val="a7"/>
        <w:ind w:firstLine="640"/>
      </w:pPr>
      <w:r>
        <w:rPr>
          <w:rFonts w:ascii="楷体_GB2312" w:eastAsia="楷体_GB2312" w:hAnsi="楷体_GB2312" w:cs="楷体_GB2312" w:hint="eastAsia"/>
          <w:lang w:val="zh-CN"/>
        </w:rPr>
        <w:t>设防标准。</w:t>
      </w:r>
      <w:r>
        <w:rPr>
          <w:rFonts w:hint="eastAsia"/>
        </w:rPr>
        <w:t>铁盖乡所处区域地震动峰值加速度</w:t>
      </w:r>
      <w:r>
        <w:t>0.1</w:t>
      </w:r>
      <w:r>
        <w:rPr>
          <w:rFonts w:hint="eastAsia"/>
        </w:rPr>
        <w:t>0</w:t>
      </w:r>
      <w:r>
        <w:t>g</w:t>
      </w:r>
      <w:r>
        <w:rPr>
          <w:rFonts w:hint="eastAsia"/>
        </w:rPr>
        <w:t>，</w:t>
      </w:r>
      <w:r>
        <w:rPr>
          <w:rFonts w:hint="eastAsia"/>
          <w:u w:val="single"/>
        </w:rPr>
        <w:t>抗震设防基本烈度</w:t>
      </w:r>
      <w:r>
        <w:rPr>
          <w:u w:val="single"/>
        </w:rPr>
        <w:t>7</w:t>
      </w:r>
      <w:r>
        <w:rPr>
          <w:rFonts w:hint="eastAsia"/>
          <w:u w:val="single"/>
        </w:rPr>
        <w:t>度。新建、改建、扩建工程应严格按照标准设防，重大工程和可能因地震产生严重次生灾害的建设工程，应当按照有关规定开展地震安全性评价，并按地震安全性评价结果所确定的抗震设防要求进行抗震设计。</w:t>
      </w:r>
      <w:r>
        <w:rPr>
          <w:rFonts w:hint="eastAsia"/>
        </w:rPr>
        <w:t>学校、卫生院、文化场馆等大型公共建筑和重要生命线工程应当适当提高地震动峰值加速度取值，在建设工程中采取有效措施，增强抗震能力。建设工程应充分考虑断裂带的地震危害性及对场地的影响，并按照国家相关标准及抗震主管部门相关要求合理避让，建设项目必须满足相应的抗震设防要求。</w:t>
      </w:r>
    </w:p>
    <w:p w14:paraId="7FB8E669" w14:textId="77777777" w:rsidR="00280812" w:rsidRDefault="00000000">
      <w:pPr>
        <w:pStyle w:val="a7"/>
        <w:ind w:firstLine="640"/>
      </w:pPr>
      <w:r>
        <w:rPr>
          <w:rFonts w:ascii="楷体_GB2312" w:eastAsia="楷体_GB2312" w:hAnsi="楷体_GB2312" w:cs="楷体_GB2312" w:hint="eastAsia"/>
          <w:lang w:val="zh-CN"/>
        </w:rPr>
        <w:t>避难场所及通道。</w:t>
      </w:r>
      <w:r>
        <w:rPr>
          <w:rFonts w:hint="eastAsia"/>
        </w:rPr>
        <w:t>利用广场、学校操场和空地等作为避难场所，规划期末，人均应急避难场所面积不低于1.5平方米。以县道X307作为主要疏散通道，以其他通村公路作</w:t>
      </w:r>
      <w:r>
        <w:rPr>
          <w:rFonts w:hint="eastAsia"/>
        </w:rPr>
        <w:lastRenderedPageBreak/>
        <w:t>为次要疏散通道形成高效应急疏散网络体系。</w:t>
      </w:r>
    </w:p>
    <w:p w14:paraId="09DFF461" w14:textId="77777777" w:rsidR="00280812" w:rsidRDefault="00000000">
      <w:pPr>
        <w:pStyle w:val="a0"/>
        <w:ind w:left="0" w:firstLineChars="200" w:firstLine="640"/>
      </w:pPr>
      <w:r>
        <w:rPr>
          <w:rFonts w:hint="eastAsia"/>
        </w:rPr>
        <w:t>地质灾害防治</w:t>
      </w:r>
    </w:p>
    <w:p w14:paraId="6FAED95E" w14:textId="77777777" w:rsidR="00280812" w:rsidRDefault="00000000">
      <w:pPr>
        <w:pStyle w:val="a7"/>
        <w:ind w:firstLine="640"/>
        <w:rPr>
          <w:rFonts w:hAnsi="仿宋_GB2312" w:cs="仿宋_GB2312" w:hint="eastAsia"/>
          <w:szCs w:val="32"/>
        </w:rPr>
      </w:pPr>
      <w:r>
        <w:rPr>
          <w:rFonts w:hAnsi="仿宋_GB2312" w:cs="仿宋_GB2312" w:hint="eastAsia"/>
          <w:szCs w:val="32"/>
        </w:rPr>
        <w:t>铁盖乡处于地质灾害易发区，主要类型以泥石流、崩塌、山地滑坡为主，主要分布在哈汗土</w:t>
      </w:r>
      <w:proofErr w:type="gramStart"/>
      <w:r>
        <w:rPr>
          <w:rFonts w:hAnsi="仿宋_GB2312" w:cs="仿宋_GB2312" w:hint="eastAsia"/>
          <w:szCs w:val="32"/>
        </w:rPr>
        <w:t>亥</w:t>
      </w:r>
      <w:proofErr w:type="gramEnd"/>
      <w:r>
        <w:rPr>
          <w:rFonts w:hAnsi="仿宋_GB2312" w:cs="仿宋_GB2312" w:hint="eastAsia"/>
          <w:szCs w:val="32"/>
        </w:rPr>
        <w:t>村、</w:t>
      </w:r>
      <w:proofErr w:type="gramStart"/>
      <w:r>
        <w:rPr>
          <w:rFonts w:hAnsi="仿宋_GB2312" w:cs="仿宋_GB2312" w:hint="eastAsia"/>
          <w:szCs w:val="32"/>
        </w:rPr>
        <w:t>托勒台村</w:t>
      </w:r>
      <w:proofErr w:type="gramEnd"/>
      <w:r>
        <w:rPr>
          <w:rFonts w:hAnsi="仿宋_GB2312" w:cs="仿宋_GB2312" w:hint="eastAsia"/>
          <w:szCs w:val="32"/>
        </w:rPr>
        <w:t>等龙羊峡库区一带。规划对地质灾害隐患点进行分类管控，综合采用工程治理、排危除险、避难移民搬迁、专业监测和监测预警等多种措施，对乡域内地质灾害实施综合防治。</w:t>
      </w:r>
    </w:p>
    <w:p w14:paraId="21D5EAD4" w14:textId="77777777" w:rsidR="00280812" w:rsidRDefault="00000000">
      <w:pPr>
        <w:pStyle w:val="a7"/>
        <w:ind w:firstLine="640"/>
        <w:rPr>
          <w:rFonts w:hAnsi="仿宋_GB2312" w:cs="仿宋_GB2312" w:hint="eastAsia"/>
          <w:szCs w:val="32"/>
        </w:rPr>
      </w:pPr>
      <w:r>
        <w:rPr>
          <w:rFonts w:hAnsi="仿宋_GB2312" w:cs="仿宋_GB2312" w:hint="eastAsia"/>
          <w:szCs w:val="32"/>
        </w:rPr>
        <w:t>严格落实地质灾害安全管控要求，</w:t>
      </w:r>
      <w:r>
        <w:rPr>
          <w:rFonts w:hAnsi="仿宋_GB2312" w:cs="仿宋_GB2312" w:hint="eastAsia"/>
          <w:szCs w:val="32"/>
          <w:u w:val="single"/>
        </w:rPr>
        <w:t>地质灾害易发区内的开发建设，应当进行地质灾害危险性评估，并根据地质灾害危险性评估提出的预防治理措施，有序开展地质灾害工程治理或搬迁避让工作，对可能引发地质灾害的建设活动采取积极有效的防护治理措施，避免工程建设引发或遭受地质灾害的威胁。评估结果为不适宜的场地不得进行开发建设，地质灾害危险区内禁止从事容易诱发地质灾害的各种活动。</w:t>
      </w:r>
    </w:p>
    <w:p w14:paraId="269E8E46" w14:textId="77777777" w:rsidR="00280812" w:rsidRDefault="00000000">
      <w:pPr>
        <w:pStyle w:val="a0"/>
        <w:ind w:left="0" w:firstLineChars="200" w:firstLine="640"/>
      </w:pPr>
      <w:r>
        <w:rPr>
          <w:rFonts w:hint="eastAsia"/>
        </w:rPr>
        <w:t>防洪排涝工程</w:t>
      </w:r>
    </w:p>
    <w:p w14:paraId="78403287" w14:textId="77777777" w:rsidR="00280812" w:rsidRDefault="00000000">
      <w:pPr>
        <w:pStyle w:val="a7"/>
        <w:ind w:firstLine="640"/>
      </w:pPr>
      <w:r>
        <w:rPr>
          <w:rFonts w:ascii="楷体_GB2312" w:eastAsia="楷体_GB2312" w:hAnsi="楷体_GB2312" w:cs="楷体_GB2312" w:hint="eastAsia"/>
          <w:lang w:val="zh-CN"/>
        </w:rPr>
        <w:t>防洪标准。</w:t>
      </w:r>
      <w:r>
        <w:rPr>
          <w:rFonts w:hint="eastAsia"/>
          <w:u w:val="single"/>
        </w:rPr>
        <w:t>根据《防洪标准》（GB50201-2014），铁盖乡集镇的防洪标准为20年一遇</w:t>
      </w:r>
      <w:proofErr w:type="gramStart"/>
      <w:r>
        <w:rPr>
          <w:rFonts w:hint="eastAsia"/>
          <w:u w:val="single"/>
        </w:rPr>
        <w:t>，</w:t>
      </w:r>
      <w:proofErr w:type="gramEnd"/>
      <w:r>
        <w:rPr>
          <w:rFonts w:hint="eastAsia"/>
          <w:u w:val="single"/>
        </w:rPr>
        <w:t>农村为10年一遇</w:t>
      </w:r>
      <w:proofErr w:type="gramStart"/>
      <w:r>
        <w:rPr>
          <w:rFonts w:hint="eastAsia"/>
          <w:u w:val="single"/>
        </w:rPr>
        <w:t>。</w:t>
      </w:r>
      <w:proofErr w:type="gramEnd"/>
    </w:p>
    <w:p w14:paraId="1B752604" w14:textId="77777777" w:rsidR="00280812" w:rsidRDefault="00000000">
      <w:pPr>
        <w:pStyle w:val="a7"/>
        <w:ind w:firstLine="640"/>
      </w:pPr>
      <w:r>
        <w:rPr>
          <w:rFonts w:ascii="楷体_GB2312" w:eastAsia="楷体_GB2312" w:hAnsi="楷体_GB2312" w:cs="楷体_GB2312" w:hint="eastAsia"/>
          <w:lang w:val="zh-CN"/>
        </w:rPr>
        <w:t>防洪措施。</w:t>
      </w:r>
      <w:r>
        <w:rPr>
          <w:rFonts w:hint="eastAsia"/>
        </w:rPr>
        <w:t>完善重要河流防洪治理工程建设，全面推进河道治理工程。实施重点山洪沟防洪治理工程措施，巩固提升山洪</w:t>
      </w:r>
      <w:proofErr w:type="gramStart"/>
      <w:r>
        <w:rPr>
          <w:rFonts w:hint="eastAsia"/>
        </w:rPr>
        <w:t>防治非</w:t>
      </w:r>
      <w:proofErr w:type="gramEnd"/>
      <w:r>
        <w:rPr>
          <w:rFonts w:hint="eastAsia"/>
        </w:rPr>
        <w:t>工程措施。保障防洪堤、排洪沟（渠）等水工设施用地需求。</w:t>
      </w:r>
    </w:p>
    <w:p w14:paraId="2B84C598" w14:textId="77777777" w:rsidR="00280812" w:rsidRDefault="00000000">
      <w:pPr>
        <w:pStyle w:val="a0"/>
        <w:ind w:left="0" w:firstLineChars="200" w:firstLine="640"/>
      </w:pPr>
      <w:r>
        <w:rPr>
          <w:rFonts w:hint="eastAsia"/>
        </w:rPr>
        <w:lastRenderedPageBreak/>
        <w:t>消防工程</w:t>
      </w:r>
    </w:p>
    <w:p w14:paraId="702C1E43" w14:textId="77777777" w:rsidR="00280812" w:rsidRDefault="00000000">
      <w:pPr>
        <w:pStyle w:val="a7"/>
        <w:ind w:firstLine="640"/>
      </w:pPr>
      <w:r>
        <w:rPr>
          <w:rFonts w:hint="eastAsia"/>
        </w:rPr>
        <w:t>规划建立铁盖乡政府专职消防队，构建以专职消防队伍为主要消防力量，以志愿消防队伍或企业兼职消防队伍为补充的消防体系。结合专职消防队组建基层应急救援队，各类公共场所设置消防设施，村委会内设置微型消防站，提升灾害事故快速响应、高效救援能力。</w:t>
      </w:r>
    </w:p>
    <w:p w14:paraId="2D4E618F" w14:textId="77777777" w:rsidR="00280812" w:rsidRDefault="00000000">
      <w:pPr>
        <w:pStyle w:val="a7"/>
        <w:ind w:firstLine="640"/>
      </w:pPr>
      <w:r>
        <w:rPr>
          <w:rFonts w:hint="eastAsia"/>
        </w:rPr>
        <w:t>消防设施：集镇建设1座微型消防站，负责</w:t>
      </w:r>
      <w:proofErr w:type="gramStart"/>
      <w:r>
        <w:rPr>
          <w:rFonts w:hint="eastAsia"/>
        </w:rPr>
        <w:t>集镇消防</w:t>
      </w:r>
      <w:proofErr w:type="gramEnd"/>
      <w:r>
        <w:rPr>
          <w:rFonts w:hint="eastAsia"/>
        </w:rPr>
        <w:t>安全，农业牧区集中居民点</w:t>
      </w:r>
      <w:proofErr w:type="gramStart"/>
      <w:r>
        <w:rPr>
          <w:rFonts w:hint="eastAsia"/>
        </w:rPr>
        <w:t>内结合</w:t>
      </w:r>
      <w:proofErr w:type="gramEnd"/>
      <w:r>
        <w:rPr>
          <w:rFonts w:hint="eastAsia"/>
        </w:rPr>
        <w:t>村委会设置微型消防站，配备供紧急使用的灭火器材、前线救援器材和消防人员防护器材。</w:t>
      </w:r>
    </w:p>
    <w:p w14:paraId="4248CFAA" w14:textId="77777777" w:rsidR="00280812" w:rsidRDefault="00000000">
      <w:pPr>
        <w:pStyle w:val="a7"/>
        <w:ind w:firstLine="640"/>
      </w:pPr>
      <w:r>
        <w:rPr>
          <w:rFonts w:hint="eastAsia"/>
        </w:rPr>
        <w:t>消防供水：</w:t>
      </w:r>
      <w:proofErr w:type="gramStart"/>
      <w:r>
        <w:rPr>
          <w:rFonts w:hint="eastAsia"/>
        </w:rPr>
        <w:t>集镇消防</w:t>
      </w:r>
      <w:proofErr w:type="gramEnd"/>
      <w:r>
        <w:rPr>
          <w:rFonts w:hint="eastAsia"/>
        </w:rPr>
        <w:t>供水以市政给水管网为主，给水管网管径不低于DN100，管网埋深位于冻土层以下。结合市政给水管网设置消火栓，间距不超过120米。其余各村结合实际情况建设消防水池，消防水池的建设应满足防寒抗冻的要求。</w:t>
      </w:r>
    </w:p>
    <w:p w14:paraId="703D7C8C" w14:textId="77777777" w:rsidR="00280812" w:rsidRDefault="00000000">
      <w:pPr>
        <w:pStyle w:val="a7"/>
        <w:ind w:firstLine="640"/>
      </w:pPr>
      <w:r>
        <w:rPr>
          <w:rFonts w:hint="eastAsia"/>
        </w:rPr>
        <w:t>消防通道：规划以县道X307为主要疏散通道，以其他干路、支路作为次要疏散通道。消防车通道应符合消防车辆安全、快捷通行的要求。加强消防车通道建设，提高道路承载大型消防车的能力，确保消防车辆安全、快捷通行。</w:t>
      </w:r>
    </w:p>
    <w:p w14:paraId="271A485A" w14:textId="77777777" w:rsidR="00280812" w:rsidRDefault="00000000">
      <w:pPr>
        <w:pStyle w:val="a7"/>
        <w:ind w:firstLine="640"/>
      </w:pPr>
      <w:r>
        <w:rPr>
          <w:rFonts w:hint="eastAsia"/>
        </w:rPr>
        <w:t>耐火等级：新建建筑应当达到一、二级耐火等级标准，控制三级建筑，严格限制四级建筑，不准易燃简易搭盖。</w:t>
      </w:r>
    </w:p>
    <w:p w14:paraId="6791E198" w14:textId="77777777" w:rsidR="00280812" w:rsidRDefault="00000000">
      <w:pPr>
        <w:pStyle w:val="a7"/>
        <w:ind w:firstLine="640"/>
      </w:pPr>
      <w:r>
        <w:rPr>
          <w:rFonts w:hint="eastAsia"/>
        </w:rPr>
        <w:t>消防科技赋能：通过物联网传感器、大数据与AI分析、消防机器人等技术创新与数字化手段，全面提升火灾预防、</w:t>
      </w:r>
      <w:r>
        <w:rPr>
          <w:rFonts w:hint="eastAsia"/>
        </w:rPr>
        <w:lastRenderedPageBreak/>
        <w:t>监测、救援和管理的效率，实现从“被动响应”到“主动防控”的转型，最终构建“人防+技防+智防”的全新体系。</w:t>
      </w:r>
    </w:p>
    <w:p w14:paraId="6920E2F4" w14:textId="77777777" w:rsidR="00280812" w:rsidRDefault="00000000">
      <w:pPr>
        <w:pStyle w:val="a0"/>
        <w:ind w:left="0" w:firstLineChars="200" w:firstLine="640"/>
      </w:pPr>
      <w:r>
        <w:rPr>
          <w:rFonts w:hint="eastAsia"/>
        </w:rPr>
        <w:t>气象灾害防治</w:t>
      </w:r>
    </w:p>
    <w:p w14:paraId="7A21B22E" w14:textId="77777777" w:rsidR="00280812" w:rsidRDefault="00000000">
      <w:pPr>
        <w:pStyle w:val="a7"/>
        <w:ind w:firstLine="640"/>
      </w:pPr>
      <w:r>
        <w:rPr>
          <w:rFonts w:hint="eastAsia"/>
        </w:rPr>
        <w:t>坚持“预防为主、防抗结合、以人为本、科学应对”的气象灾害防治原则。构建乡镇暴雨、暴雪、冰雹及雷暴等极端天气预警体系，完善对极端天气的应急能力；建筑设计应确保建筑结构荷载能够抵御暴雨、冰雹等恶劣天气；通信、电力等设施，应安装避雷、防雷设施；规划建议在村庄外围栽植防风林带，防风固沙，水土保持，减少风灾对农作物的影响，从而降低经济损失。</w:t>
      </w:r>
    </w:p>
    <w:p w14:paraId="5A966E20" w14:textId="77777777" w:rsidR="00280812" w:rsidRDefault="00000000">
      <w:pPr>
        <w:pStyle w:val="2"/>
        <w:numPr>
          <w:ilvl w:val="0"/>
          <w:numId w:val="9"/>
        </w:numPr>
        <w:rPr>
          <w:lang w:val="zh-CN"/>
        </w:rPr>
      </w:pPr>
      <w:bookmarkStart w:id="94" w:name="_Toc209177600"/>
      <w:r>
        <w:rPr>
          <w:rFonts w:hint="eastAsia"/>
          <w:lang w:val="zh-CN"/>
        </w:rPr>
        <w:t>保障基础设施用地</w:t>
      </w:r>
      <w:bookmarkEnd w:id="94"/>
    </w:p>
    <w:p w14:paraId="580BAB93" w14:textId="77777777" w:rsidR="00280812" w:rsidRDefault="00000000">
      <w:pPr>
        <w:pStyle w:val="a0"/>
        <w:ind w:left="0" w:firstLineChars="200" w:firstLine="640"/>
      </w:pPr>
      <w:r>
        <w:rPr>
          <w:rFonts w:hint="eastAsia"/>
        </w:rPr>
        <w:t>统筹协调与落实基础设施布局</w:t>
      </w:r>
    </w:p>
    <w:p w14:paraId="52C1FA19" w14:textId="77777777" w:rsidR="00280812" w:rsidRDefault="00000000">
      <w:pPr>
        <w:pStyle w:val="a7"/>
        <w:ind w:firstLine="640"/>
        <w:rPr>
          <w:rFonts w:hAnsi="仿宋_GB2312" w:cs="仿宋_GB2312" w:hint="eastAsia"/>
          <w:bCs/>
        </w:rPr>
      </w:pPr>
      <w:r>
        <w:rPr>
          <w:rFonts w:hAnsi="仿宋_GB2312" w:cs="仿宋_GB2312" w:hint="eastAsia"/>
          <w:bCs/>
        </w:rPr>
        <w:t>加强县级国土空间规划、相关专项规划与乡镇国土空间规划的衔接，严格按照“三区三线”等国土空间规划管控要求，在国土空间规划“一张图”上统筹落实各类设施项目的空间需求，协调项目选址、布局和空间规模，确保各类项目的空间布局不冲突。线性基础设施在满足安全要求的基础上尽量共用廊道，提高复合利用水平，减少对国土空间的分割和过度占用。</w:t>
      </w:r>
    </w:p>
    <w:p w14:paraId="76A466CC" w14:textId="77777777" w:rsidR="00280812" w:rsidRDefault="00000000">
      <w:pPr>
        <w:pStyle w:val="a0"/>
        <w:ind w:left="0" w:firstLineChars="200" w:firstLine="640"/>
      </w:pPr>
      <w:r>
        <w:rPr>
          <w:rFonts w:hint="eastAsia"/>
        </w:rPr>
        <w:t>基础设施用地集约化利用</w:t>
      </w:r>
    </w:p>
    <w:p w14:paraId="1C089886" w14:textId="77777777" w:rsidR="00280812" w:rsidRDefault="00000000">
      <w:pPr>
        <w:pStyle w:val="a7"/>
        <w:ind w:firstLine="640"/>
        <w:rPr>
          <w:rFonts w:hAnsi="仿宋_GB2312" w:cs="仿宋_GB2312" w:hint="eastAsia"/>
          <w:bCs/>
        </w:rPr>
      </w:pPr>
      <w:r>
        <w:rPr>
          <w:rFonts w:hAnsi="仿宋_GB2312" w:cs="仿宋_GB2312" w:hint="eastAsia"/>
          <w:bCs/>
        </w:rPr>
        <w:t>加强各类基础设施用地规模控制，严格执行各类项目建设用地标准，严格节约集约用地评价，积极推广节地技术。协调好清洁能源基地、基础设施建设与耕地保护、生</w:t>
      </w:r>
      <w:r>
        <w:rPr>
          <w:rFonts w:hAnsi="仿宋_GB2312" w:cs="仿宋_GB2312" w:hint="eastAsia"/>
          <w:bCs/>
        </w:rPr>
        <w:lastRenderedPageBreak/>
        <w:t>态保护的关系。各类基础设施用地要合理避让耕地和永久基本农田、生态保护红线、自然灾害高风险区等区域，减少对生态敏感区的侵占和扰动，保障生态系统的连通性和完整性，降低对自然生态空间的分割和环境影响。确实无法避让的，应采取严格的环境保护措施，避免对相关区域生态系统造成重大不利影响。</w:t>
      </w:r>
    </w:p>
    <w:p w14:paraId="10CFFC43" w14:textId="77777777" w:rsidR="00280812" w:rsidRDefault="00000000">
      <w:pPr>
        <w:pStyle w:val="a0"/>
        <w:ind w:left="0" w:firstLineChars="200" w:firstLine="640"/>
      </w:pPr>
      <w:r>
        <w:rPr>
          <w:rFonts w:hint="eastAsia"/>
        </w:rPr>
        <w:t>保障基础设施用地</w:t>
      </w:r>
    </w:p>
    <w:p w14:paraId="160D56EE" w14:textId="77777777" w:rsidR="00280812" w:rsidRDefault="00000000">
      <w:pPr>
        <w:pStyle w:val="a7"/>
        <w:ind w:firstLine="640"/>
        <w:rPr>
          <w:rFonts w:hAnsi="仿宋_GB2312" w:cs="仿宋_GB2312" w:hint="eastAsia"/>
          <w:bCs/>
        </w:rPr>
      </w:pPr>
      <w:r>
        <w:rPr>
          <w:rFonts w:ascii="楷体_GB2312" w:eastAsia="楷体_GB2312" w:hAnsi="楷体_GB2312" w:cs="楷体_GB2312" w:hint="eastAsia"/>
          <w:bCs/>
        </w:rPr>
        <w:t>保障重大基础设施建设用地。</w:t>
      </w:r>
      <w:r>
        <w:rPr>
          <w:rFonts w:hAnsi="仿宋_GB2312" w:cs="仿宋_GB2312" w:hint="eastAsia"/>
          <w:bCs/>
        </w:rPr>
        <w:t>强化用地要素保障，保障交通、能源、水利等重大基础设施项目建设用地需求，合理保障其他基础设施用地，引导基础设施科学合理选址选线，落实最严格的耕地保护制度、节约集约制度和生态环境保护制度，各类建设项目不得突破建设用地标准。通过梳理重大基础设施项目清单、合理安排基础设施建设用地指标、加强基础设施建设用地审批管理等措施，多举措保障基础设施用地。</w:t>
      </w:r>
    </w:p>
    <w:p w14:paraId="18CCB1F8" w14:textId="77777777" w:rsidR="00280812" w:rsidRDefault="00000000">
      <w:pPr>
        <w:pStyle w:val="a7"/>
        <w:ind w:firstLine="640"/>
        <w:rPr>
          <w:rFonts w:hAnsi="仿宋_GB2312" w:cs="仿宋_GB2312" w:hint="eastAsia"/>
          <w:bCs/>
        </w:rPr>
      </w:pPr>
      <w:r>
        <w:rPr>
          <w:rFonts w:ascii="楷体_GB2312" w:eastAsia="楷体_GB2312" w:hAnsi="楷体_GB2312" w:cs="楷体_GB2312" w:hint="eastAsia"/>
          <w:bCs/>
        </w:rPr>
        <w:t>保障重大交通设施用地。</w:t>
      </w:r>
      <w:r>
        <w:rPr>
          <w:rFonts w:hAnsi="仿宋_GB2312" w:cs="仿宋_GB2312" w:hint="eastAsia"/>
          <w:bCs/>
        </w:rPr>
        <w:t>保障城际铁路重点建设项目用地，发挥铁路在区域客、货运交通中的骨干作用，提高区域交通运输能力和服务水平。完善国家高速公路及国省干线公路网络，</w:t>
      </w:r>
      <w:proofErr w:type="gramStart"/>
      <w:r>
        <w:rPr>
          <w:rFonts w:hAnsi="仿宋_GB2312" w:cs="仿宋_GB2312" w:hint="eastAsia"/>
          <w:bCs/>
        </w:rPr>
        <w:t>保障共玉</w:t>
      </w:r>
      <w:proofErr w:type="gramEnd"/>
      <w:r>
        <w:rPr>
          <w:rFonts w:hAnsi="仿宋_GB2312" w:cs="仿宋_GB2312" w:hint="eastAsia"/>
          <w:bCs/>
        </w:rPr>
        <w:t>高速公路（G0613）、泽库-</w:t>
      </w:r>
      <w:proofErr w:type="gramStart"/>
      <w:r>
        <w:rPr>
          <w:rFonts w:hAnsi="仿宋_GB2312" w:cs="仿宋_GB2312" w:hint="eastAsia"/>
          <w:bCs/>
        </w:rPr>
        <w:t>切泉沟</w:t>
      </w:r>
      <w:proofErr w:type="gramEnd"/>
      <w:r>
        <w:rPr>
          <w:rFonts w:hAnsi="仿宋_GB2312" w:cs="仿宋_GB2312" w:hint="eastAsia"/>
          <w:bCs/>
        </w:rPr>
        <w:t>公路（S22）、铁盖至</w:t>
      </w:r>
      <w:r>
        <w:rPr>
          <w:rFonts w:hAnsi="仿宋_GB2312" w:cs="仿宋_GB2312"/>
          <w:bCs/>
        </w:rPr>
        <w:t>G572</w:t>
      </w:r>
      <w:r>
        <w:rPr>
          <w:rFonts w:hAnsi="仿宋_GB2312" w:cs="仿宋_GB2312" w:hint="eastAsia"/>
          <w:bCs/>
        </w:rPr>
        <w:t>沿黄公路等重点公路建设项目用地，落实农村公路提档升级改造项目建设用地，形成新的经济增长板块和产业带。保障各燃气输配设施用地。保障农村公交客运站场建设用地，完善区域公交运输体系。</w:t>
      </w:r>
      <w:r>
        <w:rPr>
          <w:rFonts w:hAnsi="仿宋_GB2312" w:cs="仿宋_GB2312" w:hint="eastAsia"/>
          <w:bCs/>
        </w:rPr>
        <w:lastRenderedPageBreak/>
        <w:t>保障物流中心建设用地，提高区域货运配送及保障能力。</w:t>
      </w:r>
    </w:p>
    <w:p w14:paraId="0A88C82B" w14:textId="77777777" w:rsidR="00280812" w:rsidRDefault="00000000">
      <w:pPr>
        <w:pStyle w:val="a7"/>
        <w:ind w:firstLine="640"/>
        <w:rPr>
          <w:rFonts w:ascii="楷体_GB2312" w:eastAsia="楷体_GB2312" w:hAnsi="Times New Roman" w:cs="Times New Roman"/>
          <w:bCs/>
          <w:szCs w:val="32"/>
        </w:rPr>
      </w:pPr>
      <w:r>
        <w:rPr>
          <w:rFonts w:ascii="楷体_GB2312" w:eastAsia="楷体_GB2312" w:hAnsi="楷体_GB2312" w:cs="楷体_GB2312" w:hint="eastAsia"/>
          <w:bCs/>
        </w:rPr>
        <w:t>水利设施建设用地。</w:t>
      </w:r>
      <w:r>
        <w:rPr>
          <w:rFonts w:hAnsi="仿宋_GB2312" w:cs="仿宋_GB2312" w:hint="eastAsia"/>
          <w:bCs/>
        </w:rPr>
        <w:t>支撑农村供水保障工程建设；保障重要河流防洪治理工程建设用地，提高城乡防灾减灾能力;实施中小河流及农村河道治理工程；保障小流域生态治理综合工程项目建设用地。</w:t>
      </w:r>
      <w:r>
        <w:rPr>
          <w:rFonts w:ascii="楷体_GB2312" w:eastAsia="楷体_GB2312" w:hAnsi="Times New Roman" w:cs="Times New Roman" w:hint="eastAsia"/>
          <w:bCs/>
          <w:szCs w:val="32"/>
        </w:rPr>
        <w:br w:type="page"/>
      </w:r>
    </w:p>
    <w:p w14:paraId="3C73E2FA" w14:textId="77777777" w:rsidR="00280812" w:rsidRDefault="00000000">
      <w:pPr>
        <w:pStyle w:val="1"/>
        <w:ind w:left="0" w:firstLine="0"/>
      </w:pPr>
      <w:bookmarkStart w:id="95" w:name="_Toc209177601"/>
      <w:r>
        <w:rPr>
          <w:rFonts w:hint="eastAsia"/>
        </w:rPr>
        <w:lastRenderedPageBreak/>
        <w:t>完善体制机制，高质量做好规划实施保障</w:t>
      </w:r>
      <w:bookmarkEnd w:id="95"/>
    </w:p>
    <w:p w14:paraId="44D763FE" w14:textId="77777777" w:rsidR="00280812" w:rsidRDefault="00000000">
      <w:pPr>
        <w:pStyle w:val="2"/>
        <w:numPr>
          <w:ilvl w:val="0"/>
          <w:numId w:val="13"/>
        </w:numPr>
        <w:rPr>
          <w:lang w:val="zh-CN"/>
        </w:rPr>
      </w:pPr>
      <w:bookmarkStart w:id="96" w:name="_Toc209177602"/>
      <w:r>
        <w:rPr>
          <w:rFonts w:hint="eastAsia"/>
          <w:lang w:val="zh-CN"/>
        </w:rPr>
        <w:t>加强党的领导</w:t>
      </w:r>
      <w:bookmarkEnd w:id="96"/>
    </w:p>
    <w:p w14:paraId="1623D294" w14:textId="77777777" w:rsidR="00280812" w:rsidRDefault="00000000">
      <w:pPr>
        <w:pStyle w:val="a0"/>
        <w:ind w:left="0" w:firstLineChars="200" w:firstLine="640"/>
      </w:pPr>
      <w:r>
        <w:rPr>
          <w:rFonts w:hint="eastAsia"/>
        </w:rPr>
        <w:t>加强党的领导</w:t>
      </w:r>
    </w:p>
    <w:p w14:paraId="7752404B" w14:textId="77777777" w:rsidR="00280812" w:rsidRDefault="00000000">
      <w:pPr>
        <w:pStyle w:val="a7"/>
        <w:ind w:firstLine="640"/>
      </w:pPr>
      <w:r>
        <w:rPr>
          <w:rFonts w:hint="eastAsia"/>
        </w:rPr>
        <w:t>坚持以习近平新时代中国特色社会主义思想为指导，全面贯彻落实党的二十大精神，深入领会“两个确立”的决定性意义，增强“四个意识”、坚定“四个自信”、做到“两个维护”，充分发挥党总揽全局、协调各方的领导核心作用，把党的领导贯彻落实到国土空间规划实施与管理的各领域各环节。</w:t>
      </w:r>
    </w:p>
    <w:p w14:paraId="297976DB" w14:textId="77777777" w:rsidR="00280812" w:rsidRDefault="00000000">
      <w:pPr>
        <w:pStyle w:val="a0"/>
        <w:ind w:left="0" w:firstLineChars="200" w:firstLine="640"/>
      </w:pPr>
      <w:r>
        <w:rPr>
          <w:rFonts w:hint="eastAsia"/>
        </w:rPr>
        <w:t>落实各级党委和国土空间规划管理主体责任</w:t>
      </w:r>
    </w:p>
    <w:p w14:paraId="33D181E8" w14:textId="77777777" w:rsidR="00280812" w:rsidRDefault="00000000">
      <w:pPr>
        <w:pStyle w:val="a7"/>
        <w:ind w:firstLine="640"/>
      </w:pPr>
      <w:r>
        <w:rPr>
          <w:rFonts w:hint="eastAsia"/>
        </w:rPr>
        <w:t>坚持“多规合一”，不在国土空间规划体系之外另设其他空间规划。强化规划严肃性，规划一经批准，任何部门和个人不得随意修改、违规变更。</w:t>
      </w:r>
    </w:p>
    <w:p w14:paraId="07716CAA" w14:textId="77777777" w:rsidR="00280812" w:rsidRDefault="00000000">
      <w:pPr>
        <w:pStyle w:val="a0"/>
        <w:ind w:left="0" w:firstLineChars="200" w:firstLine="640"/>
      </w:pPr>
      <w:r>
        <w:rPr>
          <w:rFonts w:hint="eastAsia"/>
        </w:rPr>
        <w:t>健全国土空间规划委员会制度</w:t>
      </w:r>
    </w:p>
    <w:p w14:paraId="25625EE5" w14:textId="77777777" w:rsidR="00280812" w:rsidRDefault="00000000">
      <w:pPr>
        <w:pStyle w:val="a7"/>
        <w:ind w:firstLine="640"/>
      </w:pPr>
      <w:r>
        <w:t>建立</w:t>
      </w:r>
      <w:r>
        <w:rPr>
          <w:rFonts w:hint="eastAsia"/>
        </w:rPr>
        <w:t>乡镇</w:t>
      </w:r>
      <w:r>
        <w:t>级国土空间规划委员会，加强部门和</w:t>
      </w:r>
      <w:r>
        <w:rPr>
          <w:rFonts w:hint="eastAsia"/>
        </w:rPr>
        <w:t>乡镇</w:t>
      </w:r>
      <w:r>
        <w:t>间协同，进一步完善国土空间规划编制实施管理的配套政策，确保规划各项目标任务落地实施。建立规划实施的部门沟通协商机制，协调解决国土空间保护、开发、利用和修复中的相关问题，确保国家、省级、州级</w:t>
      </w:r>
      <w:r>
        <w:rPr>
          <w:rFonts w:hint="eastAsia"/>
        </w:rPr>
        <w:t>、县级</w:t>
      </w:r>
      <w:r>
        <w:t>重大决策部署落实到位。</w:t>
      </w:r>
    </w:p>
    <w:p w14:paraId="49DF4651" w14:textId="77777777" w:rsidR="00280812" w:rsidRDefault="00000000">
      <w:pPr>
        <w:pStyle w:val="2"/>
        <w:numPr>
          <w:ilvl w:val="0"/>
          <w:numId w:val="9"/>
        </w:numPr>
        <w:rPr>
          <w:lang w:val="zh-CN"/>
        </w:rPr>
      </w:pPr>
      <w:bookmarkStart w:id="97" w:name="_Toc209177603"/>
      <w:r>
        <w:rPr>
          <w:rFonts w:hint="eastAsia"/>
          <w:lang w:val="zh-CN"/>
        </w:rPr>
        <w:t>健全配套政策</w:t>
      </w:r>
      <w:bookmarkEnd w:id="97"/>
    </w:p>
    <w:p w14:paraId="15996413" w14:textId="77777777" w:rsidR="00280812" w:rsidRDefault="00000000">
      <w:pPr>
        <w:pStyle w:val="a0"/>
        <w:ind w:left="0" w:firstLineChars="200" w:firstLine="640"/>
      </w:pPr>
      <w:r>
        <w:rPr>
          <w:rFonts w:hint="eastAsia"/>
        </w:rPr>
        <w:t>健全国土空间规划法规政策和标准体系</w:t>
      </w:r>
    </w:p>
    <w:p w14:paraId="38A0EDCB" w14:textId="77777777" w:rsidR="00280812" w:rsidRDefault="00000000">
      <w:pPr>
        <w:pStyle w:val="a7"/>
        <w:ind w:firstLine="640"/>
      </w:pPr>
      <w:r>
        <w:rPr>
          <w:rFonts w:hint="eastAsia"/>
        </w:rPr>
        <w:t>严格落实</w:t>
      </w:r>
      <w:r>
        <w:t>国土空间规划编制、审批与实施管理的相关</w:t>
      </w:r>
      <w:r>
        <w:lastRenderedPageBreak/>
        <w:t>法规政策，落实国家统一的技术标准，落实青海省或海南州地方规划标准和技术管理规定，支撑规划实施。</w:t>
      </w:r>
    </w:p>
    <w:p w14:paraId="10CF43C4" w14:textId="77777777" w:rsidR="00280812" w:rsidRDefault="00000000">
      <w:pPr>
        <w:pStyle w:val="a0"/>
        <w:ind w:left="0" w:firstLineChars="200" w:firstLine="640"/>
      </w:pPr>
      <w:r>
        <w:rPr>
          <w:rFonts w:hint="eastAsia"/>
        </w:rPr>
        <w:t>完善规划实施的配套制度</w:t>
      </w:r>
    </w:p>
    <w:p w14:paraId="7A676076" w14:textId="77777777" w:rsidR="00280812" w:rsidRDefault="00000000">
      <w:pPr>
        <w:pStyle w:val="a7"/>
        <w:ind w:firstLine="640"/>
      </w:pPr>
      <w:r>
        <w:rPr>
          <w:rFonts w:hint="eastAsia"/>
        </w:rPr>
        <w:t>在充分发挥现有政策综合效能的基础上，合力构建财政、投资、产业、人口、自然资源、生态环境、农业农村发展等配套制度，推进生态产品价值实现机制探索和生态综合补偿试点工作，保障规划实施。各级政府和相关部门要细化分工安排，完善配套政策，促进国土空间规划各项任务落地实施。</w:t>
      </w:r>
    </w:p>
    <w:p w14:paraId="6AEC79CA" w14:textId="77777777" w:rsidR="00280812" w:rsidRDefault="00000000">
      <w:pPr>
        <w:pStyle w:val="2"/>
        <w:numPr>
          <w:ilvl w:val="0"/>
          <w:numId w:val="9"/>
        </w:numPr>
        <w:rPr>
          <w:lang w:val="zh-CN"/>
        </w:rPr>
      </w:pPr>
      <w:bookmarkStart w:id="98" w:name="_Toc209177604"/>
      <w:r>
        <w:rPr>
          <w:rFonts w:hint="eastAsia"/>
          <w:lang w:val="zh-CN"/>
        </w:rPr>
        <w:t>强化规划传导与用途管制</w:t>
      </w:r>
      <w:bookmarkEnd w:id="98"/>
    </w:p>
    <w:p w14:paraId="0D091C05" w14:textId="77777777" w:rsidR="00280812" w:rsidRDefault="00000000">
      <w:pPr>
        <w:pStyle w:val="a0"/>
        <w:ind w:left="0" w:firstLineChars="200" w:firstLine="640"/>
      </w:pPr>
      <w:r>
        <w:rPr>
          <w:rFonts w:hint="eastAsia"/>
        </w:rPr>
        <w:t>严格落实县级国土空间总体规划</w:t>
      </w:r>
    </w:p>
    <w:p w14:paraId="31849301" w14:textId="77777777" w:rsidR="00280812" w:rsidRDefault="00000000">
      <w:pPr>
        <w:pStyle w:val="a7"/>
        <w:ind w:firstLine="640"/>
      </w:pPr>
      <w:r>
        <w:rPr>
          <w:rFonts w:hint="eastAsia"/>
        </w:rPr>
        <w:t>规划落实县级总</w:t>
      </w:r>
      <w:proofErr w:type="gramStart"/>
      <w:r>
        <w:rPr>
          <w:rFonts w:hint="eastAsia"/>
        </w:rPr>
        <w:t>规</w:t>
      </w:r>
      <w:proofErr w:type="gramEnd"/>
      <w:r>
        <w:rPr>
          <w:rFonts w:hint="eastAsia"/>
        </w:rPr>
        <w:t>确定的开发保护目标定位、城镇体系、空间策略、特色指引等宏观定性内容。严格落实耕地和永久基本农田保护线、清洁能源用地引导线、重要历史文化保护线等空间管控线，落实相应管控措施。各类城乡建设行为及项目审批都应落实相应管控要求。严格落实县级国土空间总体规划提出的规划指标，依据核心指标制定评估考核机制，强化对资源总量和利用效率、空间管控底线的管控。落实县级规划划定的功能分区和管控要求。</w:t>
      </w:r>
      <w:r>
        <w:rPr>
          <w:rFonts w:hAnsi="仿宋_GB2312" w:hint="eastAsia"/>
          <w:szCs w:val="32"/>
        </w:rPr>
        <w:t>严格落实县级国土空间总体规划提出的战略性矿产保障区名录、自然保护地名录、历史文化资源保护名录、重点建设项目名录、生态修复项目名录、过渡区承诺纳入项目名录、村庄分类引导名录等要求。</w:t>
      </w:r>
    </w:p>
    <w:p w14:paraId="46086721" w14:textId="77777777" w:rsidR="00280812" w:rsidRDefault="00000000">
      <w:pPr>
        <w:pStyle w:val="a0"/>
        <w:ind w:left="0" w:firstLineChars="200" w:firstLine="640"/>
      </w:pPr>
      <w:r>
        <w:rPr>
          <w:rFonts w:hint="eastAsia"/>
        </w:rPr>
        <w:lastRenderedPageBreak/>
        <w:t>详细规划传导</w:t>
      </w:r>
    </w:p>
    <w:p w14:paraId="4B6927B1" w14:textId="77777777" w:rsidR="00280812" w:rsidRDefault="00000000">
      <w:pPr>
        <w:pStyle w:val="a7"/>
        <w:ind w:firstLine="640"/>
      </w:pPr>
      <w:r>
        <w:rPr>
          <w:rFonts w:ascii="楷体_GB2312" w:eastAsia="楷体_GB2312" w:hAnsi="楷体_GB2312" w:cs="楷体_GB2312" w:hint="eastAsia"/>
          <w:szCs w:val="32"/>
        </w:rPr>
        <w:t>健全国土空间规划体系，加强详细规划传导</w:t>
      </w:r>
      <w:r>
        <w:rPr>
          <w:rFonts w:ascii="楷体_GB2312" w:eastAsia="楷体_GB2312" w:hAnsi="楷体_GB2312" w:cs="楷体_GB2312" w:hint="eastAsia"/>
        </w:rPr>
        <w:t>。</w:t>
      </w:r>
      <w:r>
        <w:rPr>
          <w:rFonts w:hint="eastAsia"/>
        </w:rPr>
        <w:t>明确铁盖乡村</w:t>
      </w:r>
      <w:proofErr w:type="gramStart"/>
      <w:r>
        <w:rPr>
          <w:rFonts w:hint="eastAsia"/>
        </w:rPr>
        <w:t>庄规划</w:t>
      </w:r>
      <w:proofErr w:type="gramEnd"/>
      <w:r>
        <w:rPr>
          <w:rFonts w:hint="eastAsia"/>
        </w:rPr>
        <w:t>编制单元和村庄规划编制数量。对各村庄的等级类型、发展方向等提出规划引导，划定村庄建设用地边界。</w:t>
      </w:r>
    </w:p>
    <w:p w14:paraId="1C248ED0" w14:textId="77777777" w:rsidR="00280812" w:rsidRDefault="00000000">
      <w:pPr>
        <w:pStyle w:val="a7"/>
        <w:ind w:firstLine="640"/>
      </w:pPr>
      <w:r>
        <w:rPr>
          <w:rFonts w:hint="eastAsia"/>
        </w:rPr>
        <w:t>将生态保护红线、耕地和永久基本农田保护线、城镇开发边界、洪涝风险控制线、清洁能源用地引导线、重要历史文化保护线等空间管控线的指标规模和空间布局传导至各村庄。</w:t>
      </w:r>
    </w:p>
    <w:p w14:paraId="56ECB08B" w14:textId="77777777" w:rsidR="00280812" w:rsidRDefault="00000000">
      <w:pPr>
        <w:pStyle w:val="2"/>
        <w:numPr>
          <w:ilvl w:val="0"/>
          <w:numId w:val="9"/>
        </w:numPr>
        <w:rPr>
          <w:lang w:val="zh-CN"/>
        </w:rPr>
      </w:pPr>
      <w:bookmarkStart w:id="99" w:name="_Toc209177605"/>
      <w:r>
        <w:rPr>
          <w:rFonts w:hint="eastAsia"/>
          <w:lang w:val="zh-CN"/>
        </w:rPr>
        <w:t>近期安排</w:t>
      </w:r>
      <w:bookmarkEnd w:id="99"/>
    </w:p>
    <w:p w14:paraId="513DA6BA" w14:textId="77777777" w:rsidR="00280812" w:rsidRDefault="00000000">
      <w:pPr>
        <w:keepNext/>
        <w:keepLines/>
        <w:numPr>
          <w:ilvl w:val="0"/>
          <w:numId w:val="4"/>
        </w:numPr>
        <w:tabs>
          <w:tab w:val="left" w:pos="851"/>
        </w:tabs>
        <w:spacing w:before="300" w:line="420" w:lineRule="exact"/>
        <w:ind w:left="0" w:firstLineChars="200" w:firstLine="640"/>
        <w:jc w:val="left"/>
        <w:outlineLvl w:val="2"/>
        <w:rPr>
          <w:rFonts w:ascii="楷体_GB2312" w:eastAsia="楷体_GB2312" w:hAnsi="Times New Roman" w:cs="Times New Roman"/>
          <w:bCs/>
          <w:sz w:val="32"/>
          <w:szCs w:val="32"/>
        </w:rPr>
      </w:pPr>
      <w:r>
        <w:rPr>
          <w:rFonts w:ascii="楷体_GB2312" w:eastAsia="楷体_GB2312" w:hAnsi="Times New Roman" w:cs="Times New Roman" w:hint="eastAsia"/>
          <w:bCs/>
          <w:sz w:val="32"/>
          <w:szCs w:val="32"/>
        </w:rPr>
        <w:t>近期规划目标</w:t>
      </w:r>
    </w:p>
    <w:p w14:paraId="45320C6E" w14:textId="77777777" w:rsidR="00280812" w:rsidRDefault="00000000">
      <w:pPr>
        <w:pStyle w:val="a7"/>
        <w:ind w:firstLine="640"/>
        <w:rPr>
          <w:rFonts w:hAnsi="仿宋_GB2312" w:cs="仿宋_GB2312" w:hint="eastAsia"/>
        </w:rPr>
      </w:pPr>
      <w:r>
        <w:rPr>
          <w:rFonts w:hAnsi="仿宋_GB2312" w:cs="仿宋_GB2312" w:hint="eastAsia"/>
        </w:rPr>
        <w:t>到2025年，乡村现代化取得重要进展；农牧区生产生活绿色转型，人居和生态环境明显改善，城乡基本公共服务均等化水平显著提升；城乡居民收入差距明显缩小；乡村产业体系健全完善，城乡融合和可持续发展能力显著增强；乡</w:t>
      </w:r>
      <w:proofErr w:type="gramStart"/>
      <w:r>
        <w:rPr>
          <w:rFonts w:hAnsi="仿宋_GB2312" w:cs="仿宋_GB2312" w:hint="eastAsia"/>
        </w:rPr>
        <w:t>风文明</w:t>
      </w:r>
      <w:proofErr w:type="gramEnd"/>
      <w:r>
        <w:rPr>
          <w:rFonts w:hAnsi="仿宋_GB2312" w:cs="仿宋_GB2312" w:hint="eastAsia"/>
        </w:rPr>
        <w:t>明显提升，发展安全保障更加有力，农牧民获得感、幸福感、安全感全面提高。</w:t>
      </w:r>
    </w:p>
    <w:p w14:paraId="2C13B027" w14:textId="77777777" w:rsidR="00280812" w:rsidRDefault="00000000">
      <w:pPr>
        <w:pStyle w:val="a7"/>
        <w:ind w:firstLine="640"/>
        <w:rPr>
          <w:rFonts w:hAnsi="仿宋_GB2312" w:cs="仿宋_GB2312" w:hint="eastAsia"/>
        </w:rPr>
      </w:pPr>
      <w:r>
        <w:rPr>
          <w:rFonts w:hAnsi="仿宋_GB2312" w:cs="仿宋_GB2312" w:hint="eastAsia"/>
        </w:rPr>
        <w:t>到2025年，</w:t>
      </w:r>
      <w:r>
        <w:rPr>
          <w:rFonts w:hint="eastAsia"/>
        </w:rPr>
        <w:t>集镇服务功能进一步完善，功能服务多样化，生活质量提升；道路系统和基础设施建设更加完善，集镇环境质量更加优化，人居环境更加美好。</w:t>
      </w:r>
    </w:p>
    <w:p w14:paraId="0A5999FE" w14:textId="77777777" w:rsidR="00280812" w:rsidRDefault="00000000">
      <w:pPr>
        <w:keepNext/>
        <w:keepLines/>
        <w:numPr>
          <w:ilvl w:val="0"/>
          <w:numId w:val="4"/>
        </w:numPr>
        <w:tabs>
          <w:tab w:val="left" w:pos="851"/>
        </w:tabs>
        <w:spacing w:before="300" w:line="420" w:lineRule="exact"/>
        <w:ind w:left="0" w:firstLineChars="200" w:firstLine="640"/>
        <w:jc w:val="left"/>
        <w:outlineLvl w:val="2"/>
        <w:rPr>
          <w:rFonts w:ascii="楷体_GB2312" w:eastAsia="楷体_GB2312" w:hAnsi="Times New Roman" w:cs="Times New Roman"/>
          <w:bCs/>
          <w:sz w:val="32"/>
          <w:szCs w:val="32"/>
        </w:rPr>
      </w:pPr>
      <w:r>
        <w:rPr>
          <w:rFonts w:ascii="楷体_GB2312" w:eastAsia="楷体_GB2312" w:hAnsi="Times New Roman" w:cs="Times New Roman" w:hint="eastAsia"/>
          <w:bCs/>
          <w:sz w:val="32"/>
          <w:szCs w:val="32"/>
        </w:rPr>
        <w:t>保障近期重点项目空间</w:t>
      </w:r>
    </w:p>
    <w:p w14:paraId="2A75663D" w14:textId="77777777" w:rsidR="00280812" w:rsidRDefault="00000000">
      <w:pPr>
        <w:pStyle w:val="a7"/>
        <w:ind w:firstLine="640"/>
        <w:rPr>
          <w:rFonts w:hAnsi="仿宋_GB2312" w:cs="仿宋_GB2312" w:hint="eastAsia"/>
        </w:rPr>
      </w:pPr>
      <w:r>
        <w:rPr>
          <w:rFonts w:hAnsi="仿宋_GB2312" w:cs="仿宋_GB2312" w:hint="eastAsia"/>
        </w:rPr>
        <w:t>重点做好国家、省、州、县“十四五”交通、水利、</w:t>
      </w:r>
      <w:r>
        <w:rPr>
          <w:rFonts w:hAnsi="仿宋_GB2312" w:cs="仿宋_GB2312" w:hint="eastAsia"/>
        </w:rPr>
        <w:lastRenderedPageBreak/>
        <w:t>能源等重大基础设施项目用地保障，落实省、州、</w:t>
      </w:r>
      <w:proofErr w:type="gramStart"/>
      <w:r>
        <w:rPr>
          <w:rFonts w:hAnsi="仿宋_GB2312" w:cs="仿宋_GB2312" w:hint="eastAsia"/>
        </w:rPr>
        <w:t>县重大</w:t>
      </w:r>
      <w:proofErr w:type="gramEnd"/>
      <w:r>
        <w:rPr>
          <w:rFonts w:hAnsi="仿宋_GB2312" w:cs="仿宋_GB2312" w:hint="eastAsia"/>
        </w:rPr>
        <w:t>创新载体、重大产业项目、重大生态环保、重大民生工程和重大基础设施用地需求，持续优化国土空间格局和用地结构，提升生态屏障功能，促进生态保护和高质量发展协同并进。</w:t>
      </w:r>
    </w:p>
    <w:p w14:paraId="74DFF824" w14:textId="77777777" w:rsidR="00280812" w:rsidRDefault="00000000">
      <w:pPr>
        <w:keepNext/>
        <w:keepLines/>
        <w:numPr>
          <w:ilvl w:val="0"/>
          <w:numId w:val="4"/>
        </w:numPr>
        <w:tabs>
          <w:tab w:val="left" w:pos="851"/>
        </w:tabs>
        <w:spacing w:before="300" w:line="420" w:lineRule="exact"/>
        <w:ind w:left="0" w:firstLineChars="200" w:firstLine="640"/>
        <w:jc w:val="left"/>
        <w:outlineLvl w:val="2"/>
        <w:rPr>
          <w:rFonts w:ascii="楷体_GB2312" w:eastAsia="楷体_GB2312" w:hAnsi="Times New Roman" w:cs="Times New Roman"/>
          <w:bCs/>
          <w:sz w:val="32"/>
          <w:szCs w:val="32"/>
        </w:rPr>
      </w:pPr>
      <w:r>
        <w:rPr>
          <w:rFonts w:ascii="楷体_GB2312" w:eastAsia="楷体_GB2312" w:hAnsi="Times New Roman" w:cs="Times New Roman" w:hint="eastAsia"/>
          <w:bCs/>
          <w:sz w:val="32"/>
          <w:szCs w:val="32"/>
        </w:rPr>
        <w:t>统筹推进生态修复重大工程</w:t>
      </w:r>
    </w:p>
    <w:p w14:paraId="4F3F6FF1" w14:textId="77777777" w:rsidR="00280812" w:rsidRDefault="00000000">
      <w:pPr>
        <w:pStyle w:val="a7"/>
        <w:ind w:firstLine="640"/>
        <w:rPr>
          <w:rFonts w:hAnsi="仿宋_GB2312" w:cs="仿宋_GB2312" w:hint="eastAsia"/>
        </w:rPr>
      </w:pPr>
      <w:r>
        <w:rPr>
          <w:rFonts w:hAnsi="仿宋_GB2312" w:cs="仿宋_GB2312" w:hint="eastAsia"/>
        </w:rPr>
        <w:t>坚持自然恢复与工程措施相结合，深入贯彻“山水林田湖草沙是一个生命共同体”的理念，统筹山水林田湖草</w:t>
      </w:r>
      <w:proofErr w:type="gramStart"/>
      <w:r>
        <w:rPr>
          <w:rFonts w:hAnsi="仿宋_GB2312" w:cs="仿宋_GB2312" w:hint="eastAsia"/>
        </w:rPr>
        <w:t>沙系统</w:t>
      </w:r>
      <w:proofErr w:type="gramEnd"/>
      <w:r>
        <w:rPr>
          <w:rFonts w:hAnsi="仿宋_GB2312" w:cs="仿宋_GB2312" w:hint="eastAsia"/>
        </w:rPr>
        <w:t>治理，以大项工程、专项工程全面提升全域生态功能。</w:t>
      </w:r>
    </w:p>
    <w:p w14:paraId="3EA58A14" w14:textId="4983BF43" w:rsidR="00280812" w:rsidRDefault="00280812" w:rsidP="00F14ECC">
      <w:pPr>
        <w:pStyle w:val="1"/>
        <w:numPr>
          <w:ilvl w:val="0"/>
          <w:numId w:val="0"/>
        </w:numPr>
        <w:jc w:val="both"/>
        <w:rPr>
          <w:rFonts w:ascii="仿宋" w:eastAsia="仿宋_GB2312" w:hAnsi="仿宋" w:cs="仿宋" w:hint="eastAsia"/>
          <w:sz w:val="32"/>
          <w:szCs w:val="36"/>
        </w:rPr>
      </w:pPr>
    </w:p>
    <w:sectPr w:rsidR="00280812">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4527" w14:textId="77777777" w:rsidR="00724BE5" w:rsidRDefault="00724BE5">
      <w:r>
        <w:separator/>
      </w:r>
    </w:p>
  </w:endnote>
  <w:endnote w:type="continuationSeparator" w:id="0">
    <w:p w14:paraId="423003C5" w14:textId="77777777" w:rsidR="00724BE5" w:rsidRDefault="0072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7B71019D-D896-4D67-B969-216C0D71C69F}"/>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2" w:subsetted="1" w:fontKey="{AF83C3CC-A8AB-4885-80BC-18E35DF79AED}"/>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Times New Roman"/>
    <w:panose1 w:val="02010609030101010101"/>
    <w:charset w:val="86"/>
    <w:family w:val="modern"/>
    <w:pitch w:val="fixed"/>
    <w:sig w:usb0="00000001" w:usb1="080E0000" w:usb2="00000010" w:usb3="00000000" w:csb0="00040000" w:csb1="00000000"/>
    <w:embedRegular r:id="rId3" w:subsetted="1" w:fontKey="{6907300C-BFCA-44A4-BEDE-F2FE493325EE}"/>
    <w:embedBold r:id="rId4" w:subsetted="1" w:fontKey="{4D3D18AF-B6F2-4F70-8B11-FB932B6AB4E2}"/>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5" w:subsetted="1" w:fontKey="{9147F2D9-6F6C-4179-9C30-0FB25498D15F}"/>
  </w:font>
  <w:font w:name="楷体_GB2312">
    <w:altName w:val="汉仪楷体KW"/>
    <w:panose1 w:val="02010609030101010101"/>
    <w:charset w:val="86"/>
    <w:family w:val="modern"/>
    <w:pitch w:val="fixed"/>
    <w:sig w:usb0="00000001" w:usb1="080E0000" w:usb2="00000010" w:usb3="00000000" w:csb0="00040000" w:csb1="00000000"/>
    <w:embedRegular r:id="rId6" w:subsetted="1" w:fontKey="{E070C8C4-8A63-4C28-A802-8E9B288247FA}"/>
  </w:font>
  <w:font w:name="等线">
    <w:altName w:val="DengXian"/>
    <w:panose1 w:val="02010600030101010101"/>
    <w:charset w:val="86"/>
    <w:family w:val="auto"/>
    <w:pitch w:val="variable"/>
    <w:sig w:usb0="A00002BF" w:usb1="38CF7CFA" w:usb2="00000016" w:usb3="00000000" w:csb0="0004000F" w:csb1="00000000"/>
  </w:font>
  <w:font w:name="方正小标宋_GBK">
    <w:altName w:val="华文中宋"/>
    <w:charset w:val="86"/>
    <w:family w:val="script"/>
    <w:pitch w:val="default"/>
    <w:sig w:usb0="A00002BF" w:usb1="38CF7CFA" w:usb2="00082016" w:usb3="00000000" w:csb0="00040001" w:csb1="00000000"/>
    <w:embedRegular r:id="rId7" w:subsetted="1" w:fontKey="{5AA55C7B-CD89-4D4F-82A0-5BD0E043F2F9}"/>
  </w:font>
  <w:font w:name="微软雅黑">
    <w:panose1 w:val="020B0503020204020204"/>
    <w:charset w:val="86"/>
    <w:family w:val="swiss"/>
    <w:pitch w:val="variable"/>
    <w:sig w:usb0="80000287" w:usb1="2ACF3C50" w:usb2="00000016" w:usb3="00000000" w:csb0="0004001F" w:csb1="00000000"/>
    <w:embedRegular r:id="rId8" w:subsetted="1" w:fontKey="{2F1F0C45-6CBA-4FC7-BF2D-0294E4E4715B}"/>
  </w:font>
  <w:font w:name="楷体">
    <w:panose1 w:val="02010609060101010101"/>
    <w:charset w:val="86"/>
    <w:family w:val="modern"/>
    <w:pitch w:val="fixed"/>
    <w:sig w:usb0="800002BF" w:usb1="38CF7CFA" w:usb2="00000016" w:usb3="00000000" w:csb0="00040001" w:csb1="00000000"/>
    <w:embedRegular r:id="rId9" w:subsetted="1" w:fontKey="{4EDBAD60-8122-4FFE-89D4-E7559D9D69A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5E5F" w14:textId="77777777" w:rsidR="00280812" w:rsidRDefault="00280812">
    <w:pPr>
      <w:pStyle w:val="ac"/>
      <w:ind w:firstLine="360"/>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6B10" w14:textId="77777777" w:rsidR="00280812" w:rsidRDefault="00000000">
    <w:pPr>
      <w:pStyle w:val="ac"/>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p w14:paraId="157FC34A" w14:textId="77777777" w:rsidR="00280812" w:rsidRDefault="002808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187A" w14:textId="77777777" w:rsidR="00724BE5" w:rsidRDefault="00724BE5">
      <w:r>
        <w:separator/>
      </w:r>
    </w:p>
  </w:footnote>
  <w:footnote w:type="continuationSeparator" w:id="0">
    <w:p w14:paraId="3F825642" w14:textId="77777777" w:rsidR="00724BE5" w:rsidRDefault="00724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7378D"/>
    <w:multiLevelType w:val="multilevel"/>
    <w:tmpl w:val="21A7378D"/>
    <w:lvl w:ilvl="0">
      <w:start w:val="1"/>
      <w:numFmt w:val="japaneseCounting"/>
      <w:pStyle w:val="a"/>
      <w:lvlText w:val="（%1）"/>
      <w:lvlJc w:val="left"/>
      <w:pPr>
        <w:ind w:left="1640" w:hanging="1080"/>
      </w:pPr>
      <w:rPr>
        <w:rFonts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1" w15:restartNumberingAfterBreak="0">
    <w:nsid w:val="43BB312C"/>
    <w:multiLevelType w:val="multilevel"/>
    <w:tmpl w:val="43BB312C"/>
    <w:lvl w:ilvl="0">
      <w:start w:val="1"/>
      <w:numFmt w:val="chineseCountingThousand"/>
      <w:pStyle w:val="2"/>
      <w:lvlText w:val="第%1节 "/>
      <w:lvlJc w:val="left"/>
      <w:pPr>
        <w:ind w:left="640" w:hanging="440"/>
      </w:pPr>
      <w:rPr>
        <w:rFonts w:ascii="黑体" w:eastAsia="黑体" w:hAnsi="黑体" w:hint="eastAsia"/>
        <w:b w:val="0"/>
        <w:i w:val="0"/>
        <w:sz w:val="32"/>
      </w:rPr>
    </w:lvl>
    <w:lvl w:ilvl="1">
      <w:start w:val="1"/>
      <w:numFmt w:val="lowerLetter"/>
      <w:lvlText w:val="%2)"/>
      <w:lvlJc w:val="left"/>
      <w:pPr>
        <w:ind w:left="1080" w:hanging="440"/>
      </w:pPr>
    </w:lvl>
    <w:lvl w:ilvl="2">
      <w:start w:val="1"/>
      <w:numFmt w:val="lowerRoman"/>
      <w:lvlText w:val="%3."/>
      <w:lvlJc w:val="right"/>
      <w:pPr>
        <w:ind w:left="1520" w:hanging="440"/>
      </w:pPr>
    </w:lvl>
    <w:lvl w:ilvl="3">
      <w:start w:val="1"/>
      <w:numFmt w:val="decimal"/>
      <w:lvlText w:val="%4."/>
      <w:lvlJc w:val="left"/>
      <w:pPr>
        <w:ind w:left="1960" w:hanging="440"/>
      </w:pPr>
    </w:lvl>
    <w:lvl w:ilvl="4">
      <w:start w:val="1"/>
      <w:numFmt w:val="lowerLetter"/>
      <w:lvlText w:val="%5)"/>
      <w:lvlJc w:val="left"/>
      <w:pPr>
        <w:ind w:left="2400" w:hanging="440"/>
      </w:pPr>
    </w:lvl>
    <w:lvl w:ilvl="5">
      <w:start w:val="1"/>
      <w:numFmt w:val="lowerRoman"/>
      <w:lvlText w:val="%6."/>
      <w:lvlJc w:val="right"/>
      <w:pPr>
        <w:ind w:left="2840" w:hanging="440"/>
      </w:pPr>
    </w:lvl>
    <w:lvl w:ilvl="6">
      <w:start w:val="1"/>
      <w:numFmt w:val="decimal"/>
      <w:lvlText w:val="%7."/>
      <w:lvlJc w:val="left"/>
      <w:pPr>
        <w:ind w:left="3280" w:hanging="440"/>
      </w:pPr>
    </w:lvl>
    <w:lvl w:ilvl="7">
      <w:start w:val="1"/>
      <w:numFmt w:val="lowerLetter"/>
      <w:lvlText w:val="%8)"/>
      <w:lvlJc w:val="left"/>
      <w:pPr>
        <w:ind w:left="3720" w:hanging="440"/>
      </w:pPr>
    </w:lvl>
    <w:lvl w:ilvl="8">
      <w:start w:val="1"/>
      <w:numFmt w:val="lowerRoman"/>
      <w:lvlText w:val="%9."/>
      <w:lvlJc w:val="right"/>
      <w:pPr>
        <w:ind w:left="4160" w:hanging="440"/>
      </w:pPr>
    </w:lvl>
  </w:abstractNum>
  <w:abstractNum w:abstractNumId="2" w15:restartNumberingAfterBreak="0">
    <w:nsid w:val="62BA49CC"/>
    <w:multiLevelType w:val="multilevel"/>
    <w:tmpl w:val="62BA49CC"/>
    <w:lvl w:ilvl="0">
      <w:start w:val="1"/>
      <w:numFmt w:val="decimal"/>
      <w:pStyle w:val="a0"/>
      <w:lvlText w:val="第%1条 "/>
      <w:lvlJc w:val="left"/>
      <w:pPr>
        <w:ind w:left="1552" w:hanging="984"/>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A4223B0"/>
    <w:multiLevelType w:val="multilevel"/>
    <w:tmpl w:val="6A4223B0"/>
    <w:lvl w:ilvl="0">
      <w:start w:val="1"/>
      <w:numFmt w:val="chineseCountingThousand"/>
      <w:pStyle w:val="1"/>
      <w:lvlText w:val="第%1章 "/>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130665949">
    <w:abstractNumId w:val="3"/>
  </w:num>
  <w:num w:numId="2" w16cid:durableId="733240941">
    <w:abstractNumId w:val="1"/>
  </w:num>
  <w:num w:numId="3" w16cid:durableId="307520475">
    <w:abstractNumId w:val="0"/>
  </w:num>
  <w:num w:numId="4" w16cid:durableId="419254996">
    <w:abstractNumId w:val="2"/>
  </w:num>
  <w:num w:numId="5" w16cid:durableId="1126584037">
    <w:abstractNumId w:val="1"/>
    <w:lvlOverride w:ilvl="0">
      <w:startOverride w:val="1"/>
    </w:lvlOverride>
  </w:num>
  <w:num w:numId="6" w16cid:durableId="1943567320">
    <w:abstractNumId w:val="1"/>
    <w:lvlOverride w:ilvl="0">
      <w:startOverride w:val="1"/>
    </w:lvlOverride>
  </w:num>
  <w:num w:numId="7" w16cid:durableId="880435782">
    <w:abstractNumId w:val="1"/>
    <w:lvlOverride w:ilvl="0">
      <w:startOverride w:val="1"/>
    </w:lvlOverride>
  </w:num>
  <w:num w:numId="8" w16cid:durableId="11152385">
    <w:abstractNumId w:val="1"/>
    <w:lvlOverride w:ilvl="0">
      <w:startOverride w:val="1"/>
    </w:lvlOverride>
  </w:num>
  <w:num w:numId="9" w16cid:durableId="754861553">
    <w:abstractNumId w:val="1"/>
    <w:lvlOverride w:ilvl="0">
      <w:startOverride w:val="1"/>
    </w:lvlOverride>
  </w:num>
  <w:num w:numId="10" w16cid:durableId="1588222647">
    <w:abstractNumId w:val="1"/>
    <w:lvlOverride w:ilvl="0">
      <w:startOverride w:val="1"/>
    </w:lvlOverride>
  </w:num>
  <w:num w:numId="11" w16cid:durableId="1561552331">
    <w:abstractNumId w:val="1"/>
    <w:lvlOverride w:ilvl="0">
      <w:startOverride w:val="1"/>
    </w:lvlOverride>
  </w:num>
  <w:num w:numId="12" w16cid:durableId="1325743762">
    <w:abstractNumId w:val="1"/>
    <w:lvlOverride w:ilvl="0">
      <w:startOverride w:val="1"/>
    </w:lvlOverride>
  </w:num>
  <w:num w:numId="13" w16cid:durableId="3974297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Y1MDc1YTVkYTZiMWRhZjUyNzg0N2I4MjlmZTlkODcifQ=="/>
  </w:docVars>
  <w:rsids>
    <w:rsidRoot w:val="00B34DBA"/>
    <w:rsid w:val="00012038"/>
    <w:rsid w:val="00012CCC"/>
    <w:rsid w:val="00013928"/>
    <w:rsid w:val="00023FA8"/>
    <w:rsid w:val="00024975"/>
    <w:rsid w:val="00030138"/>
    <w:rsid w:val="000325A7"/>
    <w:rsid w:val="00037465"/>
    <w:rsid w:val="00047244"/>
    <w:rsid w:val="000613C2"/>
    <w:rsid w:val="00072F3F"/>
    <w:rsid w:val="00080583"/>
    <w:rsid w:val="0008501F"/>
    <w:rsid w:val="00086511"/>
    <w:rsid w:val="0009039D"/>
    <w:rsid w:val="00091072"/>
    <w:rsid w:val="0009298A"/>
    <w:rsid w:val="00097B9C"/>
    <w:rsid w:val="000A23D0"/>
    <w:rsid w:val="000A2EE3"/>
    <w:rsid w:val="000A3460"/>
    <w:rsid w:val="000B0626"/>
    <w:rsid w:val="000C2BEC"/>
    <w:rsid w:val="000C2F45"/>
    <w:rsid w:val="000D7B33"/>
    <w:rsid w:val="000E47B8"/>
    <w:rsid w:val="00104241"/>
    <w:rsid w:val="0013284C"/>
    <w:rsid w:val="0015007D"/>
    <w:rsid w:val="001501E7"/>
    <w:rsid w:val="00154EED"/>
    <w:rsid w:val="00160BC5"/>
    <w:rsid w:val="00172D9C"/>
    <w:rsid w:val="001772F3"/>
    <w:rsid w:val="00183859"/>
    <w:rsid w:val="001844C3"/>
    <w:rsid w:val="00187C1D"/>
    <w:rsid w:val="00190526"/>
    <w:rsid w:val="001965BD"/>
    <w:rsid w:val="001A3EA1"/>
    <w:rsid w:val="001B4FB2"/>
    <w:rsid w:val="001B4FB8"/>
    <w:rsid w:val="001C481C"/>
    <w:rsid w:val="001C652E"/>
    <w:rsid w:val="001C7CEE"/>
    <w:rsid w:val="001D0527"/>
    <w:rsid w:val="001D08B7"/>
    <w:rsid w:val="001D0BCF"/>
    <w:rsid w:val="001D301B"/>
    <w:rsid w:val="001E3BBC"/>
    <w:rsid w:val="001F17A1"/>
    <w:rsid w:val="001F65EE"/>
    <w:rsid w:val="001F7CB5"/>
    <w:rsid w:val="00202B2F"/>
    <w:rsid w:val="002260CA"/>
    <w:rsid w:val="00226920"/>
    <w:rsid w:val="0024479D"/>
    <w:rsid w:val="0025062A"/>
    <w:rsid w:val="00267A72"/>
    <w:rsid w:val="00271077"/>
    <w:rsid w:val="00280812"/>
    <w:rsid w:val="0029112F"/>
    <w:rsid w:val="00291B71"/>
    <w:rsid w:val="0029584F"/>
    <w:rsid w:val="002A0E80"/>
    <w:rsid w:val="002A1569"/>
    <w:rsid w:val="002A5607"/>
    <w:rsid w:val="002B128A"/>
    <w:rsid w:val="002C0F63"/>
    <w:rsid w:val="002C4251"/>
    <w:rsid w:val="002D5841"/>
    <w:rsid w:val="002E447A"/>
    <w:rsid w:val="002F246C"/>
    <w:rsid w:val="002F2B5C"/>
    <w:rsid w:val="002F7EE2"/>
    <w:rsid w:val="00304706"/>
    <w:rsid w:val="00313475"/>
    <w:rsid w:val="003135C1"/>
    <w:rsid w:val="00313777"/>
    <w:rsid w:val="003145B0"/>
    <w:rsid w:val="00315BAD"/>
    <w:rsid w:val="00322239"/>
    <w:rsid w:val="00331419"/>
    <w:rsid w:val="0033322D"/>
    <w:rsid w:val="003338B2"/>
    <w:rsid w:val="00340EFA"/>
    <w:rsid w:val="0034536B"/>
    <w:rsid w:val="00353757"/>
    <w:rsid w:val="0036033D"/>
    <w:rsid w:val="003617E9"/>
    <w:rsid w:val="00363AE2"/>
    <w:rsid w:val="003765A7"/>
    <w:rsid w:val="00391750"/>
    <w:rsid w:val="00394B04"/>
    <w:rsid w:val="00394B50"/>
    <w:rsid w:val="003A40AE"/>
    <w:rsid w:val="003B08C4"/>
    <w:rsid w:val="003B0E2F"/>
    <w:rsid w:val="003B6133"/>
    <w:rsid w:val="003C21AD"/>
    <w:rsid w:val="003D372B"/>
    <w:rsid w:val="003D7B85"/>
    <w:rsid w:val="003E5364"/>
    <w:rsid w:val="004010C8"/>
    <w:rsid w:val="00403C9F"/>
    <w:rsid w:val="004043E4"/>
    <w:rsid w:val="00406450"/>
    <w:rsid w:val="004151A8"/>
    <w:rsid w:val="004211FD"/>
    <w:rsid w:val="00421AC6"/>
    <w:rsid w:val="004349C0"/>
    <w:rsid w:val="00441878"/>
    <w:rsid w:val="00443850"/>
    <w:rsid w:val="004512C9"/>
    <w:rsid w:val="00454961"/>
    <w:rsid w:val="00465A69"/>
    <w:rsid w:val="0047061C"/>
    <w:rsid w:val="00471277"/>
    <w:rsid w:val="004750F0"/>
    <w:rsid w:val="004870E7"/>
    <w:rsid w:val="004940CD"/>
    <w:rsid w:val="0049517F"/>
    <w:rsid w:val="004A2605"/>
    <w:rsid w:val="004A38AB"/>
    <w:rsid w:val="004A4444"/>
    <w:rsid w:val="004A7559"/>
    <w:rsid w:val="004B1F75"/>
    <w:rsid w:val="004B5A3F"/>
    <w:rsid w:val="004C1D50"/>
    <w:rsid w:val="004C6B38"/>
    <w:rsid w:val="004C7CF8"/>
    <w:rsid w:val="004D0FFE"/>
    <w:rsid w:val="004D5599"/>
    <w:rsid w:val="004D6F51"/>
    <w:rsid w:val="004E3129"/>
    <w:rsid w:val="004E682F"/>
    <w:rsid w:val="004F44B5"/>
    <w:rsid w:val="004F4FA0"/>
    <w:rsid w:val="004F5D16"/>
    <w:rsid w:val="004F68B0"/>
    <w:rsid w:val="005018EB"/>
    <w:rsid w:val="00510460"/>
    <w:rsid w:val="00510935"/>
    <w:rsid w:val="0051307C"/>
    <w:rsid w:val="00517AA1"/>
    <w:rsid w:val="00536A4E"/>
    <w:rsid w:val="0054224D"/>
    <w:rsid w:val="00551299"/>
    <w:rsid w:val="005556F7"/>
    <w:rsid w:val="00563F19"/>
    <w:rsid w:val="005766E5"/>
    <w:rsid w:val="00581662"/>
    <w:rsid w:val="005869CE"/>
    <w:rsid w:val="00593D4F"/>
    <w:rsid w:val="005A56A1"/>
    <w:rsid w:val="005A6F72"/>
    <w:rsid w:val="005B3F77"/>
    <w:rsid w:val="005B7FEB"/>
    <w:rsid w:val="005C6829"/>
    <w:rsid w:val="005D313F"/>
    <w:rsid w:val="005D3285"/>
    <w:rsid w:val="005E58B8"/>
    <w:rsid w:val="005F1D55"/>
    <w:rsid w:val="005F4706"/>
    <w:rsid w:val="00604889"/>
    <w:rsid w:val="00606846"/>
    <w:rsid w:val="006170D1"/>
    <w:rsid w:val="00621FCD"/>
    <w:rsid w:val="00631117"/>
    <w:rsid w:val="006416AA"/>
    <w:rsid w:val="0065732C"/>
    <w:rsid w:val="00661767"/>
    <w:rsid w:val="0066714F"/>
    <w:rsid w:val="0069294E"/>
    <w:rsid w:val="006A0B8B"/>
    <w:rsid w:val="006B541D"/>
    <w:rsid w:val="006C71F3"/>
    <w:rsid w:val="006E0FCB"/>
    <w:rsid w:val="006F0E86"/>
    <w:rsid w:val="006F2D20"/>
    <w:rsid w:val="006F395B"/>
    <w:rsid w:val="007030DC"/>
    <w:rsid w:val="00710749"/>
    <w:rsid w:val="007241CD"/>
    <w:rsid w:val="00724BE5"/>
    <w:rsid w:val="00751CAC"/>
    <w:rsid w:val="007529A2"/>
    <w:rsid w:val="00771842"/>
    <w:rsid w:val="0078038F"/>
    <w:rsid w:val="007A2C13"/>
    <w:rsid w:val="007A3718"/>
    <w:rsid w:val="007C7EB0"/>
    <w:rsid w:val="007D52E9"/>
    <w:rsid w:val="007E4CA5"/>
    <w:rsid w:val="007E6409"/>
    <w:rsid w:val="007F03F6"/>
    <w:rsid w:val="007F35EC"/>
    <w:rsid w:val="007F7AA7"/>
    <w:rsid w:val="0080699E"/>
    <w:rsid w:val="00812438"/>
    <w:rsid w:val="00812666"/>
    <w:rsid w:val="00827130"/>
    <w:rsid w:val="00832939"/>
    <w:rsid w:val="00835045"/>
    <w:rsid w:val="008351E0"/>
    <w:rsid w:val="00837AC4"/>
    <w:rsid w:val="0084344B"/>
    <w:rsid w:val="00847627"/>
    <w:rsid w:val="00857FE5"/>
    <w:rsid w:val="00863907"/>
    <w:rsid w:val="00864E57"/>
    <w:rsid w:val="00866AE7"/>
    <w:rsid w:val="00877B11"/>
    <w:rsid w:val="00887CF7"/>
    <w:rsid w:val="008A0BDF"/>
    <w:rsid w:val="008A4C35"/>
    <w:rsid w:val="008A7D7A"/>
    <w:rsid w:val="008B01D3"/>
    <w:rsid w:val="008B4DAE"/>
    <w:rsid w:val="008C0790"/>
    <w:rsid w:val="008D54CC"/>
    <w:rsid w:val="008E3285"/>
    <w:rsid w:val="008E7E02"/>
    <w:rsid w:val="008F1F98"/>
    <w:rsid w:val="008F5BEE"/>
    <w:rsid w:val="00901DEE"/>
    <w:rsid w:val="00906CCF"/>
    <w:rsid w:val="00907930"/>
    <w:rsid w:val="00912F12"/>
    <w:rsid w:val="00947498"/>
    <w:rsid w:val="00951889"/>
    <w:rsid w:val="0096143D"/>
    <w:rsid w:val="009643E6"/>
    <w:rsid w:val="00965B37"/>
    <w:rsid w:val="00970C0E"/>
    <w:rsid w:val="0098445D"/>
    <w:rsid w:val="009862C9"/>
    <w:rsid w:val="009A0732"/>
    <w:rsid w:val="009A19EB"/>
    <w:rsid w:val="009A4578"/>
    <w:rsid w:val="009B7022"/>
    <w:rsid w:val="009C05CE"/>
    <w:rsid w:val="009C194A"/>
    <w:rsid w:val="009D3F88"/>
    <w:rsid w:val="009E3140"/>
    <w:rsid w:val="009E3250"/>
    <w:rsid w:val="009E62E6"/>
    <w:rsid w:val="009F6710"/>
    <w:rsid w:val="00A057AA"/>
    <w:rsid w:val="00A061DE"/>
    <w:rsid w:val="00A07ACB"/>
    <w:rsid w:val="00A12880"/>
    <w:rsid w:val="00A21819"/>
    <w:rsid w:val="00A54650"/>
    <w:rsid w:val="00A56CA7"/>
    <w:rsid w:val="00A60DD5"/>
    <w:rsid w:val="00A82A66"/>
    <w:rsid w:val="00A849B6"/>
    <w:rsid w:val="00A85E32"/>
    <w:rsid w:val="00AA37E1"/>
    <w:rsid w:val="00AC4AF1"/>
    <w:rsid w:val="00AD1EF9"/>
    <w:rsid w:val="00AD33F4"/>
    <w:rsid w:val="00AD76B9"/>
    <w:rsid w:val="00AE64DA"/>
    <w:rsid w:val="00AE7E97"/>
    <w:rsid w:val="00AF1DDC"/>
    <w:rsid w:val="00B00D72"/>
    <w:rsid w:val="00B051BA"/>
    <w:rsid w:val="00B07FF1"/>
    <w:rsid w:val="00B1232F"/>
    <w:rsid w:val="00B12BC7"/>
    <w:rsid w:val="00B13B94"/>
    <w:rsid w:val="00B14938"/>
    <w:rsid w:val="00B17723"/>
    <w:rsid w:val="00B22107"/>
    <w:rsid w:val="00B2504A"/>
    <w:rsid w:val="00B254EB"/>
    <w:rsid w:val="00B30AE8"/>
    <w:rsid w:val="00B312BB"/>
    <w:rsid w:val="00B34DBA"/>
    <w:rsid w:val="00B47F37"/>
    <w:rsid w:val="00B523C1"/>
    <w:rsid w:val="00B5257C"/>
    <w:rsid w:val="00B56451"/>
    <w:rsid w:val="00B72B62"/>
    <w:rsid w:val="00B74ADE"/>
    <w:rsid w:val="00B74F19"/>
    <w:rsid w:val="00B758CE"/>
    <w:rsid w:val="00B77B6D"/>
    <w:rsid w:val="00B80A4F"/>
    <w:rsid w:val="00B9383E"/>
    <w:rsid w:val="00B96E28"/>
    <w:rsid w:val="00BA03F8"/>
    <w:rsid w:val="00BA0793"/>
    <w:rsid w:val="00BB0B22"/>
    <w:rsid w:val="00BB3A62"/>
    <w:rsid w:val="00BD6F1E"/>
    <w:rsid w:val="00BE1B9F"/>
    <w:rsid w:val="00BE5035"/>
    <w:rsid w:val="00BE5E41"/>
    <w:rsid w:val="00BF31A2"/>
    <w:rsid w:val="00C0076D"/>
    <w:rsid w:val="00C13600"/>
    <w:rsid w:val="00C21140"/>
    <w:rsid w:val="00C2476F"/>
    <w:rsid w:val="00C24C00"/>
    <w:rsid w:val="00C25189"/>
    <w:rsid w:val="00C3178D"/>
    <w:rsid w:val="00C34A7C"/>
    <w:rsid w:val="00C435BE"/>
    <w:rsid w:val="00C4408B"/>
    <w:rsid w:val="00C448B8"/>
    <w:rsid w:val="00C63FA7"/>
    <w:rsid w:val="00C723F5"/>
    <w:rsid w:val="00C73457"/>
    <w:rsid w:val="00C74EFB"/>
    <w:rsid w:val="00C77FAB"/>
    <w:rsid w:val="00C85BB5"/>
    <w:rsid w:val="00CA2F83"/>
    <w:rsid w:val="00CD3927"/>
    <w:rsid w:val="00CE4048"/>
    <w:rsid w:val="00CF38C9"/>
    <w:rsid w:val="00CF5066"/>
    <w:rsid w:val="00CF5E87"/>
    <w:rsid w:val="00D1346B"/>
    <w:rsid w:val="00D148A6"/>
    <w:rsid w:val="00D25DF7"/>
    <w:rsid w:val="00D305D2"/>
    <w:rsid w:val="00D36C35"/>
    <w:rsid w:val="00D54C8C"/>
    <w:rsid w:val="00D6174F"/>
    <w:rsid w:val="00D6377C"/>
    <w:rsid w:val="00D6549B"/>
    <w:rsid w:val="00D71189"/>
    <w:rsid w:val="00D8564A"/>
    <w:rsid w:val="00D9330B"/>
    <w:rsid w:val="00DA170C"/>
    <w:rsid w:val="00DA28D4"/>
    <w:rsid w:val="00DA3A93"/>
    <w:rsid w:val="00DB3975"/>
    <w:rsid w:val="00DB4811"/>
    <w:rsid w:val="00DC2633"/>
    <w:rsid w:val="00DD30E2"/>
    <w:rsid w:val="00DD4617"/>
    <w:rsid w:val="00DD4BF3"/>
    <w:rsid w:val="00DE5466"/>
    <w:rsid w:val="00DE5F06"/>
    <w:rsid w:val="00DF5326"/>
    <w:rsid w:val="00E0132E"/>
    <w:rsid w:val="00E12522"/>
    <w:rsid w:val="00E42262"/>
    <w:rsid w:val="00E44B10"/>
    <w:rsid w:val="00E4630C"/>
    <w:rsid w:val="00E4720B"/>
    <w:rsid w:val="00E533C2"/>
    <w:rsid w:val="00E61CCD"/>
    <w:rsid w:val="00E62AEA"/>
    <w:rsid w:val="00E64DF0"/>
    <w:rsid w:val="00E66802"/>
    <w:rsid w:val="00E837B1"/>
    <w:rsid w:val="00E8442A"/>
    <w:rsid w:val="00E877A6"/>
    <w:rsid w:val="00E87DC2"/>
    <w:rsid w:val="00EA350B"/>
    <w:rsid w:val="00EB04B4"/>
    <w:rsid w:val="00EB3102"/>
    <w:rsid w:val="00EB5765"/>
    <w:rsid w:val="00EB6087"/>
    <w:rsid w:val="00EC0A57"/>
    <w:rsid w:val="00EC5F79"/>
    <w:rsid w:val="00EC632F"/>
    <w:rsid w:val="00ED47A4"/>
    <w:rsid w:val="00EF04F9"/>
    <w:rsid w:val="00EF2D75"/>
    <w:rsid w:val="00F103A4"/>
    <w:rsid w:val="00F14ECC"/>
    <w:rsid w:val="00F40276"/>
    <w:rsid w:val="00F505FD"/>
    <w:rsid w:val="00F51D5C"/>
    <w:rsid w:val="00F60A3C"/>
    <w:rsid w:val="00F61B98"/>
    <w:rsid w:val="00F9703A"/>
    <w:rsid w:val="00F9752C"/>
    <w:rsid w:val="00FA0908"/>
    <w:rsid w:val="00FB50A1"/>
    <w:rsid w:val="00FC2809"/>
    <w:rsid w:val="00FC65E0"/>
    <w:rsid w:val="00FD1DD7"/>
    <w:rsid w:val="00FD3CB8"/>
    <w:rsid w:val="00FE1959"/>
    <w:rsid w:val="03052895"/>
    <w:rsid w:val="07073C20"/>
    <w:rsid w:val="08AB57EE"/>
    <w:rsid w:val="0AB819E8"/>
    <w:rsid w:val="144C6DFF"/>
    <w:rsid w:val="14C91847"/>
    <w:rsid w:val="26766764"/>
    <w:rsid w:val="27885954"/>
    <w:rsid w:val="2D106E30"/>
    <w:rsid w:val="305B2B81"/>
    <w:rsid w:val="34AB35B3"/>
    <w:rsid w:val="35DC5DD2"/>
    <w:rsid w:val="39DF4C7B"/>
    <w:rsid w:val="3A9C574C"/>
    <w:rsid w:val="3CA620E5"/>
    <w:rsid w:val="3CC84FC6"/>
    <w:rsid w:val="3CE22CCE"/>
    <w:rsid w:val="3FC748BC"/>
    <w:rsid w:val="40A01AEB"/>
    <w:rsid w:val="432036AF"/>
    <w:rsid w:val="46C8088E"/>
    <w:rsid w:val="48750E49"/>
    <w:rsid w:val="4961652D"/>
    <w:rsid w:val="4A46348A"/>
    <w:rsid w:val="4FB1665D"/>
    <w:rsid w:val="52DE294E"/>
    <w:rsid w:val="577B4363"/>
    <w:rsid w:val="5A04713E"/>
    <w:rsid w:val="60150C86"/>
    <w:rsid w:val="60C01654"/>
    <w:rsid w:val="659E378D"/>
    <w:rsid w:val="66794E53"/>
    <w:rsid w:val="67D8124B"/>
    <w:rsid w:val="69424B99"/>
    <w:rsid w:val="69B93063"/>
    <w:rsid w:val="6AED777A"/>
    <w:rsid w:val="6D930760"/>
    <w:rsid w:val="6E40711C"/>
    <w:rsid w:val="75E949D7"/>
    <w:rsid w:val="77145730"/>
    <w:rsid w:val="793D4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0C2E3"/>
  <w15:docId w15:val="{85A05517-F078-434B-A6C7-25594B83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qFormat="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0"/>
    <w:uiPriority w:val="9"/>
    <w:qFormat/>
    <w:pPr>
      <w:keepNext/>
      <w:keepLines/>
      <w:numPr>
        <w:numId w:val="1"/>
      </w:numPr>
      <w:spacing w:line="360" w:lineRule="auto"/>
      <w:jc w:val="center"/>
      <w:outlineLvl w:val="0"/>
    </w:pPr>
    <w:rPr>
      <w:rFonts w:eastAsia="方正小标宋简体"/>
      <w:bCs/>
      <w:kern w:val="44"/>
      <w:sz w:val="36"/>
      <w:szCs w:val="44"/>
    </w:rPr>
  </w:style>
  <w:style w:type="paragraph" w:styleId="2">
    <w:name w:val="heading 2"/>
    <w:basedOn w:val="a1"/>
    <w:next w:val="a1"/>
    <w:link w:val="20"/>
    <w:unhideWhenUsed/>
    <w:qFormat/>
    <w:pPr>
      <w:keepNext/>
      <w:keepLines/>
      <w:numPr>
        <w:numId w:val="2"/>
      </w:numPr>
      <w:spacing w:line="360" w:lineRule="auto"/>
      <w:jc w:val="center"/>
      <w:outlineLvl w:val="1"/>
    </w:pPr>
    <w:rPr>
      <w:rFonts w:asciiTheme="majorHAnsi" w:eastAsia="黑体" w:hAnsiTheme="majorHAnsi" w:cstheme="majorBidi"/>
      <w:bCs/>
      <w:sz w:val="32"/>
      <w:szCs w:val="32"/>
    </w:rPr>
  </w:style>
  <w:style w:type="paragraph" w:styleId="3">
    <w:name w:val="heading 3"/>
    <w:basedOn w:val="a1"/>
    <w:next w:val="a1"/>
    <w:link w:val="30"/>
    <w:unhideWhenUsed/>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autoRedefine/>
    <w:uiPriority w:val="39"/>
    <w:unhideWhenUsed/>
    <w:pPr>
      <w:ind w:leftChars="1200" w:left="2520"/>
    </w:pPr>
  </w:style>
  <w:style w:type="paragraph" w:styleId="a5">
    <w:name w:val="Normal Indent"/>
    <w:basedOn w:val="a1"/>
    <w:uiPriority w:val="99"/>
    <w:qFormat/>
    <w:pPr>
      <w:spacing w:line="360" w:lineRule="auto"/>
      <w:ind w:firstLine="420"/>
    </w:pPr>
    <w:rPr>
      <w:rFonts w:ascii="宋体" w:hAnsi="宋体"/>
      <w:szCs w:val="20"/>
    </w:rPr>
  </w:style>
  <w:style w:type="paragraph" w:styleId="a6">
    <w:name w:val="caption"/>
    <w:basedOn w:val="a1"/>
    <w:next w:val="a1"/>
    <w:qFormat/>
    <w:rPr>
      <w:rFonts w:ascii="Arial" w:eastAsia="黑体" w:hAnsi="Arial" w:cs="Arial"/>
      <w:szCs w:val="20"/>
    </w:rPr>
  </w:style>
  <w:style w:type="paragraph" w:styleId="a7">
    <w:name w:val="Body Text"/>
    <w:basedOn w:val="a1"/>
    <w:qFormat/>
    <w:pPr>
      <w:spacing w:line="600" w:lineRule="exact"/>
      <w:ind w:firstLineChars="200" w:firstLine="200"/>
    </w:pPr>
    <w:rPr>
      <w:rFonts w:ascii="仿宋_GB2312" w:eastAsia="仿宋_GB2312"/>
      <w:sz w:val="32"/>
    </w:rPr>
  </w:style>
  <w:style w:type="paragraph" w:styleId="TOC5">
    <w:name w:val="toc 5"/>
    <w:basedOn w:val="a1"/>
    <w:next w:val="a1"/>
    <w:autoRedefine/>
    <w:uiPriority w:val="39"/>
    <w:unhideWhenUsed/>
    <w:qFormat/>
    <w:pPr>
      <w:ind w:leftChars="800" w:left="1680"/>
    </w:pPr>
  </w:style>
  <w:style w:type="paragraph" w:styleId="TOC3">
    <w:name w:val="toc 3"/>
    <w:basedOn w:val="a1"/>
    <w:next w:val="a1"/>
    <w:autoRedefine/>
    <w:uiPriority w:val="39"/>
    <w:unhideWhenUsed/>
    <w:qFormat/>
    <w:pPr>
      <w:ind w:leftChars="400" w:left="840"/>
    </w:pPr>
  </w:style>
  <w:style w:type="paragraph" w:styleId="a8">
    <w:name w:val="Plain Text"/>
    <w:basedOn w:val="a1"/>
    <w:link w:val="a9"/>
    <w:qFormat/>
    <w:pPr>
      <w:spacing w:line="600" w:lineRule="exact"/>
      <w:ind w:firstLineChars="200" w:firstLine="200"/>
    </w:pPr>
    <w:rPr>
      <w:rFonts w:ascii="宋体" w:eastAsia="仿宋_GB2312" w:hAnsi="Courier New" w:cs="Courier New"/>
      <w:sz w:val="32"/>
      <w:szCs w:val="21"/>
    </w:rPr>
  </w:style>
  <w:style w:type="paragraph" w:styleId="TOC8">
    <w:name w:val="toc 8"/>
    <w:basedOn w:val="a1"/>
    <w:next w:val="a1"/>
    <w:autoRedefine/>
    <w:uiPriority w:val="39"/>
    <w:unhideWhenUsed/>
    <w:qFormat/>
    <w:pPr>
      <w:ind w:leftChars="1400" w:left="2940"/>
    </w:pPr>
  </w:style>
  <w:style w:type="paragraph" w:styleId="aa">
    <w:name w:val="Date"/>
    <w:basedOn w:val="a1"/>
    <w:next w:val="a1"/>
    <w:link w:val="ab"/>
    <w:uiPriority w:val="99"/>
    <w:semiHidden/>
    <w:unhideWhenUsed/>
    <w:qFormat/>
    <w:pPr>
      <w:ind w:leftChars="2500" w:left="100"/>
    </w:pPr>
  </w:style>
  <w:style w:type="paragraph" w:styleId="ac">
    <w:name w:val="footer"/>
    <w:basedOn w:val="a1"/>
    <w:uiPriority w:val="99"/>
    <w:unhideWhenUsed/>
    <w:qFormat/>
    <w:pPr>
      <w:tabs>
        <w:tab w:val="center" w:pos="4153"/>
        <w:tab w:val="right" w:pos="8306"/>
      </w:tabs>
      <w:snapToGrid w:val="0"/>
      <w:jc w:val="left"/>
    </w:pPr>
    <w:rPr>
      <w:sz w:val="18"/>
    </w:rPr>
  </w:style>
  <w:style w:type="paragraph" w:styleId="ad">
    <w:name w:val="header"/>
    <w:basedOn w:val="a1"/>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1"/>
    <w:next w:val="a1"/>
    <w:uiPriority w:val="39"/>
    <w:unhideWhenUsed/>
    <w:qFormat/>
  </w:style>
  <w:style w:type="paragraph" w:styleId="TOC4">
    <w:name w:val="toc 4"/>
    <w:basedOn w:val="a1"/>
    <w:next w:val="a1"/>
    <w:autoRedefine/>
    <w:uiPriority w:val="39"/>
    <w:unhideWhenUsed/>
    <w:qFormat/>
    <w:pPr>
      <w:ind w:leftChars="600" w:left="1260"/>
    </w:pPr>
  </w:style>
  <w:style w:type="paragraph" w:styleId="TOC6">
    <w:name w:val="toc 6"/>
    <w:basedOn w:val="a1"/>
    <w:next w:val="a1"/>
    <w:autoRedefine/>
    <w:uiPriority w:val="39"/>
    <w:unhideWhenUsed/>
    <w:qFormat/>
    <w:pPr>
      <w:ind w:leftChars="1000" w:left="2100"/>
    </w:pPr>
  </w:style>
  <w:style w:type="paragraph" w:styleId="TOC2">
    <w:name w:val="toc 2"/>
    <w:basedOn w:val="a1"/>
    <w:next w:val="a1"/>
    <w:uiPriority w:val="39"/>
    <w:unhideWhenUsed/>
    <w:qFormat/>
    <w:pPr>
      <w:ind w:leftChars="200" w:left="420"/>
    </w:pPr>
  </w:style>
  <w:style w:type="paragraph" w:styleId="TOC9">
    <w:name w:val="toc 9"/>
    <w:basedOn w:val="a1"/>
    <w:next w:val="a1"/>
    <w:autoRedefine/>
    <w:uiPriority w:val="39"/>
    <w:unhideWhenUsed/>
    <w:qFormat/>
    <w:pPr>
      <w:ind w:leftChars="1600" w:left="3360"/>
    </w:pPr>
  </w:style>
  <w:style w:type="paragraph" w:styleId="ae">
    <w:name w:val="Normal (Web)"/>
    <w:basedOn w:val="a1"/>
    <w:uiPriority w:val="99"/>
    <w:unhideWhenUsed/>
    <w:qFormat/>
    <w:pPr>
      <w:widowControl/>
      <w:spacing w:before="100" w:beforeAutospacing="1" w:after="100" w:afterAutospacing="1"/>
      <w:jc w:val="left"/>
    </w:pPr>
    <w:rPr>
      <w:rFonts w:ascii="宋体" w:hAnsi="宋体" w:cs="宋体"/>
      <w:kern w:val="0"/>
    </w:rPr>
  </w:style>
  <w:style w:type="table" w:styleId="af">
    <w:name w:val="Table Grid"/>
    <w:basedOn w:val="a3"/>
    <w:uiPriority w:val="39"/>
    <w:qFormat/>
    <w:pPr>
      <w:widowControl w:val="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styleId="af0">
    <w:name w:val="Strong"/>
    <w:basedOn w:val="a2"/>
    <w:uiPriority w:val="22"/>
    <w:qFormat/>
    <w:rPr>
      <w:b/>
      <w:bCs/>
    </w:rPr>
  </w:style>
  <w:style w:type="character" w:styleId="af1">
    <w:name w:val="FollowedHyperlink"/>
    <w:basedOn w:val="a2"/>
    <w:uiPriority w:val="99"/>
    <w:semiHidden/>
    <w:unhideWhenUsed/>
    <w:qFormat/>
    <w:rPr>
      <w:color w:val="954F72"/>
      <w:u w:val="single"/>
    </w:rPr>
  </w:style>
  <w:style w:type="character" w:styleId="af2">
    <w:name w:val="Hyperlink"/>
    <w:basedOn w:val="a2"/>
    <w:uiPriority w:val="99"/>
    <w:unhideWhenUsed/>
    <w:qFormat/>
    <w:rPr>
      <w:color w:val="0000FF" w:themeColor="hyperlink"/>
      <w:u w:val="single"/>
    </w:rPr>
  </w:style>
  <w:style w:type="character" w:customStyle="1" w:styleId="ab">
    <w:name w:val="日期 字符"/>
    <w:basedOn w:val="a2"/>
    <w:link w:val="aa"/>
    <w:uiPriority w:val="99"/>
    <w:semiHidden/>
    <w:qFormat/>
  </w:style>
  <w:style w:type="character" w:customStyle="1" w:styleId="10">
    <w:name w:val="标题 1 字符"/>
    <w:basedOn w:val="a2"/>
    <w:link w:val="1"/>
    <w:uiPriority w:val="9"/>
    <w:qFormat/>
    <w:rPr>
      <w:rFonts w:asciiTheme="minorHAnsi" w:eastAsia="方正小标宋简体" w:hAnsiTheme="minorHAnsi" w:cstheme="minorBidi"/>
      <w:bCs/>
      <w:kern w:val="44"/>
      <w:sz w:val="36"/>
      <w:szCs w:val="44"/>
    </w:rPr>
  </w:style>
  <w:style w:type="character" w:customStyle="1" w:styleId="20">
    <w:name w:val="标题 2 字符"/>
    <w:basedOn w:val="a2"/>
    <w:link w:val="2"/>
    <w:uiPriority w:val="9"/>
    <w:qFormat/>
    <w:rPr>
      <w:rFonts w:asciiTheme="majorHAnsi" w:eastAsia="黑体" w:hAnsiTheme="majorHAnsi" w:cstheme="majorBidi"/>
      <w:bCs/>
      <w:kern w:val="2"/>
      <w:sz w:val="32"/>
      <w:szCs w:val="32"/>
    </w:rPr>
  </w:style>
  <w:style w:type="paragraph" w:styleId="af3">
    <w:name w:val="List Paragraph"/>
    <w:basedOn w:val="a1"/>
    <w:uiPriority w:val="34"/>
    <w:qFormat/>
    <w:pPr>
      <w:ind w:firstLineChars="200" w:firstLine="420"/>
    </w:pPr>
  </w:style>
  <w:style w:type="character" w:customStyle="1" w:styleId="30">
    <w:name w:val="标题 3 字符"/>
    <w:basedOn w:val="a2"/>
    <w:link w:val="3"/>
    <w:uiPriority w:val="9"/>
    <w:qFormat/>
    <w:rPr>
      <w:b/>
      <w:bCs/>
      <w:sz w:val="32"/>
      <w:szCs w:val="32"/>
    </w:rPr>
  </w:style>
  <w:style w:type="paragraph" w:customStyle="1" w:styleId="0-">
    <w:name w:val="0-表格正文"/>
    <w:basedOn w:val="a1"/>
    <w:qFormat/>
    <w:pPr>
      <w:widowControl/>
      <w:spacing w:line="500" w:lineRule="exact"/>
      <w:jc w:val="center"/>
    </w:pPr>
    <w:rPr>
      <w:rFonts w:eastAsia="仿宋_GB2312"/>
      <w:kern w:val="0"/>
      <w:szCs w:val="20"/>
    </w:rPr>
  </w:style>
  <w:style w:type="paragraph" w:customStyle="1" w:styleId="0-0">
    <w:name w:val="0-专栏标题"/>
    <w:basedOn w:val="a1"/>
    <w:uiPriority w:val="99"/>
    <w:qFormat/>
    <w:pPr>
      <w:spacing w:line="420" w:lineRule="exact"/>
      <w:jc w:val="center"/>
    </w:pPr>
    <w:rPr>
      <w:rFonts w:eastAsia="黑体"/>
      <w:sz w:val="30"/>
    </w:rPr>
  </w:style>
  <w:style w:type="paragraph" w:customStyle="1" w:styleId="a">
    <w:name w:val="四级"/>
    <w:basedOn w:val="a1"/>
    <w:next w:val="a1"/>
    <w:autoRedefine/>
    <w:qFormat/>
    <w:pPr>
      <w:numPr>
        <w:numId w:val="3"/>
      </w:numPr>
      <w:adjustRightInd w:val="0"/>
      <w:snapToGrid w:val="0"/>
      <w:spacing w:beforeLines="100" w:before="100" w:afterLines="100" w:after="100"/>
      <w:ind w:firstLine="0"/>
      <w:jc w:val="left"/>
      <w:outlineLvl w:val="3"/>
    </w:pPr>
    <w:rPr>
      <w:rFonts w:eastAsia="仿宋_GB2312"/>
      <w:b/>
      <w:bCs/>
      <w:sz w:val="30"/>
      <w:szCs w:val="28"/>
    </w:rPr>
  </w:style>
  <w:style w:type="paragraph" w:customStyle="1" w:styleId="af4">
    <w:name w:val="文本四级"/>
    <w:basedOn w:val="a"/>
    <w:next w:val="a1"/>
    <w:autoRedefine/>
    <w:qFormat/>
    <w:pPr>
      <w:ind w:hanging="1080"/>
    </w:pPr>
  </w:style>
  <w:style w:type="paragraph" w:customStyle="1" w:styleId="af5">
    <w:name w:val="表格标题"/>
    <w:basedOn w:val="a6"/>
    <w:qFormat/>
    <w:pPr>
      <w:jc w:val="center"/>
    </w:pPr>
    <w:rPr>
      <w:sz w:val="30"/>
    </w:rPr>
  </w:style>
  <w:style w:type="paragraph" w:customStyle="1" w:styleId="af6">
    <w:name w:val="表格正文"/>
    <w:basedOn w:val="a1"/>
    <w:autoRedefine/>
    <w:qFormat/>
    <w:pPr>
      <w:spacing w:line="500" w:lineRule="exact"/>
      <w:jc w:val="center"/>
    </w:pPr>
    <w:rPr>
      <w:rFonts w:ascii="仿宋_GB2312" w:eastAsia="仿宋_GB2312"/>
      <w:kern w:val="0"/>
      <w:szCs w:val="18"/>
    </w:rPr>
  </w:style>
  <w:style w:type="paragraph" w:customStyle="1" w:styleId="af7">
    <w:name w:val="专栏正文"/>
    <w:basedOn w:val="a1"/>
    <w:link w:val="af8"/>
    <w:qFormat/>
    <w:pPr>
      <w:spacing w:line="500" w:lineRule="exact"/>
      <w:ind w:firstLineChars="200" w:firstLine="200"/>
    </w:pPr>
    <w:rPr>
      <w:rFonts w:ascii="仿宋" w:eastAsia="仿宋_GB2312" w:hAnsi="仿宋" w:cs="仿宋"/>
      <w:bCs/>
      <w:sz w:val="24"/>
    </w:rPr>
  </w:style>
  <w:style w:type="character" w:customStyle="1" w:styleId="af8">
    <w:name w:val="专栏正文 字符"/>
    <w:basedOn w:val="a2"/>
    <w:link w:val="af7"/>
    <w:qFormat/>
    <w:rPr>
      <w:rFonts w:ascii="仿宋" w:eastAsia="仿宋_GB2312" w:hAnsi="仿宋" w:cs="仿宋"/>
      <w:bCs/>
      <w:kern w:val="2"/>
      <w:sz w:val="24"/>
      <w:szCs w:val="22"/>
    </w:rPr>
  </w:style>
  <w:style w:type="character" w:customStyle="1" w:styleId="a9">
    <w:name w:val="纯文本 字符"/>
    <w:basedOn w:val="a2"/>
    <w:link w:val="a8"/>
    <w:qFormat/>
    <w:rPr>
      <w:rFonts w:ascii="宋体" w:eastAsia="仿宋_GB2312" w:hAnsi="Courier New" w:cs="Courier New"/>
      <w:kern w:val="2"/>
      <w:sz w:val="32"/>
      <w:szCs w:val="21"/>
    </w:rPr>
  </w:style>
  <w:style w:type="paragraph" w:customStyle="1" w:styleId="af9">
    <w:name w:val="专栏"/>
    <w:basedOn w:val="a1"/>
    <w:link w:val="afa"/>
    <w:qFormat/>
    <w:pPr>
      <w:spacing w:line="600" w:lineRule="exact"/>
      <w:jc w:val="center"/>
    </w:pPr>
    <w:rPr>
      <w:rFonts w:ascii="黑体" w:eastAsia="黑体" w:hAnsi="黑体" w:cs="仿宋"/>
      <w:bCs/>
      <w:sz w:val="30"/>
      <w:szCs w:val="24"/>
    </w:rPr>
  </w:style>
  <w:style w:type="character" w:customStyle="1" w:styleId="afa">
    <w:name w:val="专栏 字符"/>
    <w:basedOn w:val="a2"/>
    <w:link w:val="af9"/>
    <w:qFormat/>
    <w:rPr>
      <w:rFonts w:ascii="黑体" w:eastAsia="黑体" w:hAnsi="黑体" w:cs="仿宋"/>
      <w:bCs/>
      <w:kern w:val="2"/>
      <w:sz w:val="30"/>
      <w:szCs w:val="24"/>
    </w:rPr>
  </w:style>
  <w:style w:type="paragraph" w:customStyle="1" w:styleId="afb">
    <w:name w:val="专栏段首主题句"/>
    <w:basedOn w:val="a1"/>
    <w:link w:val="afc"/>
    <w:qFormat/>
    <w:pPr>
      <w:spacing w:line="500" w:lineRule="exact"/>
      <w:ind w:firstLineChars="200" w:firstLine="200"/>
    </w:pPr>
    <w:rPr>
      <w:rFonts w:ascii="楷体_GB2312" w:eastAsia="楷体_GB2312" w:hAnsi="仿宋_GB2312" w:cs="Times New Roman"/>
      <w:sz w:val="24"/>
      <w:szCs w:val="24"/>
    </w:rPr>
  </w:style>
  <w:style w:type="character" w:customStyle="1" w:styleId="afc">
    <w:name w:val="专栏段首主题句 字符"/>
    <w:basedOn w:val="a2"/>
    <w:link w:val="afb"/>
    <w:qFormat/>
    <w:rPr>
      <w:rFonts w:ascii="楷体_GB2312" w:eastAsia="楷体_GB2312" w:hAnsi="仿宋_GB2312"/>
      <w:kern w:val="2"/>
      <w:sz w:val="24"/>
      <w:szCs w:val="24"/>
    </w:rPr>
  </w:style>
  <w:style w:type="paragraph" w:customStyle="1" w:styleId="a0">
    <w:name w:val="条"/>
    <w:basedOn w:val="a1"/>
    <w:link w:val="afd"/>
    <w:qFormat/>
    <w:pPr>
      <w:keepNext/>
      <w:keepLines/>
      <w:numPr>
        <w:numId w:val="4"/>
      </w:numPr>
      <w:tabs>
        <w:tab w:val="left" w:pos="851"/>
      </w:tabs>
      <w:spacing w:line="600" w:lineRule="exact"/>
      <w:jc w:val="left"/>
      <w:outlineLvl w:val="2"/>
    </w:pPr>
    <w:rPr>
      <w:rFonts w:ascii="楷体_GB2312" w:eastAsia="楷体_GB2312" w:hAnsi="Times New Roman" w:cs="Times New Roman"/>
      <w:bCs/>
      <w:sz w:val="32"/>
      <w:szCs w:val="32"/>
    </w:rPr>
  </w:style>
  <w:style w:type="character" w:customStyle="1" w:styleId="afd">
    <w:name w:val="条 字符"/>
    <w:basedOn w:val="a2"/>
    <w:link w:val="a0"/>
    <w:qFormat/>
    <w:rPr>
      <w:rFonts w:ascii="楷体_GB2312" w:eastAsia="楷体_GB2312"/>
      <w:bCs/>
      <w:kern w:val="2"/>
      <w:sz w:val="32"/>
      <w:szCs w:val="32"/>
    </w:rPr>
  </w:style>
  <w:style w:type="paragraph" w:customStyle="1" w:styleId="afe">
    <w:name w:val="目录章"/>
    <w:basedOn w:val="a1"/>
    <w:link w:val="aff"/>
    <w:qFormat/>
    <w:pPr>
      <w:tabs>
        <w:tab w:val="right" w:leader="dot" w:pos="8306"/>
      </w:tabs>
      <w:spacing w:line="600" w:lineRule="exact"/>
      <w:jc w:val="left"/>
    </w:pPr>
    <w:rPr>
      <w:rFonts w:ascii="仿宋_GB2312" w:eastAsia="黑体" w:hAnsi="仿宋_GB2312" w:cs="仿宋_GB2312"/>
      <w:bCs/>
      <w:smallCaps/>
      <w:sz w:val="32"/>
      <w:szCs w:val="32"/>
      <w:lang w:val="zh-CN"/>
    </w:rPr>
  </w:style>
  <w:style w:type="character" w:customStyle="1" w:styleId="aff">
    <w:name w:val="目录章 字符"/>
    <w:basedOn w:val="a2"/>
    <w:link w:val="afe"/>
    <w:qFormat/>
    <w:rPr>
      <w:rFonts w:ascii="仿宋_GB2312" w:eastAsia="黑体" w:hAnsi="仿宋_GB2312" w:cs="仿宋_GB2312"/>
      <w:bCs/>
      <w:smallCaps/>
      <w:kern w:val="2"/>
      <w:sz w:val="32"/>
      <w:szCs w:val="32"/>
      <w:lang w:val="zh-CN"/>
    </w:rPr>
  </w:style>
  <w:style w:type="paragraph" w:customStyle="1" w:styleId="aff0">
    <w:name w:val="目录节"/>
    <w:basedOn w:val="a1"/>
    <w:link w:val="aff1"/>
    <w:qFormat/>
    <w:pPr>
      <w:tabs>
        <w:tab w:val="right" w:leader="dot" w:pos="8296"/>
      </w:tabs>
      <w:spacing w:line="600" w:lineRule="exact"/>
      <w:ind w:firstLineChars="200" w:firstLine="200"/>
      <w:jc w:val="left"/>
    </w:pPr>
    <w:rPr>
      <w:rFonts w:ascii="仿宋_GB2312" w:eastAsia="仿宋_GB2312"/>
      <w:sz w:val="32"/>
    </w:rPr>
  </w:style>
  <w:style w:type="character" w:customStyle="1" w:styleId="aff1">
    <w:name w:val="目录节 字符"/>
    <w:basedOn w:val="a2"/>
    <w:link w:val="aff0"/>
    <w:qFormat/>
    <w:rPr>
      <w:rFonts w:ascii="仿宋_GB2312" w:eastAsia="仿宋_GB2312" w:hAnsiTheme="minorHAnsi" w:cstheme="minorBidi"/>
      <w:kern w:val="2"/>
      <w:sz w:val="32"/>
      <w:szCs w:val="22"/>
    </w:rPr>
  </w:style>
  <w:style w:type="paragraph" w:customStyle="1" w:styleId="msonormal0">
    <w:name w:val="msonormal"/>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1"/>
    <w:qFormat/>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1"/>
    <w:qFormat/>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TOC10">
    <w:name w:val="TOC 标题1"/>
    <w:basedOn w:val="1"/>
    <w:next w:val="a1"/>
    <w:uiPriority w:val="39"/>
    <w:unhideWhenUsed/>
    <w:qFormat/>
    <w:pPr>
      <w:widowControl/>
      <w:numPr>
        <w:numId w:val="0"/>
      </w:numPr>
      <w:spacing w:before="240" w:line="259" w:lineRule="auto"/>
      <w:jc w:val="left"/>
      <w:outlineLvl w:val="9"/>
    </w:pPr>
    <w:rPr>
      <w:rFonts w:asciiTheme="majorHAnsi" w:eastAsiaTheme="majorEastAsia" w:hAnsiTheme="majorHAnsi" w:cstheme="majorBidi"/>
      <w:bCs w:val="0"/>
      <w:color w:val="365F91" w:themeColor="accent1" w:themeShade="BF"/>
      <w:kern w:val="0"/>
      <w:sz w:val="32"/>
      <w:szCs w:val="32"/>
    </w:rPr>
  </w:style>
  <w:style w:type="character" w:customStyle="1" w:styleId="11">
    <w:name w:val="未处理的提及1"/>
    <w:basedOn w:val="a2"/>
    <w:uiPriority w:val="99"/>
    <w:semiHidden/>
    <w:unhideWhenUsed/>
    <w:qFormat/>
    <w:rPr>
      <w:color w:val="605E5C"/>
      <w:shd w:val="clear" w:color="auto" w:fill="E1DFDD"/>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12">
    <w:name w:val="列表段落1"/>
    <w:basedOn w:val="a1"/>
    <w:qFormat/>
    <w:pPr>
      <w:spacing w:line="600" w:lineRule="exact"/>
      <w:ind w:firstLineChars="200" w:firstLine="200"/>
    </w:pPr>
    <w:rPr>
      <w:rFonts w:ascii="仿宋_GB2312" w:eastAsia="仿宋_GB2312" w:hAnsi="Calibri"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C0C8F-2CFC-4752-B97A-114FAAB22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73</Pages>
  <Words>17064</Words>
  <Characters>18942</Characters>
  <Application>Microsoft Office Word</Application>
  <DocSecurity>0</DocSecurity>
  <Lines>1722</Lines>
  <Paragraphs>1800</Paragraphs>
  <ScaleCrop>false</ScaleCrop>
  <Company/>
  <LinksUpToDate>false</LinksUpToDate>
  <CharactersWithSpaces>34206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思敏 袁</cp:lastModifiedBy>
  <cp:revision>20</cp:revision>
  <cp:lastPrinted>2025-06-04T02:04:00Z</cp:lastPrinted>
  <dcterms:created xsi:type="dcterms:W3CDTF">2025-01-20T01:55:00Z</dcterms:created>
  <dcterms:modified xsi:type="dcterms:W3CDTF">2025-09-19T04:32:00Z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98976ABBD53E46EB9FA87FA5FAF1693D_13</vt:lpwstr>
  </property>
  <property fmtid="{D5CDD505-2E9C-101B-9397-08002B2CF9AE}" pid="4" name="KSOTemplateDocerSaveRecord">
    <vt:lpwstr>eyJoZGlkIjoiOTY1MDc1YTVkYTZiMWRhZjUyNzg0N2I4MjlmZTlkODciLCJ1c2VySWQiOiIxMzEzNjY3MDIwIn0=</vt:lpwstr>
  </property>
</Properties>
</file>