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B01AEB">
      <w:pPr>
        <w:pStyle w:val="15"/>
        <w:keepNext w:val="0"/>
        <w:keepLines w:val="0"/>
        <w:pageBreakBefore w:val="0"/>
        <w:widowControl w:val="0"/>
        <w:tabs>
          <w:tab w:val="right" w:leader="dot" w:pos="8306"/>
        </w:tabs>
        <w:kinsoku/>
        <w:wordWrap/>
        <w:overflowPunct/>
        <w:topLinePunct w:val="0"/>
        <w:autoSpaceDE/>
        <w:autoSpaceDN/>
        <w:bidi w:val="0"/>
        <w:adjustRightInd/>
        <w:snapToGrid/>
        <w:ind w:firstLine="0" w:firstLineChars="0"/>
        <w:jc w:val="center"/>
        <w:textAlignment w:val="auto"/>
        <w:rPr>
          <w:rFonts w:hint="eastAsia" w:ascii="方正小标宋_GBK" w:hAnsi="黑体" w:eastAsia="方正小标宋_GBK" w:cs="Times New Roman"/>
          <w:sz w:val="36"/>
          <w:szCs w:val="36"/>
        </w:rPr>
      </w:pPr>
      <w:bookmarkStart w:id="0" w:name="_Toc137159448"/>
      <w:bookmarkStart w:id="1" w:name="_Toc134965132"/>
      <w:bookmarkStart w:id="2" w:name="_Toc135150608"/>
      <w:bookmarkStart w:id="3" w:name="_Toc135575687"/>
      <w:bookmarkStart w:id="4" w:name="_Toc135596445"/>
      <w:bookmarkStart w:id="5" w:name="_Toc135567126"/>
      <w:bookmarkStart w:id="6" w:name="_Toc146063353"/>
      <w:bookmarkStart w:id="7" w:name="_Toc136980517"/>
      <w:bookmarkStart w:id="8" w:name="_Toc137395875"/>
      <w:bookmarkStart w:id="9" w:name="_Toc135940985"/>
      <w:bookmarkStart w:id="10" w:name="_Toc136502355"/>
      <w:bookmarkStart w:id="11" w:name="_Toc136471054"/>
      <w:r>
        <w:rPr>
          <w:rFonts w:hint="eastAsia" w:ascii="方正小标宋_GBK" w:hAnsi="黑体" w:eastAsia="方正小标宋_GBK"/>
          <w:sz w:val="36"/>
          <w:szCs w:val="36"/>
        </w:rPr>
        <w:t>目录</w:t>
      </w:r>
      <w:bookmarkEnd w:id="0"/>
      <w:bookmarkEnd w:id="1"/>
      <w:bookmarkEnd w:id="2"/>
      <w:bookmarkEnd w:id="3"/>
      <w:bookmarkEnd w:id="4"/>
      <w:bookmarkEnd w:id="5"/>
      <w:bookmarkEnd w:id="6"/>
      <w:bookmarkEnd w:id="7"/>
      <w:bookmarkEnd w:id="8"/>
      <w:bookmarkEnd w:id="9"/>
      <w:bookmarkEnd w:id="10"/>
      <w:bookmarkEnd w:id="11"/>
    </w:p>
    <w:p w14:paraId="4A8DFD34">
      <w:pPr>
        <w:pStyle w:val="15"/>
        <w:tabs>
          <w:tab w:val="right" w:leader="dot" w:pos="8306"/>
        </w:tabs>
        <w:spacing w:line="600" w:lineRule="exact"/>
        <w:ind w:firstLine="0" w:firstLineChars="0"/>
        <w:rPr>
          <w:rFonts w:hint="eastAsia" w:ascii="黑体" w:hAnsi="黑体" w:eastAsia="黑体" w:cs="黑体"/>
          <w:sz w:val="30"/>
          <w:szCs w:val="36"/>
        </w:rPr>
      </w:pPr>
      <w:r>
        <w:rPr>
          <w:rFonts w:hint="eastAsia" w:ascii="仿宋_GB2312" w:hAnsi="仿宋_GB2312" w:eastAsia="仿宋_GB2312" w:cs="仿宋_GB2312"/>
          <w:smallCaps w:val="0"/>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mallCaps w:val="0"/>
          <w:color w:val="000000" w:themeColor="text1"/>
          <w:sz w:val="30"/>
          <w:szCs w:val="30"/>
          <w14:textFill>
            <w14:solidFill>
              <w14:schemeClr w14:val="tx1"/>
            </w14:solidFill>
          </w14:textFill>
        </w:rPr>
        <w:instrText xml:space="preserve">TOC \o "1-2" \h \u </w:instrText>
      </w:r>
      <w:r>
        <w:rPr>
          <w:rFonts w:hint="eastAsia" w:ascii="仿宋_GB2312" w:hAnsi="仿宋_GB2312" w:eastAsia="仿宋_GB2312" w:cs="仿宋_GB2312"/>
          <w:smallCaps w:val="0"/>
          <w:color w:val="000000" w:themeColor="text1"/>
          <w:sz w:val="30"/>
          <w:szCs w:val="30"/>
          <w14:textFill>
            <w14:solidFill>
              <w14:schemeClr w14:val="tx1"/>
            </w14:solidFill>
          </w14:textFill>
        </w:rPr>
        <w:fldChar w:fldCharType="separate"/>
      </w: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HYPERLINK \l _Toc12775 </w:instrText>
      </w:r>
      <w:r>
        <w:rPr>
          <w:rFonts w:hint="eastAsia" w:ascii="黑体" w:hAnsi="黑体" w:eastAsia="黑体" w:cs="黑体"/>
          <w:sz w:val="30"/>
          <w:szCs w:val="36"/>
        </w:rPr>
        <w:fldChar w:fldCharType="separate"/>
      </w:r>
      <w:r>
        <w:rPr>
          <w:rFonts w:hint="eastAsia" w:ascii="黑体" w:hAnsi="黑体" w:eastAsia="黑体" w:cs="黑体"/>
          <w:sz w:val="30"/>
          <w:szCs w:val="36"/>
        </w:rPr>
        <w:t>前言</w:t>
      </w:r>
      <w:r>
        <w:rPr>
          <w:rFonts w:hint="eastAsia" w:ascii="黑体" w:hAnsi="黑体" w:eastAsia="黑体" w:cs="黑体"/>
          <w:sz w:val="30"/>
          <w:szCs w:val="36"/>
        </w:rPr>
        <w:tab/>
      </w: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PAGEREF _Toc12775 \h </w:instrText>
      </w:r>
      <w:r>
        <w:rPr>
          <w:rFonts w:hint="eastAsia" w:ascii="黑体" w:hAnsi="黑体" w:eastAsia="黑体" w:cs="黑体"/>
          <w:sz w:val="30"/>
          <w:szCs w:val="36"/>
        </w:rPr>
        <w:fldChar w:fldCharType="separate"/>
      </w:r>
      <w:r>
        <w:rPr>
          <w:rFonts w:hint="eastAsia" w:ascii="黑体" w:hAnsi="黑体" w:eastAsia="黑体" w:cs="黑体"/>
          <w:sz w:val="30"/>
          <w:szCs w:val="36"/>
        </w:rPr>
        <w:t>1</w:t>
      </w:r>
      <w:r>
        <w:rPr>
          <w:rFonts w:hint="eastAsia" w:ascii="黑体" w:hAnsi="黑体" w:eastAsia="黑体" w:cs="黑体"/>
          <w:sz w:val="30"/>
          <w:szCs w:val="36"/>
        </w:rPr>
        <w:fldChar w:fldCharType="end"/>
      </w:r>
      <w:r>
        <w:rPr>
          <w:rFonts w:hint="eastAsia" w:ascii="黑体" w:hAnsi="黑体" w:eastAsia="黑体" w:cs="黑体"/>
          <w:sz w:val="30"/>
          <w:szCs w:val="36"/>
        </w:rPr>
        <w:fldChar w:fldCharType="end"/>
      </w:r>
    </w:p>
    <w:p w14:paraId="6333F5A3">
      <w:pPr>
        <w:pStyle w:val="15"/>
        <w:tabs>
          <w:tab w:val="right" w:leader="dot" w:pos="8306"/>
        </w:tabs>
        <w:spacing w:line="600" w:lineRule="exact"/>
        <w:ind w:firstLine="0" w:firstLineChars="0"/>
        <w:rPr>
          <w:rFonts w:hint="eastAsia" w:ascii="黑体" w:hAnsi="黑体" w:eastAsia="黑体" w:cs="黑体"/>
          <w:sz w:val="30"/>
          <w:szCs w:val="36"/>
        </w:rPr>
      </w:pP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HYPERLINK \l _Toc4371 </w:instrText>
      </w:r>
      <w:r>
        <w:rPr>
          <w:rFonts w:hint="eastAsia" w:ascii="黑体" w:hAnsi="黑体" w:eastAsia="黑体" w:cs="黑体"/>
          <w:sz w:val="30"/>
          <w:szCs w:val="36"/>
        </w:rPr>
        <w:fldChar w:fldCharType="separate"/>
      </w:r>
      <w:r>
        <w:rPr>
          <w:rFonts w:hint="eastAsia" w:ascii="黑体" w:hAnsi="黑体" w:eastAsia="黑体" w:cs="黑体"/>
          <w:sz w:val="30"/>
          <w:szCs w:val="36"/>
        </w:rPr>
        <w:t>第一章 规划背景</w:t>
      </w:r>
      <w:r>
        <w:rPr>
          <w:rFonts w:hint="eastAsia" w:ascii="黑体" w:hAnsi="黑体" w:eastAsia="黑体" w:cs="黑体"/>
          <w:sz w:val="30"/>
          <w:szCs w:val="36"/>
        </w:rPr>
        <w:tab/>
      </w: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PAGEREF _Toc4371 \h </w:instrText>
      </w:r>
      <w:r>
        <w:rPr>
          <w:rFonts w:hint="eastAsia" w:ascii="黑体" w:hAnsi="黑体" w:eastAsia="黑体" w:cs="黑体"/>
          <w:sz w:val="30"/>
          <w:szCs w:val="36"/>
        </w:rPr>
        <w:fldChar w:fldCharType="separate"/>
      </w:r>
      <w:r>
        <w:rPr>
          <w:rFonts w:hint="eastAsia" w:ascii="黑体" w:hAnsi="黑体" w:eastAsia="黑体" w:cs="黑体"/>
          <w:sz w:val="30"/>
          <w:szCs w:val="36"/>
        </w:rPr>
        <w:t>3</w:t>
      </w:r>
      <w:r>
        <w:rPr>
          <w:rFonts w:hint="eastAsia" w:ascii="黑体" w:hAnsi="黑体" w:eastAsia="黑体" w:cs="黑体"/>
          <w:sz w:val="30"/>
          <w:szCs w:val="36"/>
        </w:rPr>
        <w:fldChar w:fldCharType="end"/>
      </w:r>
      <w:r>
        <w:rPr>
          <w:rFonts w:hint="eastAsia" w:ascii="黑体" w:hAnsi="黑体" w:eastAsia="黑体" w:cs="黑体"/>
          <w:sz w:val="30"/>
          <w:szCs w:val="36"/>
        </w:rPr>
        <w:fldChar w:fldCharType="end"/>
      </w:r>
    </w:p>
    <w:p w14:paraId="58BA5C45">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_Toc6583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第一节 禀赋与条件</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_Toc6583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3</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5E1D5D3A">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_Toc28294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第二节 现状问题</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_Toc28294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5</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62CF4F60">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_Toc16468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第三节 挑战与机遇</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_Toc16468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7</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5BA20BE5">
      <w:pPr>
        <w:pStyle w:val="15"/>
        <w:tabs>
          <w:tab w:val="right" w:leader="dot" w:pos="8306"/>
        </w:tabs>
        <w:spacing w:line="600" w:lineRule="exact"/>
        <w:ind w:firstLine="0" w:firstLineChars="0"/>
        <w:rPr>
          <w:rFonts w:hint="eastAsia" w:ascii="黑体" w:hAnsi="黑体" w:eastAsia="黑体" w:cs="黑体"/>
          <w:sz w:val="30"/>
          <w:szCs w:val="36"/>
        </w:rPr>
      </w:pP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HYPERLINK \l _Toc17642 </w:instrText>
      </w:r>
      <w:r>
        <w:rPr>
          <w:rFonts w:hint="eastAsia" w:ascii="黑体" w:hAnsi="黑体" w:eastAsia="黑体" w:cs="黑体"/>
          <w:sz w:val="30"/>
          <w:szCs w:val="36"/>
        </w:rPr>
        <w:fldChar w:fldCharType="separate"/>
      </w:r>
      <w:r>
        <w:rPr>
          <w:rFonts w:hint="eastAsia" w:ascii="黑体" w:hAnsi="黑体" w:eastAsia="黑体" w:cs="黑体"/>
          <w:sz w:val="30"/>
          <w:szCs w:val="36"/>
        </w:rPr>
        <w:t>第二章 指导思想与目标战略</w:t>
      </w:r>
      <w:r>
        <w:rPr>
          <w:rFonts w:hint="eastAsia" w:ascii="黑体" w:hAnsi="黑体" w:eastAsia="黑体" w:cs="黑体"/>
          <w:sz w:val="30"/>
          <w:szCs w:val="36"/>
        </w:rPr>
        <w:tab/>
      </w: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PAGEREF _Toc17642 \h </w:instrText>
      </w:r>
      <w:r>
        <w:rPr>
          <w:rFonts w:hint="eastAsia" w:ascii="黑体" w:hAnsi="黑体" w:eastAsia="黑体" w:cs="黑体"/>
          <w:sz w:val="30"/>
          <w:szCs w:val="36"/>
        </w:rPr>
        <w:fldChar w:fldCharType="separate"/>
      </w:r>
      <w:r>
        <w:rPr>
          <w:rFonts w:hint="eastAsia" w:ascii="黑体" w:hAnsi="黑体" w:eastAsia="黑体" w:cs="黑体"/>
          <w:sz w:val="30"/>
          <w:szCs w:val="36"/>
        </w:rPr>
        <w:t>9</w:t>
      </w:r>
      <w:r>
        <w:rPr>
          <w:rFonts w:hint="eastAsia" w:ascii="黑体" w:hAnsi="黑体" w:eastAsia="黑体" w:cs="黑体"/>
          <w:sz w:val="30"/>
          <w:szCs w:val="36"/>
        </w:rPr>
        <w:fldChar w:fldCharType="end"/>
      </w:r>
      <w:r>
        <w:rPr>
          <w:rFonts w:hint="eastAsia" w:ascii="黑体" w:hAnsi="黑体" w:eastAsia="黑体" w:cs="黑体"/>
          <w:sz w:val="30"/>
          <w:szCs w:val="36"/>
        </w:rPr>
        <w:fldChar w:fldCharType="end"/>
      </w:r>
    </w:p>
    <w:p w14:paraId="08517E25">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_Toc18713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第一节 指导思想和基本原则</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_Toc18713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9</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2C9EA997">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_Toc18149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第二节 总体定位</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_Toc18149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10</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61EB90C2">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_Toc11751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第三节 开发保护目标与战略</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_Toc11751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12</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58AF2184">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_Toc6499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en-US" w:eastAsia="zh-CN"/>
        </w:rPr>
        <w:t>第四节 区域协同</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_Toc6499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15</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40350D6F">
      <w:pPr>
        <w:pStyle w:val="15"/>
        <w:tabs>
          <w:tab w:val="right" w:leader="dot" w:pos="8306"/>
        </w:tabs>
        <w:spacing w:line="600" w:lineRule="exact"/>
        <w:ind w:firstLine="0" w:firstLineChars="0"/>
        <w:rPr>
          <w:rFonts w:hint="eastAsia" w:ascii="黑体" w:hAnsi="黑体" w:eastAsia="黑体" w:cs="黑体"/>
          <w:sz w:val="30"/>
          <w:szCs w:val="36"/>
        </w:rPr>
      </w:pP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HYPERLINK \l _Toc28760 </w:instrText>
      </w:r>
      <w:r>
        <w:rPr>
          <w:rFonts w:hint="eastAsia" w:ascii="黑体" w:hAnsi="黑体" w:eastAsia="黑体" w:cs="黑体"/>
          <w:sz w:val="30"/>
          <w:szCs w:val="36"/>
        </w:rPr>
        <w:fldChar w:fldCharType="separate"/>
      </w:r>
      <w:r>
        <w:rPr>
          <w:rFonts w:hint="eastAsia" w:ascii="黑体" w:hAnsi="黑体" w:eastAsia="黑体" w:cs="黑体"/>
          <w:sz w:val="30"/>
          <w:szCs w:val="36"/>
        </w:rPr>
        <w:t>第三章 构建国土空间开发保护新格局</w:t>
      </w:r>
      <w:r>
        <w:rPr>
          <w:rFonts w:hint="eastAsia" w:ascii="黑体" w:hAnsi="黑体" w:eastAsia="黑体" w:cs="黑体"/>
          <w:sz w:val="30"/>
          <w:szCs w:val="36"/>
        </w:rPr>
        <w:tab/>
      </w: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PAGEREF _Toc28760 \h </w:instrText>
      </w:r>
      <w:r>
        <w:rPr>
          <w:rFonts w:hint="eastAsia" w:ascii="黑体" w:hAnsi="黑体" w:eastAsia="黑体" w:cs="黑体"/>
          <w:sz w:val="30"/>
          <w:szCs w:val="36"/>
        </w:rPr>
        <w:fldChar w:fldCharType="separate"/>
      </w:r>
      <w:r>
        <w:rPr>
          <w:rFonts w:hint="eastAsia" w:ascii="黑体" w:hAnsi="黑体" w:eastAsia="黑体" w:cs="黑体"/>
          <w:sz w:val="30"/>
          <w:szCs w:val="36"/>
        </w:rPr>
        <w:t>17</w:t>
      </w:r>
      <w:r>
        <w:rPr>
          <w:rFonts w:hint="eastAsia" w:ascii="黑体" w:hAnsi="黑体" w:eastAsia="黑体" w:cs="黑体"/>
          <w:sz w:val="30"/>
          <w:szCs w:val="36"/>
        </w:rPr>
        <w:fldChar w:fldCharType="end"/>
      </w:r>
      <w:r>
        <w:rPr>
          <w:rFonts w:hint="eastAsia" w:ascii="黑体" w:hAnsi="黑体" w:eastAsia="黑体" w:cs="黑体"/>
          <w:sz w:val="30"/>
          <w:szCs w:val="36"/>
        </w:rPr>
        <w:fldChar w:fldCharType="end"/>
      </w:r>
    </w:p>
    <w:p w14:paraId="00390496">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_Toc28267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 xml:space="preserve">第一节 </w:t>
      </w:r>
      <w:r>
        <w:rPr>
          <w:rFonts w:hint="eastAsia" w:ascii="仿宋_GB2312" w:hAnsi="仿宋_GB2312" w:eastAsia="仿宋_GB2312" w:cs="仿宋_GB2312"/>
          <w:sz w:val="30"/>
          <w:szCs w:val="36"/>
          <w:lang w:val="en-US" w:eastAsia="zh-CN"/>
        </w:rPr>
        <w:t>底线约束</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_Toc28267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17</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131D383C">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_Toc15821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第二节 主体功能区布局</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_Toc15821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20</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04AE1208">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_Toc15240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第三节 国土空间开发保护格局</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_Toc15240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21</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31DF8C77">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_Toc25763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第四节 规划分区</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_Toc25763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22</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607FC217">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_Toc4250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en-US" w:eastAsia="zh-CN"/>
        </w:rPr>
        <w:t>第五节 用途结构调整</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_Toc4250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23</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675427F0">
      <w:pPr>
        <w:pStyle w:val="15"/>
        <w:tabs>
          <w:tab w:val="right" w:leader="dot" w:pos="8306"/>
        </w:tabs>
        <w:spacing w:line="600" w:lineRule="exact"/>
        <w:ind w:firstLine="0" w:firstLineChars="0"/>
        <w:rPr>
          <w:rFonts w:hint="eastAsia" w:ascii="黑体" w:hAnsi="黑体" w:eastAsia="黑体" w:cs="黑体"/>
          <w:sz w:val="30"/>
          <w:szCs w:val="36"/>
        </w:rPr>
      </w:pP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HYPERLINK \l _Toc11345 </w:instrText>
      </w:r>
      <w:r>
        <w:rPr>
          <w:rFonts w:hint="eastAsia" w:ascii="黑体" w:hAnsi="黑体" w:eastAsia="黑体" w:cs="黑体"/>
          <w:sz w:val="30"/>
          <w:szCs w:val="36"/>
        </w:rPr>
        <w:fldChar w:fldCharType="separate"/>
      </w:r>
      <w:r>
        <w:rPr>
          <w:rFonts w:hint="eastAsia" w:ascii="黑体" w:hAnsi="黑体" w:eastAsia="黑体" w:cs="黑体"/>
          <w:sz w:val="30"/>
          <w:szCs w:val="36"/>
        </w:rPr>
        <w:t>第四章 保护生态空间，筑牢生态安全屏障</w:t>
      </w:r>
      <w:r>
        <w:rPr>
          <w:rFonts w:hint="eastAsia" w:ascii="黑体" w:hAnsi="黑体" w:eastAsia="黑体" w:cs="黑体"/>
          <w:sz w:val="30"/>
          <w:szCs w:val="36"/>
        </w:rPr>
        <w:tab/>
      </w: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PAGEREF _Toc11345 \h </w:instrText>
      </w:r>
      <w:r>
        <w:rPr>
          <w:rFonts w:hint="eastAsia" w:ascii="黑体" w:hAnsi="黑体" w:eastAsia="黑体" w:cs="黑体"/>
          <w:sz w:val="30"/>
          <w:szCs w:val="36"/>
        </w:rPr>
        <w:fldChar w:fldCharType="separate"/>
      </w:r>
      <w:r>
        <w:rPr>
          <w:rFonts w:hint="eastAsia" w:ascii="黑体" w:hAnsi="黑体" w:eastAsia="黑体" w:cs="黑体"/>
          <w:sz w:val="30"/>
          <w:szCs w:val="36"/>
        </w:rPr>
        <w:t>25</w:t>
      </w:r>
      <w:r>
        <w:rPr>
          <w:rFonts w:hint="eastAsia" w:ascii="黑体" w:hAnsi="黑体" w:eastAsia="黑体" w:cs="黑体"/>
          <w:sz w:val="30"/>
          <w:szCs w:val="36"/>
        </w:rPr>
        <w:fldChar w:fldCharType="end"/>
      </w:r>
      <w:r>
        <w:rPr>
          <w:rFonts w:hint="eastAsia" w:ascii="黑体" w:hAnsi="黑体" w:eastAsia="黑体" w:cs="黑体"/>
          <w:sz w:val="30"/>
          <w:szCs w:val="36"/>
        </w:rPr>
        <w:fldChar w:fldCharType="end"/>
      </w:r>
    </w:p>
    <w:p w14:paraId="20F65185">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_Toc31239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 xml:space="preserve">第一节 </w:t>
      </w:r>
      <w:r>
        <w:rPr>
          <w:rFonts w:hint="eastAsia" w:ascii="仿宋_GB2312" w:hAnsi="仿宋_GB2312" w:eastAsia="仿宋_GB2312" w:cs="仿宋_GB2312"/>
          <w:sz w:val="30"/>
          <w:szCs w:val="36"/>
          <w:lang w:val="en-US" w:eastAsia="zh-CN"/>
        </w:rPr>
        <w:t>构建生态保护空间</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_Toc31239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25</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5DD68862">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_Toc28483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第二节 增强水资源刚性约束和管控</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_Toc28483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26</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7DC233F2">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_Toc29095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第三节 加强生态资源保护与利用</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_Toc29095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27</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53937D4D">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_Toc3235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第四节 实施山水林田湖草沙一体化保护和系统治理</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_Toc3235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29</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713222DF">
      <w:pPr>
        <w:pStyle w:val="15"/>
        <w:tabs>
          <w:tab w:val="right" w:leader="dot" w:pos="8306"/>
        </w:tabs>
        <w:spacing w:line="600" w:lineRule="exact"/>
        <w:ind w:firstLine="0" w:firstLineChars="0"/>
        <w:rPr>
          <w:rFonts w:hint="eastAsia" w:ascii="黑体" w:hAnsi="黑体" w:eastAsia="黑体" w:cs="黑体"/>
          <w:sz w:val="30"/>
          <w:szCs w:val="36"/>
        </w:rPr>
      </w:pP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HYPERLINK \l _Toc15331 </w:instrText>
      </w:r>
      <w:r>
        <w:rPr>
          <w:rFonts w:hint="eastAsia" w:ascii="黑体" w:hAnsi="黑体" w:eastAsia="黑体" w:cs="黑体"/>
          <w:sz w:val="30"/>
          <w:szCs w:val="36"/>
        </w:rPr>
        <w:fldChar w:fldCharType="separate"/>
      </w:r>
      <w:r>
        <w:rPr>
          <w:rFonts w:hint="eastAsia" w:ascii="黑体" w:hAnsi="黑体" w:eastAsia="黑体" w:cs="黑体"/>
          <w:sz w:val="30"/>
          <w:szCs w:val="36"/>
        </w:rPr>
        <w:t>第五章 巩固农业空间，</w:t>
      </w:r>
      <w:r>
        <w:rPr>
          <w:rFonts w:hint="eastAsia" w:ascii="黑体" w:hAnsi="黑体" w:eastAsia="黑体" w:cs="黑体"/>
          <w:sz w:val="30"/>
          <w:szCs w:val="36"/>
          <w:lang w:val="en-US" w:eastAsia="zh-CN"/>
        </w:rPr>
        <w:t>提升农牧</w:t>
      </w:r>
      <w:r>
        <w:rPr>
          <w:rFonts w:hint="eastAsia" w:ascii="黑体" w:hAnsi="黑体" w:eastAsia="黑体" w:cs="黑体"/>
          <w:sz w:val="30"/>
          <w:szCs w:val="36"/>
        </w:rPr>
        <w:t>产品</w:t>
      </w:r>
      <w:r>
        <w:rPr>
          <w:rFonts w:hint="eastAsia" w:ascii="黑体" w:hAnsi="黑体" w:eastAsia="黑体" w:cs="黑体"/>
          <w:sz w:val="30"/>
          <w:szCs w:val="36"/>
          <w:lang w:val="en-US" w:eastAsia="zh-CN"/>
        </w:rPr>
        <w:t>质量</w:t>
      </w:r>
      <w:r>
        <w:rPr>
          <w:rFonts w:hint="eastAsia" w:ascii="黑体" w:hAnsi="黑体" w:eastAsia="黑体" w:cs="黑体"/>
          <w:sz w:val="30"/>
          <w:szCs w:val="36"/>
        </w:rPr>
        <w:tab/>
      </w: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PAGEREF _Toc15331 \h </w:instrText>
      </w:r>
      <w:r>
        <w:rPr>
          <w:rFonts w:hint="eastAsia" w:ascii="黑体" w:hAnsi="黑体" w:eastAsia="黑体" w:cs="黑体"/>
          <w:sz w:val="30"/>
          <w:szCs w:val="36"/>
        </w:rPr>
        <w:fldChar w:fldCharType="separate"/>
      </w:r>
      <w:r>
        <w:rPr>
          <w:rFonts w:hint="eastAsia" w:ascii="黑体" w:hAnsi="黑体" w:eastAsia="黑体" w:cs="黑体"/>
          <w:sz w:val="30"/>
          <w:szCs w:val="36"/>
        </w:rPr>
        <w:t>33</w:t>
      </w:r>
      <w:r>
        <w:rPr>
          <w:rFonts w:hint="eastAsia" w:ascii="黑体" w:hAnsi="黑体" w:eastAsia="黑体" w:cs="黑体"/>
          <w:sz w:val="30"/>
          <w:szCs w:val="36"/>
        </w:rPr>
        <w:fldChar w:fldCharType="end"/>
      </w:r>
      <w:r>
        <w:rPr>
          <w:rFonts w:hint="eastAsia" w:ascii="黑体" w:hAnsi="黑体" w:eastAsia="黑体" w:cs="黑体"/>
          <w:sz w:val="30"/>
          <w:szCs w:val="36"/>
        </w:rPr>
        <w:fldChar w:fldCharType="end"/>
      </w:r>
    </w:p>
    <w:p w14:paraId="6352DE12">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_Toc14717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第一节 实施耕地数量、质量、生态“三位一体”保护</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_Toc14717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33</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50A2C1ED">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_Toc15057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第二节 重点</w:t>
      </w:r>
      <w:r>
        <w:rPr>
          <w:rFonts w:hint="eastAsia" w:ascii="仿宋_GB2312" w:hAnsi="仿宋_GB2312" w:eastAsia="仿宋_GB2312" w:cs="仿宋_GB2312"/>
          <w:sz w:val="30"/>
          <w:szCs w:val="36"/>
          <w:lang w:val="en-US" w:eastAsia="zh-CN"/>
        </w:rPr>
        <w:t>提升</w:t>
      </w:r>
      <w:r>
        <w:rPr>
          <w:rFonts w:hint="eastAsia" w:ascii="仿宋_GB2312" w:hAnsi="仿宋_GB2312" w:eastAsia="仿宋_GB2312" w:cs="仿宋_GB2312"/>
          <w:sz w:val="30"/>
          <w:szCs w:val="36"/>
          <w:lang w:val="zh-CN"/>
        </w:rPr>
        <w:t>农畜产品生产</w:t>
      </w:r>
      <w:r>
        <w:rPr>
          <w:rFonts w:hint="eastAsia" w:ascii="仿宋_GB2312" w:hAnsi="仿宋_GB2312" w:eastAsia="仿宋_GB2312" w:cs="仿宋_GB2312"/>
          <w:sz w:val="30"/>
          <w:szCs w:val="36"/>
          <w:lang w:val="en-US" w:eastAsia="zh-CN"/>
        </w:rPr>
        <w:t>能力</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_Toc15057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35</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7AADFBE7">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_Toc13272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第三节 有序实施</w:t>
      </w:r>
      <w:r>
        <w:rPr>
          <w:rFonts w:hint="eastAsia" w:ascii="仿宋_GB2312" w:hAnsi="仿宋_GB2312" w:eastAsia="仿宋_GB2312" w:cs="仿宋_GB2312"/>
          <w:sz w:val="30"/>
          <w:szCs w:val="36"/>
          <w:lang w:val="en-US" w:eastAsia="zh-CN"/>
        </w:rPr>
        <w:t>农用地</w:t>
      </w:r>
      <w:r>
        <w:rPr>
          <w:rFonts w:hint="eastAsia" w:ascii="仿宋_GB2312" w:hAnsi="仿宋_GB2312" w:eastAsia="仿宋_GB2312" w:cs="仿宋_GB2312"/>
          <w:sz w:val="30"/>
          <w:szCs w:val="36"/>
          <w:lang w:val="zh-CN"/>
        </w:rPr>
        <w:t>综合整治</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_Toc13272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36</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40707F7D">
      <w:pPr>
        <w:pStyle w:val="15"/>
        <w:tabs>
          <w:tab w:val="right" w:leader="dot" w:pos="8306"/>
        </w:tabs>
        <w:spacing w:line="600" w:lineRule="exact"/>
        <w:ind w:firstLine="0" w:firstLineChars="0"/>
        <w:rPr>
          <w:rFonts w:hint="eastAsia" w:ascii="黑体" w:hAnsi="黑体" w:eastAsia="黑体" w:cs="黑体"/>
          <w:sz w:val="30"/>
          <w:szCs w:val="36"/>
        </w:rPr>
      </w:pP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HYPERLINK \l _Toc20328 </w:instrText>
      </w:r>
      <w:r>
        <w:rPr>
          <w:rFonts w:hint="eastAsia" w:ascii="黑体" w:hAnsi="黑体" w:eastAsia="黑体" w:cs="黑体"/>
          <w:sz w:val="30"/>
          <w:szCs w:val="36"/>
        </w:rPr>
        <w:fldChar w:fldCharType="separate"/>
      </w:r>
      <w:r>
        <w:rPr>
          <w:rFonts w:hint="eastAsia" w:ascii="黑体" w:hAnsi="黑体" w:eastAsia="黑体" w:cs="黑体"/>
          <w:sz w:val="30"/>
          <w:szCs w:val="36"/>
        </w:rPr>
        <w:t>第六章 优化建设空间，</w:t>
      </w:r>
      <w:r>
        <w:rPr>
          <w:rFonts w:hint="eastAsia" w:ascii="黑体" w:hAnsi="黑体" w:eastAsia="黑体" w:cs="黑体"/>
          <w:sz w:val="30"/>
          <w:szCs w:val="36"/>
          <w:lang w:val="en-US" w:eastAsia="zh-CN"/>
        </w:rPr>
        <w:t>有效</w:t>
      </w:r>
      <w:r>
        <w:rPr>
          <w:rFonts w:hint="eastAsia" w:ascii="黑体" w:hAnsi="黑体" w:eastAsia="黑体" w:cs="黑体"/>
          <w:sz w:val="30"/>
          <w:szCs w:val="36"/>
        </w:rPr>
        <w:t>推进</w:t>
      </w:r>
      <w:r>
        <w:rPr>
          <w:rFonts w:hint="eastAsia" w:ascii="黑体" w:hAnsi="黑体" w:eastAsia="黑体" w:cs="黑体"/>
          <w:sz w:val="30"/>
          <w:szCs w:val="36"/>
          <w:lang w:val="en-US" w:eastAsia="zh-CN"/>
        </w:rPr>
        <w:t>乡村振兴</w:t>
      </w:r>
      <w:r>
        <w:rPr>
          <w:rFonts w:hint="eastAsia" w:ascii="黑体" w:hAnsi="黑体" w:eastAsia="黑体" w:cs="黑体"/>
          <w:sz w:val="30"/>
          <w:szCs w:val="36"/>
        </w:rPr>
        <w:tab/>
      </w: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PAGEREF _Toc20328 \h </w:instrText>
      </w:r>
      <w:r>
        <w:rPr>
          <w:rFonts w:hint="eastAsia" w:ascii="黑体" w:hAnsi="黑体" w:eastAsia="黑体" w:cs="黑体"/>
          <w:sz w:val="30"/>
          <w:szCs w:val="36"/>
        </w:rPr>
        <w:fldChar w:fldCharType="separate"/>
      </w:r>
      <w:r>
        <w:rPr>
          <w:rFonts w:hint="eastAsia" w:ascii="黑体" w:hAnsi="黑体" w:eastAsia="黑体" w:cs="黑体"/>
          <w:sz w:val="30"/>
          <w:szCs w:val="36"/>
        </w:rPr>
        <w:t>38</w:t>
      </w:r>
      <w:r>
        <w:rPr>
          <w:rFonts w:hint="eastAsia" w:ascii="黑体" w:hAnsi="黑体" w:eastAsia="黑体" w:cs="黑体"/>
          <w:sz w:val="30"/>
          <w:szCs w:val="36"/>
        </w:rPr>
        <w:fldChar w:fldCharType="end"/>
      </w:r>
      <w:r>
        <w:rPr>
          <w:rFonts w:hint="eastAsia" w:ascii="黑体" w:hAnsi="黑体" w:eastAsia="黑体" w:cs="黑体"/>
          <w:sz w:val="30"/>
          <w:szCs w:val="36"/>
        </w:rPr>
        <w:fldChar w:fldCharType="end"/>
      </w:r>
    </w:p>
    <w:p w14:paraId="65B51797">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_Toc12218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第一节 优化</w:t>
      </w:r>
      <w:r>
        <w:rPr>
          <w:rFonts w:hint="eastAsia" w:ascii="仿宋_GB2312" w:hAnsi="仿宋_GB2312" w:eastAsia="仿宋_GB2312" w:cs="仿宋_GB2312"/>
          <w:sz w:val="30"/>
          <w:szCs w:val="36"/>
          <w:lang w:val="en-US" w:eastAsia="zh-CN"/>
        </w:rPr>
        <w:t>乡</w:t>
      </w:r>
      <w:r>
        <w:rPr>
          <w:rFonts w:hint="eastAsia" w:ascii="仿宋_GB2312" w:hAnsi="仿宋_GB2312" w:eastAsia="仿宋_GB2312" w:cs="仿宋_GB2312"/>
          <w:sz w:val="30"/>
          <w:szCs w:val="36"/>
          <w:lang w:val="zh-CN"/>
        </w:rPr>
        <w:t>村空间体系</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_Toc12218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38</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1165F7C7">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_Toc24818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第二节 统筹优化乡村空间布局</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_Toc24818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40</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48621A05">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_Toc21811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第三节 引导产业空间布局</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_Toc21811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45</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643BC67B">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_Toc9572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第四节 完善公共服务设施布局</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_Toc9572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48</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4783A1B9">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_Toc8165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第五节 促进城乡建设用地节约集约</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_Toc8165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51</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6C5974AD">
      <w:pPr>
        <w:pStyle w:val="15"/>
        <w:tabs>
          <w:tab w:val="right" w:leader="dot" w:pos="8306"/>
        </w:tabs>
        <w:spacing w:line="600" w:lineRule="exact"/>
        <w:ind w:firstLine="0" w:firstLineChars="0"/>
        <w:rPr>
          <w:rFonts w:hint="eastAsia" w:ascii="黑体" w:hAnsi="黑体" w:eastAsia="黑体" w:cs="黑体"/>
          <w:sz w:val="30"/>
          <w:szCs w:val="36"/>
        </w:rPr>
      </w:pP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HYPERLINK \l _Toc22868 </w:instrText>
      </w:r>
      <w:r>
        <w:rPr>
          <w:rFonts w:hint="eastAsia" w:ascii="黑体" w:hAnsi="黑体" w:eastAsia="黑体" w:cs="黑体"/>
          <w:sz w:val="30"/>
          <w:szCs w:val="36"/>
        </w:rPr>
        <w:fldChar w:fldCharType="separate"/>
      </w:r>
      <w:r>
        <w:rPr>
          <w:rFonts w:hint="eastAsia" w:ascii="黑体" w:hAnsi="黑体" w:eastAsia="黑体" w:cs="黑体"/>
          <w:sz w:val="30"/>
          <w:szCs w:val="36"/>
        </w:rPr>
        <w:t xml:space="preserve">第七章 </w:t>
      </w:r>
      <w:r>
        <w:rPr>
          <w:rFonts w:hint="eastAsia" w:ascii="黑体" w:hAnsi="黑体" w:eastAsia="黑体" w:cs="黑体"/>
          <w:sz w:val="30"/>
          <w:szCs w:val="36"/>
          <w:lang w:val="en-US" w:eastAsia="zh-CN"/>
        </w:rPr>
        <w:t>集镇</w:t>
      </w:r>
      <w:r>
        <w:rPr>
          <w:rFonts w:hint="eastAsia" w:ascii="黑体" w:hAnsi="黑体" w:eastAsia="黑体" w:cs="黑体"/>
          <w:sz w:val="30"/>
          <w:szCs w:val="36"/>
        </w:rPr>
        <w:t>规划</w:t>
      </w:r>
      <w:r>
        <w:rPr>
          <w:rFonts w:hint="eastAsia" w:ascii="黑体" w:hAnsi="黑体" w:eastAsia="黑体" w:cs="黑体"/>
          <w:sz w:val="30"/>
          <w:szCs w:val="36"/>
        </w:rPr>
        <w:tab/>
      </w: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PAGEREF _Toc22868 \h </w:instrText>
      </w:r>
      <w:r>
        <w:rPr>
          <w:rFonts w:hint="eastAsia" w:ascii="黑体" w:hAnsi="黑体" w:eastAsia="黑体" w:cs="黑体"/>
          <w:sz w:val="30"/>
          <w:szCs w:val="36"/>
        </w:rPr>
        <w:fldChar w:fldCharType="separate"/>
      </w:r>
      <w:r>
        <w:rPr>
          <w:rFonts w:hint="eastAsia" w:ascii="黑体" w:hAnsi="黑体" w:eastAsia="黑体" w:cs="黑体"/>
          <w:sz w:val="30"/>
          <w:szCs w:val="36"/>
        </w:rPr>
        <w:t>53</w:t>
      </w:r>
      <w:r>
        <w:rPr>
          <w:rFonts w:hint="eastAsia" w:ascii="黑体" w:hAnsi="黑体" w:eastAsia="黑体" w:cs="黑体"/>
          <w:sz w:val="30"/>
          <w:szCs w:val="36"/>
        </w:rPr>
        <w:fldChar w:fldCharType="end"/>
      </w:r>
      <w:r>
        <w:rPr>
          <w:rFonts w:hint="eastAsia" w:ascii="黑体" w:hAnsi="黑体" w:eastAsia="黑体" w:cs="黑体"/>
          <w:sz w:val="30"/>
          <w:szCs w:val="36"/>
        </w:rPr>
        <w:fldChar w:fldCharType="end"/>
      </w:r>
    </w:p>
    <w:p w14:paraId="51ED1348">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_Toc13219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第一节 空间结构</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_Toc13219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53</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310C5E14">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_Toc19604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第二节 功能与用地布局</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_Toc19604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53</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1B25F2C1">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_Toc5909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第三节 居住与住房保障</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_Toc5909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54</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6CCE861B">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_Toc4293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第四节 公共服务设施布局</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_Toc4293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55</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738AEEB8">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_Toc3212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第五节 绿地和开敞空间</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_Toc3212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56</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15538801">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_Toc16733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 xml:space="preserve">第六节 </w:t>
      </w:r>
      <w:r>
        <w:rPr>
          <w:rFonts w:hint="eastAsia" w:ascii="仿宋_GB2312" w:hAnsi="仿宋_GB2312" w:eastAsia="仿宋_GB2312" w:cs="仿宋_GB2312"/>
          <w:sz w:val="30"/>
          <w:szCs w:val="36"/>
          <w:lang w:val="en-US" w:eastAsia="zh-CN"/>
        </w:rPr>
        <w:t>道路</w:t>
      </w:r>
      <w:r>
        <w:rPr>
          <w:rFonts w:hint="eastAsia" w:ascii="仿宋_GB2312" w:hAnsi="仿宋_GB2312" w:eastAsia="仿宋_GB2312" w:cs="仿宋_GB2312"/>
          <w:sz w:val="30"/>
          <w:szCs w:val="36"/>
          <w:lang w:val="zh-CN"/>
        </w:rPr>
        <w:t>交通体系</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_Toc16733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56</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1FFF3604">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_Toc17004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第七节 市政基础设施布局</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_Toc17004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58</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529BB2BF">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_Toc22766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第八节 综合防灾减灾</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_Toc22766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61</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10836F62">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_Toc8138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 xml:space="preserve">第九节 </w:t>
      </w:r>
      <w:r>
        <w:rPr>
          <w:rFonts w:hint="eastAsia" w:ascii="仿宋_GB2312" w:hAnsi="仿宋_GB2312" w:eastAsia="仿宋_GB2312" w:cs="仿宋_GB2312"/>
          <w:sz w:val="30"/>
          <w:szCs w:val="36"/>
          <w:lang w:val="en-US" w:eastAsia="zh-CN"/>
        </w:rPr>
        <w:t>集</w:t>
      </w:r>
      <w:r>
        <w:rPr>
          <w:rFonts w:hint="eastAsia" w:ascii="仿宋_GB2312" w:hAnsi="仿宋_GB2312" w:eastAsia="仿宋_GB2312" w:cs="仿宋_GB2312"/>
          <w:sz w:val="30"/>
          <w:szCs w:val="36"/>
          <w:lang w:val="zh-CN"/>
        </w:rPr>
        <w:t>镇风貌引导与管控</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_Toc8138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63</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59B4615F">
      <w:pPr>
        <w:pStyle w:val="15"/>
        <w:tabs>
          <w:tab w:val="right" w:leader="dot" w:pos="8306"/>
        </w:tabs>
        <w:spacing w:line="600" w:lineRule="exact"/>
        <w:ind w:firstLine="0" w:firstLineChars="0"/>
        <w:rPr>
          <w:rFonts w:hint="eastAsia" w:ascii="黑体" w:hAnsi="黑体" w:eastAsia="黑体" w:cs="黑体"/>
          <w:sz w:val="30"/>
          <w:szCs w:val="36"/>
        </w:rPr>
      </w:pP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HYPERLINK \l _Toc26044 </w:instrText>
      </w:r>
      <w:r>
        <w:rPr>
          <w:rFonts w:hint="eastAsia" w:ascii="黑体" w:hAnsi="黑体" w:eastAsia="黑体" w:cs="黑体"/>
          <w:sz w:val="30"/>
          <w:szCs w:val="36"/>
        </w:rPr>
        <w:fldChar w:fldCharType="separate"/>
      </w:r>
      <w:r>
        <w:rPr>
          <w:rFonts w:hint="eastAsia" w:ascii="黑体" w:hAnsi="黑体" w:eastAsia="黑体" w:cs="黑体"/>
          <w:sz w:val="30"/>
          <w:szCs w:val="36"/>
        </w:rPr>
        <w:t>第八章 历史文化保护与景观风貌引导</w:t>
      </w:r>
      <w:r>
        <w:rPr>
          <w:rFonts w:hint="eastAsia" w:ascii="黑体" w:hAnsi="黑体" w:eastAsia="黑体" w:cs="黑体"/>
          <w:sz w:val="30"/>
          <w:szCs w:val="36"/>
        </w:rPr>
        <w:tab/>
      </w: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PAGEREF _Toc26044 \h </w:instrText>
      </w:r>
      <w:r>
        <w:rPr>
          <w:rFonts w:hint="eastAsia" w:ascii="黑体" w:hAnsi="黑体" w:eastAsia="黑体" w:cs="黑体"/>
          <w:sz w:val="30"/>
          <w:szCs w:val="36"/>
        </w:rPr>
        <w:fldChar w:fldCharType="separate"/>
      </w:r>
      <w:r>
        <w:rPr>
          <w:rFonts w:hint="eastAsia" w:ascii="黑体" w:hAnsi="黑体" w:eastAsia="黑体" w:cs="黑体"/>
          <w:sz w:val="30"/>
          <w:szCs w:val="36"/>
        </w:rPr>
        <w:t>66</w:t>
      </w:r>
      <w:r>
        <w:rPr>
          <w:rFonts w:hint="eastAsia" w:ascii="黑体" w:hAnsi="黑体" w:eastAsia="黑体" w:cs="黑体"/>
          <w:sz w:val="30"/>
          <w:szCs w:val="36"/>
        </w:rPr>
        <w:fldChar w:fldCharType="end"/>
      </w:r>
      <w:r>
        <w:rPr>
          <w:rFonts w:hint="eastAsia" w:ascii="黑体" w:hAnsi="黑体" w:eastAsia="黑体" w:cs="黑体"/>
          <w:sz w:val="30"/>
          <w:szCs w:val="36"/>
        </w:rPr>
        <w:fldChar w:fldCharType="end"/>
      </w:r>
    </w:p>
    <w:p w14:paraId="30ADBE92">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_Toc22335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 xml:space="preserve">第一节 </w:t>
      </w:r>
      <w:r>
        <w:rPr>
          <w:rFonts w:hint="eastAsia" w:ascii="仿宋_GB2312" w:hAnsi="仿宋_GB2312" w:eastAsia="仿宋_GB2312" w:cs="仿宋_GB2312"/>
          <w:sz w:val="30"/>
          <w:szCs w:val="36"/>
          <w:lang w:val="en-US" w:eastAsia="zh-CN"/>
        </w:rPr>
        <w:t>历史文化保护与传承</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_Toc22335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66</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3E0A2522">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_Toc16352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 xml:space="preserve">第二节 </w:t>
      </w:r>
      <w:r>
        <w:rPr>
          <w:rFonts w:hint="eastAsia" w:ascii="仿宋_GB2312" w:hAnsi="仿宋_GB2312" w:eastAsia="仿宋_GB2312" w:cs="仿宋_GB2312"/>
          <w:sz w:val="30"/>
          <w:szCs w:val="36"/>
          <w:lang w:val="en-US" w:eastAsia="zh-CN"/>
        </w:rPr>
        <w:t>景观</w:t>
      </w:r>
      <w:r>
        <w:rPr>
          <w:rFonts w:hint="eastAsia" w:ascii="仿宋_GB2312" w:hAnsi="仿宋_GB2312" w:eastAsia="仿宋_GB2312" w:cs="仿宋_GB2312"/>
          <w:sz w:val="30"/>
          <w:szCs w:val="36"/>
          <w:lang w:val="zh-CN"/>
        </w:rPr>
        <w:t>风貌引导</w:t>
      </w:r>
      <w:r>
        <w:rPr>
          <w:rFonts w:hint="eastAsia" w:ascii="仿宋_GB2312" w:hAnsi="仿宋_GB2312" w:eastAsia="仿宋_GB2312" w:cs="仿宋_GB2312"/>
          <w:sz w:val="30"/>
          <w:szCs w:val="36"/>
          <w:lang w:val="en-US" w:eastAsia="zh-CN"/>
        </w:rPr>
        <w:t>与管控</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_Toc16352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68</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4CA60A3D">
      <w:pPr>
        <w:pStyle w:val="15"/>
        <w:tabs>
          <w:tab w:val="right" w:leader="dot" w:pos="8306"/>
        </w:tabs>
        <w:spacing w:line="600" w:lineRule="exact"/>
        <w:ind w:firstLine="0" w:firstLineChars="0"/>
        <w:rPr>
          <w:rFonts w:hint="eastAsia" w:ascii="黑体" w:hAnsi="黑体" w:eastAsia="黑体" w:cs="黑体"/>
          <w:sz w:val="30"/>
          <w:szCs w:val="36"/>
        </w:rPr>
      </w:pP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HYPERLINK \l _Toc30964 </w:instrText>
      </w:r>
      <w:r>
        <w:rPr>
          <w:rFonts w:hint="eastAsia" w:ascii="黑体" w:hAnsi="黑体" w:eastAsia="黑体" w:cs="黑体"/>
          <w:sz w:val="30"/>
          <w:szCs w:val="36"/>
        </w:rPr>
        <w:fldChar w:fldCharType="separate"/>
      </w:r>
      <w:r>
        <w:rPr>
          <w:rFonts w:hint="eastAsia" w:ascii="黑体" w:hAnsi="黑体" w:eastAsia="黑体" w:cs="黑体"/>
          <w:sz w:val="30"/>
          <w:szCs w:val="36"/>
        </w:rPr>
        <w:t>第九章 强化空间统筹，保障重大基础设施建设</w:t>
      </w:r>
      <w:r>
        <w:rPr>
          <w:rFonts w:hint="eastAsia" w:ascii="黑体" w:hAnsi="黑体" w:eastAsia="黑体" w:cs="黑体"/>
          <w:sz w:val="30"/>
          <w:szCs w:val="36"/>
        </w:rPr>
        <w:tab/>
      </w: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PAGEREF _Toc30964 \h </w:instrText>
      </w:r>
      <w:r>
        <w:rPr>
          <w:rFonts w:hint="eastAsia" w:ascii="黑体" w:hAnsi="黑体" w:eastAsia="黑体" w:cs="黑体"/>
          <w:sz w:val="30"/>
          <w:szCs w:val="36"/>
        </w:rPr>
        <w:fldChar w:fldCharType="separate"/>
      </w:r>
      <w:r>
        <w:rPr>
          <w:rFonts w:hint="eastAsia" w:ascii="黑体" w:hAnsi="黑体" w:eastAsia="黑体" w:cs="黑体"/>
          <w:sz w:val="30"/>
          <w:szCs w:val="36"/>
        </w:rPr>
        <w:t>71</w:t>
      </w:r>
      <w:r>
        <w:rPr>
          <w:rFonts w:hint="eastAsia" w:ascii="黑体" w:hAnsi="黑体" w:eastAsia="黑体" w:cs="黑体"/>
          <w:sz w:val="30"/>
          <w:szCs w:val="36"/>
        </w:rPr>
        <w:fldChar w:fldCharType="end"/>
      </w:r>
      <w:r>
        <w:rPr>
          <w:rFonts w:hint="eastAsia" w:ascii="黑体" w:hAnsi="黑体" w:eastAsia="黑体" w:cs="黑体"/>
          <w:sz w:val="30"/>
          <w:szCs w:val="36"/>
        </w:rPr>
        <w:fldChar w:fldCharType="end"/>
      </w:r>
    </w:p>
    <w:p w14:paraId="04FD1B80">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_Toc13696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en-US" w:eastAsia="zh-CN"/>
        </w:rPr>
        <w:t>第一节 优化综合交通和物流网络布局</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_Toc13696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71</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33375F77">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_Toc18038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en-US" w:eastAsia="zh-CN"/>
        </w:rPr>
        <w:t>第二节 构建安全可靠水利基础设施网络</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_Toc18038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73</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61C88395">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_Toc1520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en-US" w:eastAsia="zh-CN"/>
        </w:rPr>
        <w:t>第三节 保障国家清洁能源产业高地建设</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_Toc1520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75</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4407B4EA">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_Toc24029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en-US" w:eastAsia="zh-CN"/>
        </w:rPr>
        <w:t>第四节 系统布局基础设施</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_Toc24029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76</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4DD6ACD1">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_Toc2743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en-US" w:eastAsia="zh-CN"/>
        </w:rPr>
        <w:t>第五节 构建韧性安全的综合防灾体系</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_Toc2743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79</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19E90858">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_Toc16182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en-US" w:eastAsia="zh-CN"/>
        </w:rPr>
        <w:t>第六节 保障基础设施用地</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_Toc16182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83</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1AE7BAAC">
      <w:pPr>
        <w:pStyle w:val="15"/>
        <w:tabs>
          <w:tab w:val="right" w:leader="dot" w:pos="8306"/>
        </w:tabs>
        <w:spacing w:line="600" w:lineRule="exact"/>
        <w:ind w:firstLine="0" w:firstLineChars="0"/>
        <w:rPr>
          <w:rFonts w:hint="eastAsia" w:ascii="黑体" w:hAnsi="黑体" w:eastAsia="黑体" w:cs="黑体"/>
          <w:sz w:val="30"/>
          <w:szCs w:val="36"/>
        </w:rPr>
      </w:pP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HYPERLINK \l _Toc9669 </w:instrText>
      </w:r>
      <w:r>
        <w:rPr>
          <w:rFonts w:hint="eastAsia" w:ascii="黑体" w:hAnsi="黑体" w:eastAsia="黑体" w:cs="黑体"/>
          <w:sz w:val="30"/>
          <w:szCs w:val="36"/>
        </w:rPr>
        <w:fldChar w:fldCharType="separate"/>
      </w:r>
      <w:r>
        <w:rPr>
          <w:rFonts w:hint="eastAsia" w:ascii="黑体" w:hAnsi="黑体" w:eastAsia="黑体" w:cs="黑体"/>
          <w:sz w:val="30"/>
          <w:szCs w:val="36"/>
        </w:rPr>
        <w:t>第十章 完善体制机制，高质量做好规划实施保障</w:t>
      </w:r>
      <w:r>
        <w:rPr>
          <w:rFonts w:hint="eastAsia" w:ascii="黑体" w:hAnsi="黑体" w:eastAsia="黑体" w:cs="黑体"/>
          <w:sz w:val="30"/>
          <w:szCs w:val="36"/>
        </w:rPr>
        <w:tab/>
      </w:r>
      <w:r>
        <w:rPr>
          <w:rFonts w:hint="eastAsia" w:ascii="黑体" w:hAnsi="黑体" w:eastAsia="黑体" w:cs="黑体"/>
          <w:sz w:val="30"/>
          <w:szCs w:val="36"/>
        </w:rPr>
        <w:fldChar w:fldCharType="begin"/>
      </w:r>
      <w:r>
        <w:rPr>
          <w:rFonts w:hint="eastAsia" w:ascii="黑体" w:hAnsi="黑体" w:eastAsia="黑体" w:cs="黑体"/>
          <w:sz w:val="30"/>
          <w:szCs w:val="36"/>
        </w:rPr>
        <w:instrText xml:space="preserve"> PAGEREF _Toc9669 \h </w:instrText>
      </w:r>
      <w:r>
        <w:rPr>
          <w:rFonts w:hint="eastAsia" w:ascii="黑体" w:hAnsi="黑体" w:eastAsia="黑体" w:cs="黑体"/>
          <w:sz w:val="30"/>
          <w:szCs w:val="36"/>
        </w:rPr>
        <w:fldChar w:fldCharType="separate"/>
      </w:r>
      <w:r>
        <w:rPr>
          <w:rFonts w:hint="eastAsia" w:ascii="黑体" w:hAnsi="黑体" w:eastAsia="黑体" w:cs="黑体"/>
          <w:sz w:val="30"/>
          <w:szCs w:val="36"/>
        </w:rPr>
        <w:t>85</w:t>
      </w:r>
      <w:r>
        <w:rPr>
          <w:rFonts w:hint="eastAsia" w:ascii="黑体" w:hAnsi="黑体" w:eastAsia="黑体" w:cs="黑体"/>
          <w:sz w:val="30"/>
          <w:szCs w:val="36"/>
        </w:rPr>
        <w:fldChar w:fldCharType="end"/>
      </w:r>
      <w:r>
        <w:rPr>
          <w:rFonts w:hint="eastAsia" w:ascii="黑体" w:hAnsi="黑体" w:eastAsia="黑体" w:cs="黑体"/>
          <w:sz w:val="30"/>
          <w:szCs w:val="36"/>
        </w:rPr>
        <w:fldChar w:fldCharType="end"/>
      </w:r>
    </w:p>
    <w:p w14:paraId="08936DD0">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_Toc1633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en-US" w:eastAsia="zh-CN"/>
        </w:rPr>
        <w:t>第一节 加强党的领导</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_Toc1633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85</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33F0F884">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_Toc1638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en-US" w:eastAsia="zh-CN"/>
        </w:rPr>
        <w:t>第二节 健全配套政策</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_Toc1638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86</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6FFA859C">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_Toc17598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en-US" w:eastAsia="zh-CN"/>
        </w:rPr>
        <w:t>第三节 强化规划传导与用途管制</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_Toc17598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86</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094B6DC8">
      <w:pPr>
        <w:pStyle w:val="16"/>
        <w:tabs>
          <w:tab w:val="right" w:leader="dot" w:pos="8306"/>
        </w:tabs>
        <w:spacing w:line="600" w:lineRule="exact"/>
        <w:ind w:left="0" w:leftChars="0" w:firstLine="600" w:firstLineChars="200"/>
        <w:rPr>
          <w:rFonts w:hint="eastAsia" w:ascii="仿宋_GB2312" w:hAnsi="仿宋_GB2312" w:eastAsia="仿宋_GB2312" w:cs="仿宋_GB2312"/>
          <w:sz w:val="30"/>
          <w:szCs w:val="36"/>
          <w:lang w:val="zh-CN"/>
        </w:rPr>
      </w:pP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HYPERLINK \l _Toc8879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en-US" w:eastAsia="zh-CN"/>
        </w:rPr>
        <w:t>第四节 近期安排</w:t>
      </w:r>
      <w:r>
        <w:rPr>
          <w:rFonts w:hint="eastAsia" w:ascii="仿宋_GB2312" w:hAnsi="仿宋_GB2312" w:eastAsia="仿宋_GB2312" w:cs="仿宋_GB2312"/>
          <w:sz w:val="30"/>
          <w:szCs w:val="36"/>
          <w:lang w:val="zh-CN"/>
        </w:rPr>
        <w:tab/>
      </w:r>
      <w:r>
        <w:rPr>
          <w:rFonts w:hint="eastAsia" w:ascii="仿宋_GB2312" w:hAnsi="仿宋_GB2312" w:eastAsia="仿宋_GB2312" w:cs="仿宋_GB2312"/>
          <w:sz w:val="30"/>
          <w:szCs w:val="36"/>
          <w:lang w:val="zh-CN"/>
        </w:rPr>
        <w:fldChar w:fldCharType="begin"/>
      </w:r>
      <w:r>
        <w:rPr>
          <w:rFonts w:hint="eastAsia" w:ascii="仿宋_GB2312" w:hAnsi="仿宋_GB2312" w:eastAsia="仿宋_GB2312" w:cs="仿宋_GB2312"/>
          <w:sz w:val="30"/>
          <w:szCs w:val="36"/>
          <w:lang w:val="zh-CN"/>
        </w:rPr>
        <w:instrText xml:space="preserve"> PAGEREF _Toc8879 \h </w:instrText>
      </w:r>
      <w:r>
        <w:rPr>
          <w:rFonts w:hint="eastAsia" w:ascii="仿宋_GB2312" w:hAnsi="仿宋_GB2312" w:eastAsia="仿宋_GB2312" w:cs="仿宋_GB2312"/>
          <w:sz w:val="30"/>
          <w:szCs w:val="36"/>
          <w:lang w:val="zh-CN"/>
        </w:rPr>
        <w:fldChar w:fldCharType="separate"/>
      </w:r>
      <w:r>
        <w:rPr>
          <w:rFonts w:hint="eastAsia" w:ascii="仿宋_GB2312" w:hAnsi="仿宋_GB2312" w:eastAsia="仿宋_GB2312" w:cs="仿宋_GB2312"/>
          <w:sz w:val="30"/>
          <w:szCs w:val="36"/>
          <w:lang w:val="zh-CN"/>
        </w:rPr>
        <w:t>87</w:t>
      </w:r>
      <w:r>
        <w:rPr>
          <w:rFonts w:hint="eastAsia" w:ascii="仿宋_GB2312" w:hAnsi="仿宋_GB2312" w:eastAsia="仿宋_GB2312" w:cs="仿宋_GB2312"/>
          <w:sz w:val="30"/>
          <w:szCs w:val="36"/>
          <w:lang w:val="zh-CN"/>
        </w:rPr>
        <w:fldChar w:fldCharType="end"/>
      </w:r>
      <w:r>
        <w:rPr>
          <w:rFonts w:hint="eastAsia" w:ascii="仿宋_GB2312" w:hAnsi="仿宋_GB2312" w:eastAsia="仿宋_GB2312" w:cs="仿宋_GB2312"/>
          <w:sz w:val="30"/>
          <w:szCs w:val="36"/>
          <w:lang w:val="zh-CN"/>
        </w:rPr>
        <w:fldChar w:fldCharType="end"/>
      </w:r>
    </w:p>
    <w:p w14:paraId="2D371FE5">
      <w:pPr>
        <w:pStyle w:val="16"/>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420" w:leftChars="200" w:firstLine="0" w:firstLineChars="0"/>
        <w:jc w:val="both"/>
        <w:textAlignment w:val="auto"/>
        <w:rPr>
          <w:rFonts w:hint="eastAsia" w:ascii="仿宋_GB2312" w:hAnsi="仿宋_GB2312" w:eastAsia="仿宋_GB2312" w:cs="仿宋_GB2312"/>
          <w:smallCaps w:val="0"/>
          <w:color w:val="000000" w:themeColor="text1"/>
          <w:sz w:val="30"/>
          <w:szCs w:val="30"/>
          <w14:textFill>
            <w14:solidFill>
              <w14:schemeClr w14:val="tx1"/>
            </w14:solidFill>
          </w14:textFill>
        </w:rPr>
      </w:pPr>
      <w:r>
        <w:rPr>
          <w:rFonts w:hint="eastAsia" w:ascii="仿宋_GB2312" w:hAnsi="仿宋_GB2312" w:eastAsia="仿宋_GB2312" w:cs="仿宋_GB2312"/>
          <w:smallCaps w:val="0"/>
          <w:color w:val="000000" w:themeColor="text1"/>
          <w:szCs w:val="30"/>
          <w14:textFill>
            <w14:solidFill>
              <w14:schemeClr w14:val="tx1"/>
            </w14:solidFill>
          </w14:textFill>
        </w:rPr>
        <w:fldChar w:fldCharType="end"/>
      </w:r>
    </w:p>
    <w:p w14:paraId="33A55AE1">
      <w:pPr>
        <w:pStyle w:val="16"/>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420" w:leftChars="200" w:firstLine="0" w:firstLineChars="0"/>
        <w:jc w:val="both"/>
        <w:textAlignment w:val="auto"/>
        <w:rPr>
          <w:rFonts w:hint="eastAsia" w:ascii="仿宋_GB2312" w:hAnsi="仿宋_GB2312" w:eastAsia="仿宋_GB2312" w:cs="仿宋_GB2312"/>
          <w:smallCaps w:val="0"/>
          <w:color w:val="000000" w:themeColor="text1"/>
          <w:sz w:val="30"/>
          <w:szCs w:val="30"/>
          <w14:textFill>
            <w14:solidFill>
              <w14:schemeClr w14:val="tx1"/>
            </w14:solidFill>
          </w14:textFill>
        </w:rPr>
        <w:sectPr>
          <w:footerReference r:id="rId5" w:type="default"/>
          <w:pgSz w:w="11906" w:h="16838"/>
          <w:pgMar w:top="1440" w:right="1800" w:bottom="1440" w:left="1800" w:header="851" w:footer="992" w:gutter="0"/>
          <w:pgNumType w:start="1"/>
          <w:cols w:space="425" w:num="1"/>
          <w:docGrid w:type="lines" w:linePitch="312" w:charSpace="0"/>
        </w:sectPr>
      </w:pPr>
      <w:bookmarkStart w:id="98" w:name="_GoBack"/>
      <w:bookmarkEnd w:id="98"/>
    </w:p>
    <w:p w14:paraId="731198B5">
      <w:pPr>
        <w:tabs>
          <w:tab w:val="left" w:pos="353"/>
        </w:tabs>
        <w:spacing w:before="312" w:beforeLines="100" w:after="312" w:afterLines="100" w:line="520" w:lineRule="exact"/>
        <w:ind w:firstLine="0" w:firstLineChars="0"/>
        <w:jc w:val="center"/>
        <w:outlineLvl w:val="0"/>
        <w:rPr>
          <w:rFonts w:hint="eastAsia" w:ascii="方正小标宋_GBK" w:hAnsi="黑体" w:eastAsia="方正小标宋_GBK" w:cs="Times New Roman"/>
          <w:sz w:val="36"/>
          <w:szCs w:val="36"/>
        </w:rPr>
      </w:pPr>
      <w:bookmarkStart w:id="12" w:name="_Toc12775"/>
      <w:r>
        <w:rPr>
          <w:rFonts w:hint="eastAsia" w:ascii="方正小标宋_GBK" w:hAnsi="黑体" w:eastAsia="方正小标宋_GBK" w:cs="Times New Roman"/>
          <w:sz w:val="36"/>
          <w:szCs w:val="36"/>
        </w:rPr>
        <w:t>前言</w:t>
      </w:r>
      <w:bookmarkEnd w:id="12"/>
    </w:p>
    <w:p w14:paraId="225EBE4B">
      <w:pPr>
        <w:tabs>
          <w:tab w:val="left" w:pos="353"/>
        </w:tabs>
        <w:spacing w:line="600" w:lineRule="exact"/>
        <w:ind w:firstLine="640" w:firstLineChars="200"/>
        <w:rPr>
          <w:rFonts w:hint="eastAsia" w:ascii="仿宋_GB2312" w:hAnsi="仿宋_GB2312" w:eastAsia="宋体" w:cs="Times New Roman"/>
          <w:sz w:val="32"/>
          <w:szCs w:val="32"/>
          <w:lang w:val="en-US" w:eastAsia="zh-CN"/>
        </w:rPr>
      </w:pPr>
      <w:r>
        <w:rPr>
          <w:rFonts w:hint="eastAsia" w:ascii="仿宋_GB2312" w:hAnsi="仿宋_GB2312" w:eastAsia="仿宋_GB2312" w:cs="Times New Roman"/>
          <w:sz w:val="32"/>
          <w:szCs w:val="32"/>
          <w:lang w:val="en-US" w:eastAsia="zh-CN"/>
        </w:rPr>
        <w:t>沙珠玉乡地处共和盆地中部，界于干燥荒漠的塔拉滩和鄂拉山以北，与青海湖隔山相望，曾是典型的荒漠化受危害地区，素有“风库”之称；</w:t>
      </w:r>
      <w:r>
        <w:rPr>
          <w:rFonts w:hint="default" w:ascii="仿宋_GB2312" w:hAnsi="仿宋_GB2312" w:eastAsia="仿宋_GB2312" w:cs="Times New Roman"/>
          <w:sz w:val="32"/>
          <w:szCs w:val="32"/>
          <w:lang w:val="en-US" w:eastAsia="zh-CN"/>
        </w:rPr>
        <w:t>经过</w:t>
      </w:r>
      <w:r>
        <w:rPr>
          <w:rFonts w:hint="eastAsia" w:ascii="仿宋_GB2312" w:hAnsi="仿宋_GB2312" w:eastAsia="仿宋_GB2312" w:cs="Times New Roman"/>
          <w:sz w:val="32"/>
          <w:szCs w:val="32"/>
          <w:lang w:val="en-US" w:eastAsia="zh-CN"/>
        </w:rPr>
        <w:t>60</w:t>
      </w:r>
      <w:r>
        <w:rPr>
          <w:rFonts w:hint="default" w:ascii="仿宋_GB2312" w:hAnsi="仿宋_GB2312" w:eastAsia="仿宋_GB2312" w:cs="Times New Roman"/>
          <w:sz w:val="32"/>
          <w:szCs w:val="32"/>
          <w:lang w:val="en-US" w:eastAsia="zh-CN"/>
        </w:rPr>
        <w:t>多年的治沙造林</w:t>
      </w:r>
      <w:r>
        <w:rPr>
          <w:rFonts w:hint="eastAsia" w:ascii="仿宋_GB2312" w:hAnsi="仿宋_GB2312" w:eastAsia="仿宋_GB2312" w:cs="Times New Roman"/>
          <w:sz w:val="32"/>
          <w:szCs w:val="32"/>
          <w:lang w:val="en-US" w:eastAsia="zh-CN"/>
        </w:rPr>
        <w:t>，建成了享誉全国的“高原荒漠沙珠玉绿洲”。</w:t>
      </w:r>
    </w:p>
    <w:p w14:paraId="17CA09D0">
      <w:pPr>
        <w:tabs>
          <w:tab w:val="left" w:pos="353"/>
        </w:tabs>
        <w:spacing w:line="600" w:lineRule="exact"/>
        <w:ind w:firstLine="640" w:firstLineChars="200"/>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以习近平新时代中国特色社会主义思想为指导，立足青海“三个最大”省情定位、“三个更加重要”战略地位，科学把握新发展阶段、深入贯彻新发展理念、加快构建新发展格局，推进青藏高原生态保护和高质量发展，</w:t>
      </w:r>
      <w:r>
        <w:rPr>
          <w:rFonts w:hint="eastAsia" w:ascii="仿宋_GB2312" w:hAnsi="仿宋_GB2312" w:eastAsia="仿宋_GB2312" w:cs="仿宋_GB2312"/>
          <w:color w:val="auto"/>
          <w:sz w:val="32"/>
          <w:szCs w:val="32"/>
        </w:rPr>
        <w:t>贯彻落实《中共中央 国务院关于建立国土空间规划体系并监督实施的若干意见》《中共青海省委 青海省人民政府关于建立全省国土空间规划体系并监督实施的意见》</w:t>
      </w:r>
      <w:r>
        <w:rPr>
          <w:rFonts w:hint="eastAsia" w:ascii="仿宋_GB2312" w:hAnsi="仿宋_GB2312" w:eastAsia="仿宋_GB2312" w:cs="Times New Roman"/>
          <w:sz w:val="32"/>
          <w:szCs w:val="32"/>
          <w:lang w:val="en-US" w:eastAsia="zh-CN"/>
        </w:rPr>
        <w:t>，构建共和县“两级三类”国土空间规划体系，编制《共和县沙珠玉乡国土空间总体规划（2021-2035年）》（以下简称《规划》）。</w:t>
      </w:r>
    </w:p>
    <w:p w14:paraId="018C36CD">
      <w:pPr>
        <w:tabs>
          <w:tab w:val="left" w:pos="353"/>
        </w:tabs>
        <w:spacing w:line="600" w:lineRule="exact"/>
        <w:ind w:firstLine="640" w:firstLineChars="200"/>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《规划》是</w:t>
      </w:r>
      <w:r>
        <w:rPr>
          <w:rFonts w:hint="eastAsia" w:ascii="仿宋_GB2312" w:hAnsi="仿宋_GB2312" w:eastAsia="仿宋_GB2312" w:cs="仿宋_GB2312"/>
          <w:color w:val="auto"/>
          <w:sz w:val="32"/>
          <w:szCs w:val="32"/>
        </w:rPr>
        <w:t>对县</w:t>
      </w:r>
      <w:r>
        <w:rPr>
          <w:rFonts w:hint="eastAsia" w:ascii="仿宋_GB2312" w:hAnsi="仿宋_GB2312" w:eastAsia="仿宋_GB2312" w:cs="仿宋_GB2312"/>
          <w:color w:val="auto"/>
          <w:sz w:val="32"/>
          <w:szCs w:val="32"/>
          <w:lang w:eastAsia="zh-CN"/>
        </w:rPr>
        <w:t>级</w:t>
      </w:r>
      <w:r>
        <w:rPr>
          <w:rFonts w:hint="eastAsia" w:ascii="仿宋_GB2312" w:hAnsi="仿宋_GB2312" w:eastAsia="仿宋_GB2312" w:cs="仿宋_GB2312"/>
          <w:color w:val="auto"/>
          <w:sz w:val="32"/>
          <w:szCs w:val="32"/>
        </w:rPr>
        <w:t>国土空间总体规划</w:t>
      </w:r>
      <w:r>
        <w:rPr>
          <w:rFonts w:hint="eastAsia" w:ascii="仿宋_GB2312" w:hAnsi="仿宋_GB2312" w:eastAsia="仿宋_GB2312" w:cs="Times New Roman"/>
          <w:sz w:val="32"/>
          <w:szCs w:val="32"/>
          <w:lang w:val="en-US" w:eastAsia="zh-CN"/>
        </w:rPr>
        <w:t>的</w:t>
      </w:r>
      <w:r>
        <w:rPr>
          <w:rFonts w:hint="eastAsia" w:ascii="仿宋_GB2312" w:hAnsi="仿宋_GB2312" w:eastAsia="仿宋_GB2312" w:cs="仿宋_GB2312"/>
          <w:color w:val="auto"/>
          <w:sz w:val="32"/>
          <w:szCs w:val="32"/>
        </w:rPr>
        <w:t>细化落实</w:t>
      </w:r>
      <w:r>
        <w:rPr>
          <w:rFonts w:hint="eastAsia" w:ascii="仿宋_GB2312" w:hAnsi="仿宋_GB2312" w:eastAsia="仿宋_GB2312" w:cs="Times New Roman"/>
          <w:sz w:val="32"/>
          <w:szCs w:val="32"/>
          <w:lang w:val="en-US" w:eastAsia="zh-CN"/>
        </w:rPr>
        <w:t>，</w:t>
      </w:r>
      <w:r>
        <w:rPr>
          <w:rFonts w:hint="eastAsia" w:ascii="仿宋_GB2312" w:hAnsi="仿宋_GB2312" w:eastAsia="仿宋_GB2312" w:cs="仿宋_GB2312"/>
          <w:color w:val="auto"/>
          <w:sz w:val="32"/>
          <w:szCs w:val="32"/>
        </w:rPr>
        <w:t>是对乡</w:t>
      </w:r>
      <w:r>
        <w:rPr>
          <w:rFonts w:hint="eastAsia" w:ascii="仿宋_GB2312" w:hAnsi="仿宋_GB2312" w:eastAsia="仿宋_GB2312" w:cs="仿宋_GB2312"/>
          <w:color w:val="auto"/>
          <w:sz w:val="32"/>
          <w:szCs w:val="32"/>
          <w:lang w:eastAsia="zh-CN"/>
        </w:rPr>
        <w:t>域内</w:t>
      </w:r>
      <w:r>
        <w:rPr>
          <w:rFonts w:hint="eastAsia" w:ascii="仿宋_GB2312" w:hAnsi="仿宋_GB2312" w:eastAsia="仿宋_GB2312" w:cs="仿宋_GB2312"/>
          <w:color w:val="auto"/>
          <w:sz w:val="32"/>
          <w:szCs w:val="32"/>
        </w:rPr>
        <w:t>国土空间</w:t>
      </w:r>
      <w:r>
        <w:rPr>
          <w:rFonts w:hint="eastAsia" w:ascii="仿宋_GB2312" w:hAnsi="仿宋_GB2312" w:eastAsia="仿宋_GB2312" w:cs="仿宋_GB2312"/>
          <w:color w:val="auto"/>
          <w:sz w:val="32"/>
          <w:szCs w:val="32"/>
          <w:lang w:eastAsia="zh-CN"/>
        </w:rPr>
        <w:t>保护、</w:t>
      </w:r>
      <w:r>
        <w:rPr>
          <w:rFonts w:hint="eastAsia" w:ascii="仿宋_GB2312" w:hAnsi="仿宋_GB2312" w:eastAsia="仿宋_GB2312" w:cs="仿宋_GB2312"/>
          <w:color w:val="auto"/>
          <w:sz w:val="32"/>
          <w:szCs w:val="32"/>
        </w:rPr>
        <w:t>开发</w:t>
      </w:r>
      <w:r>
        <w:rPr>
          <w:rFonts w:hint="eastAsia" w:ascii="仿宋_GB2312" w:hAnsi="仿宋_GB2312" w:eastAsia="仿宋_GB2312" w:cs="仿宋_GB2312"/>
          <w:color w:val="auto"/>
          <w:sz w:val="32"/>
          <w:szCs w:val="32"/>
          <w:lang w:eastAsia="zh-CN"/>
        </w:rPr>
        <w:t>、利用、修复</w:t>
      </w:r>
      <w:r>
        <w:rPr>
          <w:rFonts w:hint="eastAsia" w:ascii="仿宋_GB2312" w:hAnsi="仿宋_GB2312" w:eastAsia="仿宋_GB2312" w:cs="仿宋_GB2312"/>
          <w:color w:val="auto"/>
          <w:sz w:val="32"/>
          <w:szCs w:val="32"/>
        </w:rPr>
        <w:t>作出的</w:t>
      </w:r>
      <w:r>
        <w:rPr>
          <w:rFonts w:hint="eastAsia" w:ascii="仿宋_GB2312" w:hAnsi="仿宋_GB2312" w:eastAsia="仿宋_GB2312" w:cs="仿宋_GB2312"/>
          <w:color w:val="auto"/>
          <w:sz w:val="32"/>
          <w:szCs w:val="32"/>
          <w:lang w:eastAsia="zh-CN"/>
        </w:rPr>
        <w:t>综合部署和</w:t>
      </w:r>
      <w:r>
        <w:rPr>
          <w:rFonts w:hint="eastAsia" w:ascii="仿宋_GB2312" w:hAnsi="仿宋_GB2312" w:eastAsia="仿宋_GB2312" w:cs="仿宋_GB2312"/>
          <w:color w:val="auto"/>
          <w:sz w:val="32"/>
          <w:szCs w:val="32"/>
        </w:rPr>
        <w:t>具体安排，是开展乡镇详细规划</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相关专项规划和</w:t>
      </w:r>
      <w:r>
        <w:rPr>
          <w:rFonts w:hint="eastAsia" w:ascii="仿宋_GB2312" w:hAnsi="仿宋_GB2312" w:eastAsia="仿宋_GB2312" w:cs="仿宋_GB2312"/>
          <w:color w:val="auto"/>
          <w:sz w:val="32"/>
          <w:szCs w:val="32"/>
          <w:lang w:eastAsia="zh-CN"/>
        </w:rPr>
        <w:t>村庄规划</w:t>
      </w:r>
      <w:r>
        <w:rPr>
          <w:rFonts w:hint="eastAsia" w:ascii="仿宋_GB2312" w:hAnsi="仿宋_GB2312" w:eastAsia="仿宋_GB2312" w:cs="仿宋_GB2312"/>
          <w:color w:val="auto"/>
          <w:sz w:val="32"/>
          <w:szCs w:val="32"/>
        </w:rPr>
        <w:t>编制的依据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Times New Roman"/>
          <w:sz w:val="32"/>
          <w:szCs w:val="32"/>
          <w:lang w:val="en-US" w:eastAsia="zh-CN"/>
        </w:rPr>
        <w:t>规划范围包括乡域全部和乡驻地两个层次：乡域规划范围为沙珠玉乡行政辖区内全部国土空间；乡政府驻地范围北至北干渠，南至珠玉村二社、四社边界，东至沙上线（沙珠玉乡至上卡力岗村公路），西至珠玉岗山前，总面积58.06公顷。</w:t>
      </w:r>
      <w:bookmarkStart w:id="13" w:name="_Toc75042643"/>
      <w:bookmarkStart w:id="14" w:name="_Toc79153044"/>
      <w:r>
        <w:rPr>
          <w:rFonts w:hint="eastAsia" w:ascii="仿宋_GB2312" w:hAnsi="仿宋_GB2312" w:eastAsia="仿宋_GB2312" w:cs="仿宋_GB2312"/>
          <w:color w:val="auto"/>
          <w:sz w:val="32"/>
          <w:szCs w:val="32"/>
        </w:rPr>
        <w:t>规划期限</w:t>
      </w:r>
      <w:bookmarkEnd w:id="13"/>
      <w:bookmarkEnd w:id="14"/>
      <w:r>
        <w:rPr>
          <w:rFonts w:hint="eastAsia" w:ascii="仿宋_GB2312" w:hAnsi="仿宋_GB2312" w:eastAsia="仿宋_GB2312" w:cs="仿宋_GB2312"/>
          <w:color w:val="auto"/>
          <w:sz w:val="32"/>
          <w:szCs w:val="32"/>
          <w:lang w:val="en-US" w:eastAsia="zh-CN"/>
        </w:rPr>
        <w:t>与</w:t>
      </w:r>
      <w:r>
        <w:rPr>
          <w:rFonts w:hint="eastAsia" w:ascii="仿宋_GB2312" w:hAnsi="仿宋_GB2312" w:eastAsia="仿宋_GB2312" w:cs="仿宋_GB2312"/>
          <w:color w:val="auto"/>
          <w:sz w:val="32"/>
          <w:szCs w:val="32"/>
          <w:lang w:eastAsia="zh-CN"/>
        </w:rPr>
        <w:t>县级国土空间总体规划保持一致，</w:t>
      </w:r>
      <w:r>
        <w:rPr>
          <w:rFonts w:hint="eastAsia" w:ascii="仿宋_GB2312" w:hAnsi="仿宋_GB2312" w:eastAsia="仿宋_GB2312" w:cs="Times New Roman"/>
          <w:sz w:val="32"/>
          <w:szCs w:val="32"/>
          <w:lang w:val="en-US" w:eastAsia="zh-CN"/>
        </w:rPr>
        <w:t>基期年2020年，近期至2025年，远期至2035年。</w:t>
      </w:r>
    </w:p>
    <w:p w14:paraId="03C24F41">
      <w:pPr>
        <w:tabs>
          <w:tab w:val="left" w:pos="353"/>
        </w:tabs>
        <w:spacing w:line="600" w:lineRule="exact"/>
        <w:ind w:firstLine="640" w:firstLineChars="200"/>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文本中加</w:t>
      </w:r>
      <w:r>
        <w:rPr>
          <w:rFonts w:hint="eastAsia" w:ascii="仿宋_GB2312" w:hAnsi="仿宋_GB2312" w:eastAsia="仿宋_GB2312" w:cs="Times New Roman"/>
          <w:sz w:val="32"/>
          <w:szCs w:val="32"/>
          <w:u w:val="single"/>
          <w:lang w:val="en-US" w:eastAsia="zh-CN"/>
        </w:rPr>
        <w:t>下划线</w:t>
      </w:r>
      <w:r>
        <w:rPr>
          <w:rFonts w:hint="eastAsia" w:ascii="仿宋_GB2312" w:hAnsi="仿宋_GB2312" w:eastAsia="仿宋_GB2312" w:cs="Times New Roman"/>
          <w:sz w:val="32"/>
          <w:szCs w:val="32"/>
          <w:lang w:val="en-US" w:eastAsia="zh-CN"/>
        </w:rPr>
        <w:t>的内容及附表中约束性指标为规划的强制性内容。</w:t>
      </w:r>
    </w:p>
    <w:p w14:paraId="5026E1A6">
      <w:pPr>
        <w:rPr>
          <w:rFonts w:hint="eastAsia" w:ascii="Times New Roman" w:hAnsi="Times New Roman" w:eastAsia="方正小标宋简体" w:cs="Times New Roman"/>
          <w:b w:val="0"/>
          <w:bCs w:val="0"/>
          <w:sz w:val="36"/>
          <w:szCs w:val="36"/>
        </w:rPr>
      </w:pPr>
      <w:r>
        <w:rPr>
          <w:rFonts w:hint="eastAsia" w:ascii="Times New Roman" w:hAnsi="Times New Roman" w:eastAsia="方正小标宋简体" w:cs="Times New Roman"/>
          <w:b w:val="0"/>
          <w:bCs w:val="0"/>
          <w:sz w:val="36"/>
          <w:szCs w:val="36"/>
        </w:rPr>
        <w:br w:type="page"/>
      </w:r>
    </w:p>
    <w:p w14:paraId="55988F1E">
      <w:pPr>
        <w:pStyle w:val="5"/>
        <w:keepNext/>
        <w:keepLines/>
        <w:pageBreakBefore w:val="0"/>
        <w:widowControl w:val="0"/>
        <w:numPr>
          <w:ilvl w:val="0"/>
          <w:numId w:val="2"/>
        </w:numPr>
        <w:kinsoku/>
        <w:wordWrap/>
        <w:overflowPunct/>
        <w:topLinePunct w:val="0"/>
        <w:autoSpaceDE/>
        <w:autoSpaceDN/>
        <w:bidi w:val="0"/>
        <w:adjustRightInd/>
        <w:snapToGrid/>
        <w:spacing w:before="313" w:beforeLines="100" w:after="313" w:afterLines="100" w:line="520" w:lineRule="exact"/>
        <w:ind w:left="0" w:leftChars="0" w:firstLine="0" w:firstLineChars="0"/>
        <w:jc w:val="center"/>
        <w:textAlignment w:val="auto"/>
        <w:rPr>
          <w:rFonts w:hint="eastAsia" w:ascii="Times New Roman" w:hAnsi="Times New Roman" w:eastAsia="方正小标宋简体" w:cs="Times New Roman"/>
          <w:b w:val="0"/>
          <w:bCs w:val="0"/>
          <w:sz w:val="36"/>
          <w:szCs w:val="36"/>
        </w:rPr>
      </w:pPr>
      <w:bookmarkStart w:id="15" w:name="_Toc4371"/>
      <w:r>
        <w:rPr>
          <w:rFonts w:hint="eastAsia" w:ascii="Times New Roman" w:hAnsi="Times New Roman" w:eastAsia="方正小标宋简体" w:cs="Times New Roman"/>
          <w:b w:val="0"/>
          <w:bCs w:val="0"/>
          <w:sz w:val="36"/>
          <w:szCs w:val="36"/>
        </w:rPr>
        <w:t>规划背景</w:t>
      </w:r>
      <w:bookmarkEnd w:id="15"/>
    </w:p>
    <w:p w14:paraId="681B38C3">
      <w:pPr>
        <w:pStyle w:val="6"/>
        <w:keepNext/>
        <w:keepLines/>
        <w:pageBreakBefore w:val="0"/>
        <w:widowControl w:val="0"/>
        <w:numPr>
          <w:ilvl w:val="1"/>
          <w:numId w:val="3"/>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16" w:name="_Toc6583"/>
      <w:r>
        <w:rPr>
          <w:rFonts w:hint="eastAsia" w:ascii="Arial" w:hAnsi="Arial" w:eastAsia="黑体" w:cs="Times New Roman"/>
          <w:b w:val="0"/>
          <w:lang w:val="zh-CN"/>
        </w:rPr>
        <w:t>禀赋与条件</w:t>
      </w:r>
      <w:bookmarkEnd w:id="16"/>
    </w:p>
    <w:p w14:paraId="342A4568">
      <w:pPr>
        <w:keepNext/>
        <w:keepLines/>
        <w:numPr>
          <w:ilvl w:val="0"/>
          <w:numId w:val="4"/>
        </w:numPr>
        <w:tabs>
          <w:tab w:val="left" w:pos="851"/>
        </w:tabs>
        <w:spacing w:before="300" w:line="420" w:lineRule="exact"/>
        <w:ind w:left="0" w:firstLine="640" w:firstLineChars="200"/>
        <w:jc w:val="left"/>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基本情况</w:t>
      </w:r>
    </w:p>
    <w:p w14:paraId="60E20A40">
      <w:pPr>
        <w:pStyle w:val="11"/>
        <w:ind w:firstLine="640" w:firstLineChars="200"/>
        <w:rPr>
          <w:rFonts w:hint="eastAsia" w:ascii="仿宋_GB2312" w:hAnsi="仿宋_GB2312" w:eastAsia="仿宋_GB2312" w:cs="仿宋_GB2312"/>
          <w:bCs/>
          <w:kern w:val="2"/>
          <w:sz w:val="32"/>
          <w:szCs w:val="24"/>
          <w:lang w:val="en-US" w:eastAsia="zh-CN" w:bidi="ar-SA"/>
        </w:rPr>
      </w:pPr>
      <w:r>
        <w:rPr>
          <w:rFonts w:hint="eastAsia" w:ascii="楷体" w:hAnsi="楷体" w:eastAsia="楷体" w:cs="Times New Roman"/>
          <w:szCs w:val="32"/>
          <w:lang w:val="en-US" w:eastAsia="zh-CN"/>
        </w:rPr>
        <w:t>盆地格局清晰。</w:t>
      </w:r>
      <w:r>
        <w:rPr>
          <w:rFonts w:hint="eastAsia" w:ascii="仿宋_GB2312" w:hAnsi="仿宋_GB2312" w:eastAsia="仿宋_GB2312" w:cs="仿宋_GB2312"/>
          <w:bCs/>
          <w:kern w:val="2"/>
          <w:sz w:val="32"/>
          <w:szCs w:val="24"/>
          <w:lang w:val="en-US" w:eastAsia="zh-CN" w:bidi="ar-SA"/>
        </w:rPr>
        <w:t>沙珠玉乡地处共和盆地中部，界于干燥荒漠的塔拉滩和鄂拉山以北，地形以干旱荒漠草原为主，北依青海南山山脉，海拔</w:t>
      </w:r>
      <w:r>
        <w:rPr>
          <w:rFonts w:hint="default" w:ascii="仿宋_GB2312" w:hAnsi="仿宋_GB2312" w:eastAsia="仿宋_GB2312" w:cs="仿宋_GB2312"/>
          <w:bCs/>
          <w:kern w:val="2"/>
          <w:sz w:val="32"/>
          <w:szCs w:val="24"/>
          <w:lang w:val="en-US" w:eastAsia="zh-CN" w:bidi="ar-SA"/>
        </w:rPr>
        <w:t>2862</w:t>
      </w:r>
      <w:r>
        <w:rPr>
          <w:rFonts w:hint="eastAsia" w:ascii="楷体_GB2312" w:hAnsi="仿宋_GB2312" w:eastAsia="楷体_GB2312" w:cs="Times New Roman"/>
          <w:sz w:val="24"/>
          <w:szCs w:val="24"/>
          <w:lang w:val="en-US" w:eastAsia="zh-CN"/>
        </w:rPr>
        <w:t>～</w:t>
      </w:r>
      <w:r>
        <w:rPr>
          <w:rFonts w:hint="default" w:ascii="仿宋_GB2312" w:hAnsi="仿宋_GB2312" w:eastAsia="仿宋_GB2312" w:cs="仿宋_GB2312"/>
          <w:bCs/>
          <w:kern w:val="2"/>
          <w:sz w:val="32"/>
          <w:szCs w:val="24"/>
          <w:lang w:val="en-US" w:eastAsia="zh-CN" w:bidi="ar-SA"/>
        </w:rPr>
        <w:t>2910米</w:t>
      </w:r>
      <w:r>
        <w:rPr>
          <w:rFonts w:hint="eastAsia" w:ascii="仿宋_GB2312" w:hAnsi="仿宋_GB2312" w:eastAsia="仿宋_GB2312" w:cs="仿宋_GB2312"/>
          <w:bCs/>
          <w:kern w:val="2"/>
          <w:sz w:val="32"/>
          <w:szCs w:val="24"/>
          <w:lang w:val="en-US" w:eastAsia="zh-CN" w:bidi="ar-SA"/>
        </w:rPr>
        <w:t>。</w:t>
      </w:r>
    </w:p>
    <w:p w14:paraId="600BE008">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default" w:ascii="仿宋_GB2312" w:hAnsi="仿宋_GB2312" w:eastAsia="仿宋_GB2312" w:cs="仿宋_GB2312"/>
          <w:bCs/>
          <w:kern w:val="2"/>
          <w:sz w:val="32"/>
          <w:szCs w:val="24"/>
          <w:lang w:val="en-US" w:eastAsia="zh-CN" w:bidi="ar-SA"/>
        </w:rPr>
      </w:pPr>
      <w:r>
        <w:rPr>
          <w:rFonts w:hint="eastAsia" w:ascii="楷体_GB2312" w:hAnsi="楷体_GB2312" w:eastAsia="楷体_GB2312" w:cs="楷体_GB2312"/>
          <w:bCs/>
          <w:kern w:val="2"/>
          <w:sz w:val="32"/>
          <w:szCs w:val="24"/>
          <w:lang w:val="en-US" w:eastAsia="zh-CN" w:bidi="ar-SA"/>
        </w:rPr>
        <w:t>生态重要性突出。</w:t>
      </w:r>
      <w:r>
        <w:rPr>
          <w:rFonts w:hint="eastAsia" w:ascii="仿宋_GB2312" w:hAnsi="仿宋_GB2312" w:eastAsia="仿宋_GB2312" w:cs="仿宋_GB2312"/>
          <w:bCs/>
          <w:kern w:val="2"/>
          <w:sz w:val="32"/>
          <w:szCs w:val="24"/>
          <w:lang w:val="en-US" w:eastAsia="zh-CN" w:bidi="ar-SA"/>
        </w:rPr>
        <w:t>沙珠玉乡属大陆性高原气候，以干旱荒漠草原为主，常年西北风盛行，沙化土地面积较大，是青海省防沙治沙重点区域。</w:t>
      </w:r>
    </w:p>
    <w:p w14:paraId="2D0373F4">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default" w:ascii="楷体_GB2312" w:hAnsi="楷体_GB2312" w:cs="楷体_GB2312" w:eastAsiaTheme="minorEastAsia"/>
          <w:bCs/>
          <w:kern w:val="2"/>
          <w:sz w:val="32"/>
          <w:szCs w:val="24"/>
          <w:lang w:val="en-US" w:eastAsia="zh-CN" w:bidi="ar-SA"/>
        </w:rPr>
      </w:pPr>
      <w:r>
        <w:rPr>
          <w:rFonts w:hint="eastAsia" w:ascii="楷体_GB2312" w:hAnsi="楷体_GB2312" w:eastAsia="楷体_GB2312" w:cs="楷体_GB2312"/>
          <w:b w:val="0"/>
          <w:color w:val="000000" w:themeColor="text1"/>
          <w:sz w:val="32"/>
          <w:szCs w:val="32"/>
          <w:lang w:val="en-US" w:eastAsia="zh-CN"/>
          <w14:textFill>
            <w14:solidFill>
              <w14:schemeClr w14:val="tx1"/>
            </w14:solidFill>
          </w14:textFill>
          <w14:ligatures w14:val="standardContextual"/>
        </w:rPr>
        <w:t>文化资源丰富。</w:t>
      </w:r>
      <w:r>
        <w:rPr>
          <w:rFonts w:hint="eastAsia" w:ascii="仿宋_GB2312" w:hAnsi="仿宋_GB2312" w:eastAsia="仿宋_GB2312" w:cs="仿宋_GB2312"/>
          <w:bCs/>
          <w:kern w:val="2"/>
          <w:sz w:val="32"/>
          <w:szCs w:val="24"/>
          <w:lang w:val="en-US" w:eastAsia="zh-CN" w:bidi="ar-SA"/>
        </w:rPr>
        <w:t>沙珠玉乡防沙治沙历史悠久，沙珠玉治沙精神教育基地是重要的文化旅游资源。文物保护单位、不可移动文物共有25处，以古遗址、化石点为主。</w:t>
      </w:r>
    </w:p>
    <w:p w14:paraId="7F7574B2">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default" w:ascii="仿宋_GB2312" w:hAnsi="仿宋_GB2312" w:eastAsia="仿宋_GB2312" w:cs="仿宋_GB2312"/>
          <w:bCs/>
          <w:kern w:val="2"/>
          <w:sz w:val="32"/>
          <w:szCs w:val="24"/>
          <w:lang w:val="en-US" w:eastAsia="zh-CN" w:bidi="ar-SA"/>
        </w:rPr>
      </w:pPr>
      <w:r>
        <w:rPr>
          <w:rFonts w:hint="eastAsia" w:ascii="楷体_GB2312" w:hAnsi="楷体_GB2312" w:eastAsia="楷体_GB2312" w:cs="楷体_GB2312"/>
          <w:bCs/>
          <w:kern w:val="2"/>
          <w:sz w:val="32"/>
          <w:szCs w:val="24"/>
          <w:lang w:val="en-US" w:eastAsia="zh-CN" w:bidi="ar-SA"/>
        </w:rPr>
        <w:t>清洁能源富集。</w:t>
      </w:r>
      <w:r>
        <w:rPr>
          <w:rFonts w:hint="eastAsia" w:ascii="仿宋_GB2312" w:hAnsi="仿宋_GB2312" w:eastAsia="仿宋_GB2312" w:cs="仿宋_GB2312"/>
          <w:bCs/>
          <w:kern w:val="2"/>
          <w:sz w:val="32"/>
          <w:szCs w:val="24"/>
          <w:lang w:val="en-US" w:eastAsia="zh-CN" w:bidi="ar-SA"/>
        </w:rPr>
        <w:t>太阳能资源丰富，光照充足，太阳辐射强，可开发利用潜力大。属于共和县光电资源、风电资源、干热岩资源富集区。</w:t>
      </w:r>
    </w:p>
    <w:p w14:paraId="0E6DA623">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eastAsia" w:ascii="楷体_GB2312" w:hAnsi="楷体_GB2312" w:eastAsia="楷体_GB2312" w:cs="楷体_GB2312"/>
          <w:bCs/>
          <w:kern w:val="2"/>
          <w:sz w:val="32"/>
          <w:szCs w:val="24"/>
          <w:lang w:val="en-US" w:eastAsia="zh-CN" w:bidi="ar-SA"/>
        </w:rPr>
      </w:pPr>
      <w:r>
        <w:rPr>
          <w:rFonts w:hint="eastAsia" w:ascii="楷体_GB2312" w:hAnsi="楷体_GB2312" w:eastAsia="楷体_GB2312" w:cs="楷体_GB2312"/>
          <w:bCs/>
          <w:kern w:val="2"/>
          <w:sz w:val="32"/>
          <w:szCs w:val="24"/>
          <w:lang w:val="en-US" w:eastAsia="zh-CN" w:bidi="ar-SA"/>
        </w:rPr>
        <w:t>区位交通便捷。</w:t>
      </w:r>
      <w:r>
        <w:rPr>
          <w:rFonts w:hint="eastAsia" w:ascii="仿宋_GB2312" w:hAnsi="仿宋_GB2312" w:eastAsia="仿宋_GB2312" w:cs="仿宋_GB2312"/>
          <w:bCs/>
          <w:kern w:val="2"/>
          <w:sz w:val="32"/>
          <w:szCs w:val="24"/>
          <w:lang w:val="en-US" w:eastAsia="zh-CN" w:bidi="ar-SA"/>
        </w:rPr>
        <w:t>紧邻县城，北邻京藏高速与国道109，东南侧国道214和共玉高速略过境内，乡域内主要通过县道309、县道306对外连接，其中县道306东西向串联乡域内各村庄，交通条件相对便利。</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CC1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000" w:type="pct"/>
            <w:vAlign w:val="center"/>
          </w:tcPr>
          <w:p w14:paraId="7A490BD4">
            <w:pPr>
              <w:keepNext w:val="0"/>
              <w:keepLines w:val="0"/>
              <w:pageBreakBefore w:val="0"/>
              <w:widowControl w:val="0"/>
              <w:suppressLineNumbers w:val="0"/>
              <w:kinsoku/>
              <w:wordWrap/>
              <w:overflowPunct/>
              <w:topLinePunct w:val="0"/>
              <w:autoSpaceDE/>
              <w:autoSpaceDN/>
              <w:bidi w:val="0"/>
              <w:adjustRightInd/>
              <w:snapToGrid/>
              <w:spacing w:before="83" w:beforeLines="20" w:beforeAutospacing="0" w:after="0" w:afterAutospacing="0" w:line="288" w:lineRule="auto"/>
              <w:ind w:left="0" w:right="0" w:firstLine="0" w:firstLineChars="0"/>
              <w:jc w:val="center"/>
              <w:textAlignment w:val="auto"/>
              <w:rPr>
                <w:rFonts w:hint="eastAsia" w:ascii="仿宋" w:hAnsi="仿宋" w:eastAsia="仿宋" w:cs="仿宋"/>
                <w:vertAlign w:val="baseline"/>
                <w:lang w:val="en-US" w:eastAsia="zh-CN"/>
              </w:rPr>
            </w:pPr>
            <w:r>
              <w:rPr>
                <w:rFonts w:hint="eastAsia" w:ascii="黑体" w:hAnsi="黑体" w:eastAsia="黑体" w:cs="Times New Roman"/>
                <w:sz w:val="30"/>
                <w:szCs w:val="30"/>
                <w:lang w:val="en-US" w:eastAsia="zh-CN"/>
              </w:rPr>
              <w:t>专栏1 自然资源总体状况</w:t>
            </w:r>
          </w:p>
        </w:tc>
      </w:tr>
      <w:tr w14:paraId="6A41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vAlign w:val="center"/>
          </w:tcPr>
          <w:p w14:paraId="4F39779D">
            <w:pPr>
              <w:pStyle w:val="11"/>
              <w:ind w:firstLine="480" w:firstLineChars="200"/>
              <w:rPr>
                <w:rFonts w:hint="default" w:ascii="仿宋_GB2312" w:hAnsi="仿宋_GB2312" w:eastAsia="仿宋_GB2312" w:cs="Times New Roman"/>
                <w:kern w:val="2"/>
                <w:sz w:val="24"/>
                <w:szCs w:val="24"/>
                <w:lang w:val="en-US" w:eastAsia="zh-CN" w:bidi="ar-SA"/>
              </w:rPr>
            </w:pPr>
            <w:r>
              <w:rPr>
                <w:rFonts w:hint="eastAsia" w:ascii="楷体_GB2312" w:hAnsi="仿宋_GB2312" w:eastAsia="楷体_GB2312" w:cs="Times New Roman"/>
                <w:sz w:val="24"/>
                <w:szCs w:val="24"/>
                <w:lang w:val="en-US" w:eastAsia="zh-CN"/>
              </w:rPr>
              <w:t>土地资源。</w:t>
            </w:r>
            <w:r>
              <w:rPr>
                <w:rFonts w:hint="eastAsia" w:ascii="仿宋_GB2312" w:hAnsi="仿宋_GB2312" w:eastAsia="仿宋_GB2312" w:cs="Times New Roman"/>
                <w:kern w:val="2"/>
                <w:sz w:val="24"/>
                <w:szCs w:val="24"/>
                <w:lang w:val="en-US" w:eastAsia="zh-CN" w:bidi="ar-SA"/>
              </w:rPr>
              <w:t>沙珠玉乡</w:t>
            </w:r>
            <w:r>
              <w:rPr>
                <w:rFonts w:hint="eastAsia" w:ascii="仿宋_GB2312" w:hAnsi="仿宋_GB2312" w:cs="Times New Roman"/>
                <w:kern w:val="2"/>
                <w:sz w:val="24"/>
                <w:szCs w:val="24"/>
                <w:lang w:val="en-US" w:eastAsia="zh-CN" w:bidi="ar-SA"/>
              </w:rPr>
              <w:t>现状</w:t>
            </w:r>
            <w:r>
              <w:rPr>
                <w:rFonts w:hint="eastAsia" w:ascii="仿宋_GB2312" w:hAnsi="仿宋_GB2312" w:eastAsia="仿宋_GB2312" w:cs="Times New Roman"/>
                <w:kern w:val="2"/>
                <w:sz w:val="24"/>
                <w:szCs w:val="24"/>
                <w:lang w:val="en-US" w:eastAsia="zh-CN" w:bidi="ar-SA"/>
              </w:rPr>
              <w:t>耕地17.51</w:t>
            </w:r>
            <w:r>
              <w:rPr>
                <w:rFonts w:hint="eastAsia" w:ascii="仿宋_GB2312" w:hAnsi="仿宋_GB2312" w:cs="Times New Roman"/>
                <w:kern w:val="2"/>
                <w:sz w:val="24"/>
                <w:szCs w:val="24"/>
                <w:lang w:val="en-US" w:eastAsia="zh-CN" w:bidi="ar-SA"/>
              </w:rPr>
              <w:t>平方千米</w:t>
            </w:r>
            <w:r>
              <w:rPr>
                <w:rFonts w:hint="eastAsia" w:ascii="仿宋_GB2312" w:hAnsi="仿宋_GB2312" w:eastAsia="仿宋_GB2312" w:cs="Times New Roman"/>
                <w:kern w:val="2"/>
                <w:sz w:val="24"/>
                <w:szCs w:val="24"/>
                <w:lang w:val="en-US" w:eastAsia="zh-CN" w:bidi="ar-SA"/>
              </w:rPr>
              <w:t>（2.6262万亩）；园地3.30</w:t>
            </w:r>
            <w:r>
              <w:rPr>
                <w:rFonts w:hint="eastAsia" w:ascii="仿宋_GB2312" w:hAnsi="仿宋_GB2312" w:cs="Times New Roman"/>
                <w:kern w:val="2"/>
                <w:sz w:val="24"/>
                <w:szCs w:val="24"/>
                <w:lang w:val="en-US" w:eastAsia="zh-CN" w:bidi="ar-SA"/>
              </w:rPr>
              <w:t>平方千米</w:t>
            </w:r>
            <w:r>
              <w:rPr>
                <w:rFonts w:hint="eastAsia" w:ascii="仿宋_GB2312" w:hAnsi="仿宋_GB2312" w:eastAsia="仿宋_GB2312" w:cs="Times New Roman"/>
                <w:kern w:val="2"/>
                <w:sz w:val="24"/>
                <w:szCs w:val="24"/>
                <w:lang w:val="en-US" w:eastAsia="zh-CN" w:bidi="ar-SA"/>
              </w:rPr>
              <w:t>；林地25.19</w:t>
            </w:r>
            <w:r>
              <w:rPr>
                <w:rFonts w:hint="eastAsia" w:ascii="仿宋_GB2312" w:hAnsi="仿宋_GB2312" w:cs="Times New Roman"/>
                <w:kern w:val="2"/>
                <w:sz w:val="24"/>
                <w:szCs w:val="24"/>
                <w:lang w:val="en-US" w:eastAsia="zh-CN" w:bidi="ar-SA"/>
              </w:rPr>
              <w:t>平方千米</w:t>
            </w:r>
            <w:r>
              <w:rPr>
                <w:rFonts w:hint="eastAsia" w:ascii="仿宋_GB2312" w:hAnsi="仿宋_GB2312" w:eastAsia="仿宋_GB2312" w:cs="Times New Roman"/>
                <w:kern w:val="2"/>
                <w:sz w:val="24"/>
                <w:szCs w:val="24"/>
                <w:lang w:val="en-US" w:eastAsia="zh-CN" w:bidi="ar-SA"/>
              </w:rPr>
              <w:t>；草地331.54</w:t>
            </w:r>
            <w:r>
              <w:rPr>
                <w:rFonts w:hint="eastAsia" w:ascii="仿宋_GB2312" w:hAnsi="仿宋_GB2312" w:cs="Times New Roman"/>
                <w:kern w:val="2"/>
                <w:sz w:val="24"/>
                <w:szCs w:val="24"/>
                <w:lang w:val="en-US" w:eastAsia="zh-CN" w:bidi="ar-SA"/>
              </w:rPr>
              <w:t>平方千米</w:t>
            </w:r>
            <w:r>
              <w:rPr>
                <w:rFonts w:hint="eastAsia" w:ascii="仿宋_GB2312" w:hAnsi="仿宋_GB2312" w:eastAsia="仿宋_GB2312" w:cs="Times New Roman"/>
                <w:kern w:val="2"/>
                <w:sz w:val="24"/>
                <w:szCs w:val="24"/>
                <w:lang w:val="en-US" w:eastAsia="zh-CN" w:bidi="ar-SA"/>
              </w:rPr>
              <w:t>；湿地1.37</w:t>
            </w:r>
            <w:r>
              <w:rPr>
                <w:rFonts w:hint="eastAsia" w:ascii="仿宋_GB2312" w:hAnsi="仿宋_GB2312" w:cs="Times New Roman"/>
                <w:kern w:val="2"/>
                <w:sz w:val="24"/>
                <w:szCs w:val="24"/>
                <w:lang w:val="en-US" w:eastAsia="zh-CN" w:bidi="ar-SA"/>
              </w:rPr>
              <w:t>平方千</w:t>
            </w:r>
            <w:r>
              <w:rPr>
                <w:rFonts w:hint="eastAsia" w:ascii="仿宋_GB2312" w:hAnsi="仿宋_GB2312" w:eastAsia="仿宋_GB2312" w:cs="Times New Roman"/>
                <w:kern w:val="2"/>
                <w:sz w:val="24"/>
                <w:szCs w:val="24"/>
                <w:lang w:val="en-US" w:eastAsia="zh-CN" w:bidi="ar-SA"/>
              </w:rPr>
              <w:t>米；农业设施建设用地面积1.77平方千米；村庄用地2.75平方公里；区域基础设施用地面积0.63平方公里%；其他建设用地面积0.14平方公里；陆地水域面积1.65平方公里；其他土地面积157.39平方公里。</w:t>
            </w:r>
          </w:p>
          <w:p w14:paraId="491B1B40">
            <w:pPr>
              <w:pStyle w:val="11"/>
              <w:ind w:firstLine="480" w:firstLineChars="200"/>
              <w:rPr>
                <w:rFonts w:hint="eastAsia" w:ascii="仿宋_GB2312" w:hAnsi="仿宋_GB2312" w:eastAsia="仿宋_GB2312" w:cs="Times New Roman"/>
                <w:kern w:val="2"/>
                <w:sz w:val="24"/>
                <w:szCs w:val="24"/>
                <w:lang w:val="en-US" w:eastAsia="zh-CN" w:bidi="ar-SA"/>
              </w:rPr>
            </w:pPr>
            <w:r>
              <w:rPr>
                <w:rFonts w:hint="eastAsia" w:ascii="楷体_GB2312" w:hAnsi="仿宋_GB2312" w:eastAsia="楷体_GB2312" w:cs="Times New Roman"/>
                <w:sz w:val="24"/>
                <w:szCs w:val="24"/>
                <w:lang w:val="en-US" w:eastAsia="zh-CN"/>
              </w:rPr>
              <w:t>水资源。</w:t>
            </w:r>
            <w:r>
              <w:rPr>
                <w:rFonts w:hint="eastAsia" w:ascii="仿宋_GB2312" w:hAnsi="仿宋_GB2312" w:eastAsia="仿宋_GB2312" w:cs="Times New Roman"/>
                <w:kern w:val="2"/>
                <w:sz w:val="24"/>
                <w:szCs w:val="24"/>
                <w:lang w:val="en-US" w:eastAsia="zh-CN" w:bidi="ar-SA"/>
              </w:rPr>
              <w:t>境内河流主要为沙珠玉河，经切吉乡和沙珠玉乡中部注入达连海，径流由地下水、降水补给，下游渗漏、蒸发严重，枯水期经常断流。其他河道沟渠包括廿地沟、浪什干沟、夏吾东渠沟等。乡域内陆地水域面积1.65</w:t>
            </w:r>
            <w:r>
              <w:rPr>
                <w:rFonts w:hint="eastAsia" w:ascii="仿宋_GB2312" w:hAnsi="仿宋_GB2312" w:cs="Times New Roman"/>
                <w:kern w:val="2"/>
                <w:sz w:val="24"/>
                <w:szCs w:val="24"/>
                <w:lang w:val="en-US" w:eastAsia="zh-CN" w:bidi="ar-SA"/>
              </w:rPr>
              <w:t>平方千米</w:t>
            </w:r>
            <w:r>
              <w:rPr>
                <w:rFonts w:hint="eastAsia" w:ascii="仿宋_GB2312" w:hAnsi="仿宋_GB2312" w:eastAsia="仿宋_GB2312" w:cs="Times New Roman"/>
                <w:kern w:val="2"/>
                <w:sz w:val="24"/>
                <w:szCs w:val="24"/>
                <w:lang w:val="en-US" w:eastAsia="zh-CN" w:bidi="ar-SA"/>
              </w:rPr>
              <w:t>，其中河流水面0.46</w:t>
            </w:r>
            <w:r>
              <w:rPr>
                <w:rFonts w:hint="eastAsia" w:ascii="仿宋_GB2312" w:hAnsi="仿宋_GB2312" w:cs="Times New Roman"/>
                <w:kern w:val="2"/>
                <w:sz w:val="24"/>
                <w:szCs w:val="24"/>
                <w:lang w:val="en-US" w:eastAsia="zh-CN" w:bidi="ar-SA"/>
              </w:rPr>
              <w:t>平方千米</w:t>
            </w:r>
            <w:r>
              <w:rPr>
                <w:rFonts w:hint="eastAsia" w:ascii="仿宋_GB2312" w:hAnsi="仿宋_GB2312" w:eastAsia="仿宋_GB2312" w:cs="Times New Roman"/>
                <w:kern w:val="2"/>
                <w:sz w:val="24"/>
                <w:szCs w:val="24"/>
                <w:lang w:val="en-US" w:eastAsia="zh-CN" w:bidi="ar-SA"/>
              </w:rPr>
              <w:t>，坑塘水面0.11</w:t>
            </w:r>
            <w:r>
              <w:rPr>
                <w:rFonts w:hint="eastAsia" w:ascii="仿宋_GB2312" w:hAnsi="仿宋_GB2312" w:cs="Times New Roman"/>
                <w:kern w:val="2"/>
                <w:sz w:val="24"/>
                <w:szCs w:val="24"/>
                <w:lang w:val="en-US" w:eastAsia="zh-CN" w:bidi="ar-SA"/>
              </w:rPr>
              <w:t>平方千米</w:t>
            </w:r>
            <w:r>
              <w:rPr>
                <w:rFonts w:hint="eastAsia" w:ascii="仿宋_GB2312" w:hAnsi="仿宋_GB2312" w:eastAsia="仿宋_GB2312" w:cs="Times New Roman"/>
                <w:kern w:val="2"/>
                <w:sz w:val="24"/>
                <w:szCs w:val="24"/>
                <w:lang w:val="en-US" w:eastAsia="zh-CN" w:bidi="ar-SA"/>
              </w:rPr>
              <w:t>，沟渠1.08</w:t>
            </w:r>
            <w:r>
              <w:rPr>
                <w:rFonts w:hint="eastAsia" w:ascii="仿宋_GB2312" w:hAnsi="仿宋_GB2312" w:cs="Times New Roman"/>
                <w:kern w:val="2"/>
                <w:sz w:val="24"/>
                <w:szCs w:val="24"/>
                <w:lang w:val="en-US" w:eastAsia="zh-CN" w:bidi="ar-SA"/>
              </w:rPr>
              <w:t>平方千米</w:t>
            </w:r>
            <w:r>
              <w:rPr>
                <w:rFonts w:hint="eastAsia" w:ascii="仿宋_GB2312" w:hAnsi="仿宋_GB2312" w:eastAsia="仿宋_GB2312" w:cs="Times New Roman"/>
                <w:kern w:val="2"/>
                <w:sz w:val="24"/>
                <w:szCs w:val="24"/>
                <w:lang w:val="en-US" w:eastAsia="zh-CN" w:bidi="ar-SA"/>
              </w:rPr>
              <w:t>。沙珠玉灌区从娘塘水库引水，娘塘水库总库容为1080万立方米。</w:t>
            </w:r>
          </w:p>
          <w:p w14:paraId="38FC0EE3">
            <w:pPr>
              <w:pStyle w:val="11"/>
              <w:ind w:firstLine="480" w:firstLineChars="200"/>
              <w:rPr>
                <w:rFonts w:hint="eastAsia" w:ascii="仿宋_GB2312" w:hAnsi="仿宋_GB2312" w:eastAsia="仿宋_GB2312" w:cs="Times New Roman"/>
                <w:kern w:val="2"/>
                <w:sz w:val="24"/>
                <w:szCs w:val="24"/>
                <w:lang w:val="en-US" w:eastAsia="zh-CN" w:bidi="ar-SA"/>
              </w:rPr>
            </w:pPr>
            <w:r>
              <w:rPr>
                <w:rFonts w:hint="eastAsia" w:ascii="楷体_GB2312" w:hAnsi="仿宋_GB2312" w:eastAsia="楷体_GB2312" w:cs="Times New Roman"/>
                <w:sz w:val="24"/>
                <w:szCs w:val="24"/>
                <w:lang w:val="en-US" w:eastAsia="zh-CN"/>
              </w:rPr>
              <w:t>生态资源。</w:t>
            </w:r>
            <w:r>
              <w:rPr>
                <w:rFonts w:hint="eastAsia" w:ascii="仿宋_GB2312" w:hAnsi="仿宋_GB2312" w:eastAsia="仿宋_GB2312" w:cs="Times New Roman"/>
                <w:kern w:val="2"/>
                <w:sz w:val="24"/>
                <w:szCs w:val="24"/>
                <w:lang w:val="en-US" w:eastAsia="zh-CN" w:bidi="ar-SA"/>
              </w:rPr>
              <w:t>经过多年的防沙治沙工程，乡域生态环境持续改善，全乡已建成较为完备的农田防护林网，包括乔木林带297条、灌木林带34条，形成围护农田、村庄、滩地的绿洲。全乡现有乔木林地7.28</w:t>
            </w:r>
            <w:r>
              <w:rPr>
                <w:rFonts w:hint="eastAsia" w:ascii="仿宋_GB2312" w:hAnsi="仿宋_GB2312" w:cs="Times New Roman"/>
                <w:kern w:val="2"/>
                <w:sz w:val="24"/>
                <w:szCs w:val="24"/>
                <w:lang w:val="en-US" w:eastAsia="zh-CN" w:bidi="ar-SA"/>
              </w:rPr>
              <w:t>平方千米</w:t>
            </w:r>
            <w:r>
              <w:rPr>
                <w:rFonts w:hint="eastAsia" w:ascii="仿宋_GB2312" w:hAnsi="仿宋_GB2312" w:eastAsia="仿宋_GB2312" w:cs="Times New Roman"/>
                <w:kern w:val="2"/>
                <w:sz w:val="24"/>
                <w:szCs w:val="24"/>
                <w:lang w:val="en-US" w:eastAsia="zh-CN" w:bidi="ar-SA"/>
              </w:rPr>
              <w:t>，灌木林地17.56</w:t>
            </w:r>
            <w:r>
              <w:rPr>
                <w:rFonts w:hint="eastAsia" w:ascii="仿宋_GB2312" w:hAnsi="仿宋_GB2312" w:cs="Times New Roman"/>
                <w:kern w:val="2"/>
                <w:sz w:val="24"/>
                <w:szCs w:val="24"/>
                <w:lang w:val="en-US" w:eastAsia="zh-CN" w:bidi="ar-SA"/>
              </w:rPr>
              <w:t>平方千米</w:t>
            </w:r>
            <w:r>
              <w:rPr>
                <w:rFonts w:hint="eastAsia" w:ascii="仿宋_GB2312" w:hAnsi="仿宋_GB2312" w:eastAsia="仿宋_GB2312" w:cs="Times New Roman"/>
                <w:kern w:val="2"/>
                <w:sz w:val="24"/>
                <w:szCs w:val="24"/>
                <w:lang w:val="en-US" w:eastAsia="zh-CN" w:bidi="ar-SA"/>
              </w:rPr>
              <w:t>，其他林地34.21</w:t>
            </w:r>
            <w:r>
              <w:rPr>
                <w:rFonts w:hint="eastAsia" w:ascii="仿宋_GB2312" w:hAnsi="仿宋_GB2312" w:cs="Times New Roman"/>
                <w:kern w:val="2"/>
                <w:sz w:val="24"/>
                <w:szCs w:val="24"/>
                <w:lang w:val="en-US" w:eastAsia="zh-CN" w:bidi="ar-SA"/>
              </w:rPr>
              <w:t>平方千米</w:t>
            </w:r>
            <w:r>
              <w:rPr>
                <w:rFonts w:hint="eastAsia" w:ascii="仿宋_GB2312" w:hAnsi="仿宋_GB2312" w:eastAsia="仿宋_GB2312" w:cs="Times New Roman"/>
                <w:kern w:val="2"/>
                <w:sz w:val="24"/>
                <w:szCs w:val="24"/>
                <w:lang w:val="en-US" w:eastAsia="zh-CN" w:bidi="ar-SA"/>
              </w:rPr>
              <w:t>。沙珠玉乡成为青海省乃至全国的高寒干旱沙区治沙防沙示范样板之一，被誉为“青藏高原的沙漠绿洲”。</w:t>
            </w:r>
          </w:p>
          <w:p w14:paraId="4DF72851">
            <w:pPr>
              <w:pStyle w:val="11"/>
              <w:ind w:firstLine="480" w:firstLineChars="200"/>
              <w:rPr>
                <w:rFonts w:hint="eastAsia" w:ascii="仿宋_GB2312" w:hAnsi="仿宋_GB2312" w:eastAsia="仿宋_GB2312" w:cs="Times New Roman"/>
                <w:kern w:val="2"/>
                <w:sz w:val="24"/>
                <w:szCs w:val="24"/>
                <w:lang w:val="en-US" w:eastAsia="zh-CN" w:bidi="ar-SA"/>
              </w:rPr>
            </w:pPr>
            <w:r>
              <w:rPr>
                <w:rFonts w:hint="eastAsia" w:ascii="楷体_GB2312" w:hAnsi="仿宋_GB2312" w:eastAsia="楷体_GB2312" w:cs="Times New Roman"/>
                <w:sz w:val="24"/>
                <w:szCs w:val="24"/>
                <w:lang w:val="en-US" w:eastAsia="zh-CN"/>
              </w:rPr>
              <w:t>清洁能源。</w:t>
            </w:r>
            <w:r>
              <w:rPr>
                <w:rFonts w:hint="eastAsia" w:ascii="仿宋_GB2312" w:hAnsi="仿宋_GB2312" w:eastAsia="仿宋_GB2312" w:cs="Times New Roman"/>
                <w:kern w:val="2"/>
                <w:sz w:val="24"/>
                <w:szCs w:val="24"/>
                <w:lang w:val="en-US" w:eastAsia="zh-CN" w:bidi="ar-SA"/>
              </w:rPr>
              <w:t>沙珠玉乡太阳能资源丰富，光照充足，太阳辐射强，年均太阳辐射量在</w:t>
            </w:r>
            <w:r>
              <w:rPr>
                <w:rFonts w:hint="default" w:ascii="仿宋_GB2312" w:hAnsi="仿宋_GB2312" w:eastAsia="仿宋_GB2312" w:cs="Times New Roman"/>
                <w:kern w:val="2"/>
                <w:sz w:val="24"/>
                <w:szCs w:val="24"/>
                <w:lang w:val="en-US" w:eastAsia="zh-CN" w:bidi="ar-SA"/>
              </w:rPr>
              <w:t>6381.6</w:t>
            </w:r>
            <w:r>
              <w:rPr>
                <w:rFonts w:hint="eastAsia" w:ascii="仿宋_GB2312" w:hAnsi="仿宋_GB2312" w:eastAsia="仿宋_GB2312" w:cs="Times New Roman"/>
                <w:kern w:val="2"/>
                <w:sz w:val="24"/>
                <w:szCs w:val="24"/>
                <w:lang w:val="en-US" w:eastAsia="zh-CN" w:bidi="ar-SA"/>
              </w:rPr>
              <w:t>兆焦</w:t>
            </w:r>
            <w:r>
              <w:rPr>
                <w:rFonts w:hint="default"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lang w:val="en-US" w:eastAsia="zh-CN" w:bidi="ar-SA"/>
              </w:rPr>
              <w:t>平方米以上，高值可达</w:t>
            </w:r>
            <w:r>
              <w:rPr>
                <w:rFonts w:hint="default" w:ascii="仿宋_GB2312" w:hAnsi="仿宋_GB2312" w:eastAsia="仿宋_GB2312" w:cs="Times New Roman"/>
                <w:kern w:val="2"/>
                <w:sz w:val="24"/>
                <w:szCs w:val="24"/>
                <w:lang w:val="en-US" w:eastAsia="zh-CN" w:bidi="ar-SA"/>
              </w:rPr>
              <w:t>6705.1</w:t>
            </w:r>
            <w:r>
              <w:rPr>
                <w:rFonts w:hint="eastAsia" w:ascii="仿宋_GB2312" w:hAnsi="仿宋_GB2312" w:eastAsia="仿宋_GB2312" w:cs="Times New Roman"/>
                <w:kern w:val="2"/>
                <w:sz w:val="24"/>
                <w:szCs w:val="24"/>
                <w:lang w:val="en-US" w:eastAsia="zh-CN" w:bidi="ar-SA"/>
              </w:rPr>
              <w:t>兆焦</w:t>
            </w:r>
            <w:r>
              <w:rPr>
                <w:rFonts w:hint="default"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lang w:val="en-US" w:eastAsia="zh-CN" w:bidi="ar-SA"/>
              </w:rPr>
              <w:t>平方米，全年日照2670～3036小时，年均日照百分率在</w:t>
            </w:r>
            <w:r>
              <w:rPr>
                <w:rFonts w:hint="default" w:ascii="仿宋_GB2312" w:hAnsi="仿宋_GB2312" w:eastAsia="仿宋_GB2312" w:cs="Times New Roman"/>
                <w:kern w:val="2"/>
                <w:sz w:val="24"/>
                <w:szCs w:val="24"/>
                <w:lang w:val="en-US" w:eastAsia="zh-CN" w:bidi="ar-SA"/>
              </w:rPr>
              <w:t>55%</w:t>
            </w:r>
            <w:r>
              <w:rPr>
                <w:rFonts w:hint="eastAsia" w:ascii="仿宋_GB2312" w:hAnsi="仿宋_GB2312" w:eastAsia="仿宋_GB2312" w:cs="Times New Roman"/>
                <w:kern w:val="2"/>
                <w:sz w:val="24"/>
                <w:szCs w:val="24"/>
                <w:lang w:val="en-US" w:eastAsia="zh-CN" w:bidi="ar-SA"/>
              </w:rPr>
              <w:t>～</w:t>
            </w:r>
            <w:r>
              <w:rPr>
                <w:rFonts w:hint="default" w:ascii="仿宋_GB2312" w:hAnsi="仿宋_GB2312" w:eastAsia="仿宋_GB2312" w:cs="Times New Roman"/>
                <w:kern w:val="2"/>
                <w:sz w:val="24"/>
                <w:szCs w:val="24"/>
                <w:lang w:val="en-US" w:eastAsia="zh-CN" w:bidi="ar-SA"/>
              </w:rPr>
              <w:t>80%</w:t>
            </w:r>
            <w:r>
              <w:rPr>
                <w:rFonts w:hint="eastAsia" w:ascii="仿宋_GB2312" w:hAnsi="仿宋_GB2312" w:eastAsia="仿宋_GB2312" w:cs="Times New Roman"/>
                <w:kern w:val="2"/>
                <w:sz w:val="24"/>
                <w:szCs w:val="24"/>
                <w:lang w:val="en-US" w:eastAsia="zh-CN" w:bidi="ar-SA"/>
              </w:rPr>
              <w:t>之间。</w:t>
            </w:r>
          </w:p>
          <w:p w14:paraId="21CF0B64">
            <w:pPr>
              <w:pStyle w:val="11"/>
              <w:ind w:firstLine="480" w:firstLineChars="200"/>
              <w:rPr>
                <w:rFonts w:hint="eastAsia" w:ascii="宋体" w:hAnsi="宋体"/>
                <w:bCs/>
                <w:color w:val="000000"/>
                <w:sz w:val="24"/>
                <w:szCs w:val="24"/>
                <w:lang w:val="en-US" w:eastAsia="zh-CN"/>
              </w:rPr>
            </w:pPr>
            <w:r>
              <w:rPr>
                <w:rFonts w:hint="eastAsia" w:ascii="楷体_GB2312" w:hAnsi="仿宋_GB2312" w:eastAsia="楷体_GB2312" w:cs="Times New Roman"/>
                <w:sz w:val="24"/>
                <w:szCs w:val="24"/>
                <w:lang w:val="en-US" w:eastAsia="zh-CN"/>
              </w:rPr>
              <w:t>气候条件。</w:t>
            </w:r>
            <w:r>
              <w:rPr>
                <w:rFonts w:hint="eastAsia" w:ascii="仿宋_GB2312" w:hAnsi="仿宋_GB2312" w:eastAsia="仿宋_GB2312" w:cs="Times New Roman"/>
                <w:kern w:val="2"/>
                <w:sz w:val="24"/>
                <w:szCs w:val="24"/>
                <w:lang w:val="en-US" w:eastAsia="zh-CN" w:bidi="ar-SA"/>
              </w:rPr>
              <w:t>沙珠玉乡属大陆性高原气候，海拔高、气压低，降水量小、蒸发量大，冰冻期长、无霜期短，昼夜温差大、日照时间长，紫外线强，风沙大。</w:t>
            </w:r>
            <w:r>
              <w:rPr>
                <w:rFonts w:hint="default" w:ascii="仿宋_GB2312" w:hAnsi="仿宋_GB2312" w:eastAsia="仿宋_GB2312" w:cs="Times New Roman"/>
                <w:kern w:val="2"/>
                <w:sz w:val="24"/>
                <w:szCs w:val="24"/>
                <w:lang w:val="en-US" w:eastAsia="zh-CN" w:bidi="ar-SA"/>
              </w:rPr>
              <w:t>冰雹、干旱、风沙等灾害性天气比较多见。</w:t>
            </w:r>
            <w:r>
              <w:rPr>
                <w:rFonts w:hint="eastAsia" w:ascii="仿宋_GB2312" w:hAnsi="仿宋_GB2312" w:eastAsia="仿宋_GB2312" w:cs="Times New Roman"/>
                <w:kern w:val="2"/>
                <w:sz w:val="24"/>
                <w:szCs w:val="24"/>
                <w:lang w:val="en-US" w:eastAsia="zh-CN" w:bidi="ar-SA"/>
              </w:rPr>
              <w:t>年平均气温2.4℃，</w:t>
            </w:r>
            <w:r>
              <w:rPr>
                <w:rFonts w:hint="default" w:ascii="仿宋_GB2312" w:hAnsi="仿宋_GB2312" w:eastAsia="仿宋_GB2312" w:cs="Times New Roman"/>
                <w:kern w:val="2"/>
                <w:sz w:val="24"/>
                <w:szCs w:val="24"/>
                <w:lang w:val="en-US" w:eastAsia="zh-CN" w:bidi="ar-SA"/>
              </w:rPr>
              <w:t>年平均降水量246毫米，无霜期75天；</w:t>
            </w:r>
            <w:r>
              <w:rPr>
                <w:rFonts w:hint="eastAsia" w:ascii="仿宋_GB2312" w:hAnsi="仿宋_GB2312" w:eastAsia="仿宋_GB2312" w:cs="Times New Roman"/>
                <w:kern w:val="2"/>
                <w:sz w:val="24"/>
                <w:szCs w:val="24"/>
                <w:lang w:val="en-US" w:eastAsia="zh-CN" w:bidi="ar-SA"/>
              </w:rPr>
              <w:t>常年西北风盛行，</w:t>
            </w:r>
            <w:r>
              <w:rPr>
                <w:rFonts w:hint="default" w:ascii="仿宋_GB2312" w:hAnsi="仿宋_GB2312" w:eastAsia="仿宋_GB2312" w:cs="Times New Roman"/>
                <w:kern w:val="2"/>
                <w:sz w:val="24"/>
                <w:szCs w:val="24"/>
                <w:lang w:val="en-US" w:eastAsia="zh-CN" w:bidi="ar-SA"/>
              </w:rPr>
              <w:t>全年大风日数51天</w:t>
            </w:r>
            <w:r>
              <w:rPr>
                <w:rFonts w:hint="eastAsia" w:ascii="仿宋_GB2312" w:hAnsi="仿宋_GB2312" w:eastAsia="仿宋_GB2312" w:cs="Times New Roman"/>
                <w:kern w:val="2"/>
                <w:sz w:val="24"/>
                <w:szCs w:val="24"/>
                <w:lang w:val="en-US" w:eastAsia="zh-CN" w:bidi="ar-SA"/>
              </w:rPr>
              <w:t>，沙暴日数8～24天。</w:t>
            </w:r>
            <w:r>
              <w:rPr>
                <w:rFonts w:hint="default" w:ascii="仿宋_GB2312" w:hAnsi="仿宋_GB2312" w:eastAsia="仿宋_GB2312" w:cs="Times New Roman"/>
                <w:kern w:val="2"/>
                <w:sz w:val="24"/>
                <w:szCs w:val="24"/>
                <w:lang w:val="en-US" w:eastAsia="zh-CN" w:bidi="ar-SA"/>
              </w:rPr>
              <w:t>农作物生长期为150</w:t>
            </w:r>
            <w:r>
              <w:rPr>
                <w:rFonts w:hint="eastAsia" w:ascii="仿宋_GB2312" w:hAnsi="仿宋_GB2312" w:eastAsia="仿宋_GB2312" w:cs="Times New Roman"/>
                <w:kern w:val="2"/>
                <w:sz w:val="24"/>
                <w:szCs w:val="24"/>
                <w:lang w:val="en-US" w:eastAsia="zh-CN" w:bidi="ar-SA"/>
              </w:rPr>
              <w:t>～</w:t>
            </w:r>
            <w:r>
              <w:rPr>
                <w:rFonts w:hint="default" w:ascii="仿宋_GB2312" w:hAnsi="仿宋_GB2312" w:eastAsia="仿宋_GB2312" w:cs="Times New Roman"/>
                <w:kern w:val="2"/>
                <w:sz w:val="24"/>
                <w:szCs w:val="24"/>
                <w:lang w:val="en-US" w:eastAsia="zh-CN" w:bidi="ar-SA"/>
              </w:rPr>
              <w:t>180天，牧草生长期为170</w:t>
            </w:r>
            <w:r>
              <w:rPr>
                <w:rFonts w:hint="eastAsia" w:ascii="仿宋_GB2312" w:hAnsi="仿宋_GB2312" w:eastAsia="仿宋_GB2312" w:cs="Times New Roman"/>
                <w:kern w:val="2"/>
                <w:sz w:val="24"/>
                <w:szCs w:val="24"/>
                <w:lang w:val="en-US" w:eastAsia="zh-CN" w:bidi="ar-SA"/>
              </w:rPr>
              <w:t>～</w:t>
            </w:r>
            <w:r>
              <w:rPr>
                <w:rFonts w:hint="default" w:ascii="仿宋_GB2312" w:hAnsi="仿宋_GB2312" w:eastAsia="仿宋_GB2312" w:cs="Times New Roman"/>
                <w:kern w:val="2"/>
                <w:sz w:val="24"/>
                <w:szCs w:val="24"/>
                <w:lang w:val="en-US" w:eastAsia="zh-CN" w:bidi="ar-SA"/>
              </w:rPr>
              <w:t>200天。水源缺乏，沙化、水土流失现象严重</w:t>
            </w:r>
            <w:r>
              <w:rPr>
                <w:rFonts w:hint="eastAsia" w:ascii="仿宋_GB2312" w:hAnsi="仿宋_GB2312" w:eastAsia="仿宋_GB2312" w:cs="Times New Roman"/>
                <w:kern w:val="2"/>
                <w:sz w:val="24"/>
                <w:szCs w:val="24"/>
                <w:lang w:val="en-US" w:eastAsia="zh-CN" w:bidi="ar-SA"/>
              </w:rPr>
              <w:t>。</w:t>
            </w:r>
          </w:p>
        </w:tc>
      </w:tr>
    </w:tbl>
    <w:p w14:paraId="4C4EA163">
      <w:pPr>
        <w:pStyle w:val="6"/>
        <w:keepNext/>
        <w:keepLines/>
        <w:pageBreakBefore w:val="0"/>
        <w:widowControl w:val="0"/>
        <w:numPr>
          <w:ilvl w:val="1"/>
          <w:numId w:val="3"/>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17" w:name="_Toc28294"/>
      <w:r>
        <w:rPr>
          <w:rFonts w:hint="eastAsia" w:ascii="Arial" w:hAnsi="Arial" w:eastAsia="黑体" w:cs="Times New Roman"/>
          <w:b w:val="0"/>
          <w:lang w:val="zh-CN"/>
        </w:rPr>
        <w:t>现状问题</w:t>
      </w:r>
      <w:bookmarkEnd w:id="17"/>
    </w:p>
    <w:p w14:paraId="433657FC">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现状</w:t>
      </w:r>
      <w:r>
        <w:rPr>
          <w:rFonts w:hint="eastAsia" w:ascii="楷体_GB2312" w:hAnsi="Times New Roman" w:eastAsia="楷体_GB2312" w:cs="Times New Roman"/>
          <w:bCs/>
          <w:sz w:val="32"/>
          <w:szCs w:val="32"/>
          <w:lang w:val="en-US" w:eastAsia="zh-CN"/>
        </w:rPr>
        <w:t>特征</w:t>
      </w:r>
    </w:p>
    <w:p w14:paraId="37482860">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eastAsia" w:ascii="仿宋_GB2312" w:hAnsi="仿宋_GB2312" w:eastAsia="仿宋_GB2312" w:cs="仿宋_GB2312"/>
          <w:bCs/>
          <w:kern w:val="2"/>
          <w:sz w:val="32"/>
          <w:szCs w:val="24"/>
          <w:lang w:val="en-US" w:eastAsia="zh-CN" w:bidi="ar-SA"/>
        </w:rPr>
      </w:pPr>
      <w:r>
        <w:rPr>
          <w:rFonts w:hint="eastAsia" w:ascii="楷体_GB2312" w:hAnsi="楷体_GB2312" w:eastAsia="楷体_GB2312" w:cs="楷体_GB2312"/>
          <w:kern w:val="2"/>
          <w:sz w:val="32"/>
          <w:szCs w:val="32"/>
          <w:lang w:val="en-US" w:eastAsia="zh-CN" w:bidi="ar-SA"/>
        </w:rPr>
        <w:t>生态环境持续改善，生态保护压力较大。</w:t>
      </w:r>
      <w:r>
        <w:rPr>
          <w:rFonts w:hint="eastAsia" w:ascii="仿宋_GB2312" w:hAnsi="仿宋_GB2312" w:eastAsia="仿宋_GB2312" w:cs="仿宋_GB2312"/>
          <w:bCs/>
          <w:kern w:val="2"/>
          <w:sz w:val="32"/>
          <w:szCs w:val="24"/>
          <w:lang w:val="en-US" w:eastAsia="zh-CN" w:bidi="ar-SA"/>
        </w:rPr>
        <w:t>沙珠玉乡生态环境持续改善，沿沙珠玉盆地顺风向的封沙育草区、固沙造林区及农田林网区三道屏障日趋完善，但整体气候干燥、降雨稀少、大风频繁，仍存在土地沙化、水土流失现象，有一定潜在的风沙侵害风险。</w:t>
      </w:r>
    </w:p>
    <w:p w14:paraId="4200624C">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default" w:ascii="仿宋_GB2312" w:hAnsi="仿宋_GB2312" w:eastAsia="仿宋_GB2312" w:cs="仿宋_GB2312"/>
          <w:bCs/>
          <w:kern w:val="2"/>
          <w:sz w:val="32"/>
          <w:szCs w:val="24"/>
          <w:lang w:val="en-US" w:eastAsia="zh-CN" w:bidi="ar-SA"/>
        </w:rPr>
      </w:pPr>
      <w:r>
        <w:rPr>
          <w:rFonts w:hint="eastAsia" w:ascii="楷体_GB2312" w:hAnsi="楷体_GB2312" w:eastAsia="楷体_GB2312" w:cs="楷体_GB2312"/>
          <w:kern w:val="2"/>
          <w:sz w:val="32"/>
          <w:szCs w:val="32"/>
          <w:lang w:val="en-US" w:eastAsia="zh-CN" w:bidi="ar-SA"/>
        </w:rPr>
        <w:t>村庄带状分布，用地效率待提升。</w:t>
      </w:r>
      <w:r>
        <w:rPr>
          <w:rFonts w:hint="eastAsia" w:ascii="仿宋_GB2312" w:hAnsi="仿宋_GB2312" w:eastAsia="仿宋_GB2312" w:cs="仿宋_GB2312"/>
          <w:bCs/>
          <w:kern w:val="2"/>
          <w:sz w:val="32"/>
          <w:szCs w:val="24"/>
          <w:lang w:val="en-US" w:eastAsia="zh-CN" w:bidi="ar-SA"/>
        </w:rPr>
        <w:t>沙珠玉乡10个村庄集中于乡域中部，沿公路呈东西向带状分布；居民点内部布局分散，建设用地集约利用水平不高。沙珠玉乡人均村庄建设用地面积为403.44平方米/人，土地利用粗放。</w:t>
      </w:r>
    </w:p>
    <w:p w14:paraId="43D2C694">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kern w:val="2"/>
          <w:sz w:val="32"/>
          <w:szCs w:val="32"/>
          <w:lang w:val="en-US" w:eastAsia="zh-CN" w:bidi="ar-SA"/>
        </w:rPr>
        <w:t>产业结构单一，经济基础薄弱。</w:t>
      </w:r>
      <w:r>
        <w:rPr>
          <w:rFonts w:hint="eastAsia" w:ascii="仿宋_GB2312" w:hAnsi="仿宋_GB2312" w:eastAsia="仿宋_GB2312" w:cs="仿宋_GB2312"/>
          <w:bCs/>
          <w:kern w:val="2"/>
          <w:sz w:val="32"/>
          <w:szCs w:val="24"/>
          <w:lang w:val="en-US" w:eastAsia="zh-CN" w:bidi="ar-SA"/>
        </w:rPr>
        <w:t>沙珠玉乡主要以农牧业、劳务输出为主。</w:t>
      </w:r>
      <w:r>
        <w:rPr>
          <w:rFonts w:hint="eastAsia" w:ascii="仿宋_GB2312" w:hAnsi="仿宋_GB2312" w:eastAsia="仿宋_GB2312" w:cs="仿宋_GB2312"/>
          <w:kern w:val="2"/>
          <w:sz w:val="32"/>
          <w:szCs w:val="22"/>
          <w:lang w:val="en-US" w:eastAsia="zh-CN" w:bidi="ar-SA"/>
        </w:rPr>
        <w:t>沙珠玉乡经济基础薄弱，农牧业以传统方式发展，速度缓慢，农牧产品以初级粗加工为主，没有向下游产业延伸，产品附加值低。第三产业服务水平较低，文化旅游资源未充分利用，未打造出沙珠玉乡特色品牌。</w:t>
      </w:r>
    </w:p>
    <w:p w14:paraId="4D5BB862">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default" w:ascii="仿宋_GB2312" w:hAnsi="仿宋_GB2312" w:eastAsia="仿宋_GB2312" w:cs="仿宋_GB2312"/>
          <w:bCs/>
          <w:kern w:val="2"/>
          <w:sz w:val="32"/>
          <w:szCs w:val="24"/>
          <w:lang w:val="en-US" w:eastAsia="zh-CN" w:bidi="ar-SA"/>
        </w:rPr>
      </w:pPr>
      <w:r>
        <w:rPr>
          <w:rFonts w:hint="eastAsia" w:ascii="楷体_GB2312" w:hAnsi="楷体_GB2312" w:eastAsia="楷体_GB2312" w:cs="楷体_GB2312"/>
          <w:kern w:val="2"/>
          <w:sz w:val="32"/>
          <w:szCs w:val="32"/>
          <w:lang w:val="en-US" w:eastAsia="zh-CN" w:bidi="ar-SA"/>
        </w:rPr>
        <w:t>区位交通便利，乡村公路网有待提升。</w:t>
      </w:r>
      <w:r>
        <w:rPr>
          <w:rFonts w:hint="eastAsia" w:ascii="仿宋_GB2312" w:hAnsi="仿宋_GB2312" w:eastAsia="仿宋_GB2312" w:cs="仿宋_GB2312"/>
          <w:bCs/>
          <w:kern w:val="2"/>
          <w:sz w:val="32"/>
          <w:szCs w:val="24"/>
          <w:lang w:val="en-US" w:eastAsia="zh-CN" w:bidi="ar-SA"/>
        </w:rPr>
        <w:t>沙珠玉乡北邻京藏高速与国道109，东南侧国道214和共玉高速略过境内，乡域内有县道309、县道306，对外交通相对便利。通村公路有待提升技术等级，部分村庄间缺少联通道路。</w:t>
      </w:r>
    </w:p>
    <w:p w14:paraId="0E86E371">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eastAsia" w:ascii="仿宋_GB2312" w:hAnsi="仿宋_GB2312" w:eastAsia="仿宋_GB2312" w:cs="仿宋_GB2312"/>
          <w:bCs/>
          <w:kern w:val="2"/>
          <w:sz w:val="32"/>
          <w:szCs w:val="24"/>
          <w:lang w:val="en-US" w:eastAsia="zh-CN" w:bidi="ar-SA"/>
        </w:rPr>
      </w:pPr>
      <w:r>
        <w:rPr>
          <w:rFonts w:hint="eastAsia" w:ascii="楷体_GB2312" w:hAnsi="楷体_GB2312" w:eastAsia="楷体_GB2312" w:cs="楷体_GB2312"/>
          <w:kern w:val="2"/>
          <w:sz w:val="32"/>
          <w:szCs w:val="32"/>
          <w:lang w:val="en-US" w:eastAsia="zh-CN" w:bidi="ar-SA"/>
        </w:rPr>
        <w:t>设施基本齐备，服务品质有待提升。</w:t>
      </w:r>
      <w:r>
        <w:rPr>
          <w:rFonts w:hint="eastAsia" w:ascii="仿宋_GB2312" w:hAnsi="仿宋_GB2312" w:eastAsia="仿宋_GB2312" w:cs="仿宋_GB2312"/>
          <w:bCs/>
          <w:kern w:val="2"/>
          <w:sz w:val="32"/>
          <w:szCs w:val="24"/>
          <w:lang w:val="en-US" w:eastAsia="zh-CN" w:bidi="ar-SA"/>
        </w:rPr>
        <w:t>乡域各村的日常生产生活服务设施基本满足需求，主要缺乏户外健身活动场所、农村互助幸福院等服务设施。市政设施不断完善，已实现集中供水，主要缺少污水处理设施和集中垃圾处理设施。</w:t>
      </w:r>
    </w:p>
    <w:p w14:paraId="66764D83">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eastAsia" w:ascii="仿宋_GB2312" w:hAnsi="仿宋_GB2312" w:eastAsia="仿宋_GB2312" w:cs="仿宋_GB2312"/>
          <w:bCs/>
          <w:kern w:val="2"/>
          <w:sz w:val="32"/>
          <w:szCs w:val="24"/>
          <w:lang w:val="en-US" w:eastAsia="zh-CN" w:bidi="ar-SA"/>
        </w:rPr>
      </w:pPr>
      <w:r>
        <w:rPr>
          <w:rFonts w:hint="eastAsia" w:ascii="楷体_GB2312" w:hAnsi="楷体_GB2312" w:eastAsia="楷体_GB2312" w:cs="楷体_GB2312"/>
          <w:kern w:val="2"/>
          <w:sz w:val="32"/>
          <w:szCs w:val="32"/>
          <w:lang w:val="en-US" w:eastAsia="zh-CN" w:bidi="ar-SA"/>
        </w:rPr>
        <w:t>文化资源丰富，未充分活化利用。</w:t>
      </w:r>
      <w:r>
        <w:rPr>
          <w:rFonts w:hint="eastAsia" w:ascii="仿宋_GB2312" w:hAnsi="仿宋_GB2312" w:eastAsia="仿宋_GB2312" w:cs="仿宋_GB2312"/>
          <w:bCs/>
          <w:kern w:val="2"/>
          <w:sz w:val="32"/>
          <w:szCs w:val="24"/>
          <w:lang w:val="en-US" w:eastAsia="zh-CN" w:bidi="ar-SA"/>
        </w:rPr>
        <w:t>沙珠玉乡历史文化悠久，曾出土猛犸象化石，有70年防沙治沙历史。历史文化元素未充分活化利用，历史价值未得到充分发挥，文化创意与生活、产业发展融合度还需进一步提升。</w:t>
      </w:r>
    </w:p>
    <w:p w14:paraId="76EA004B">
      <w:pPr>
        <w:widowControl w:val="0"/>
        <w:spacing w:after="120" w:line="600" w:lineRule="exact"/>
        <w:ind w:firstLine="640" w:firstLineChars="200"/>
        <w:jc w:val="both"/>
        <w:rPr>
          <w:rFonts w:hint="eastAsia" w:ascii="楷体_GB2312" w:hAnsi="Times New Roman" w:eastAsia="楷体_GB2312" w:cs="Times New Roman"/>
          <w:bCs/>
          <w:sz w:val="32"/>
          <w:szCs w:val="32"/>
        </w:rPr>
      </w:pPr>
      <w:r>
        <w:rPr>
          <w:rFonts w:hint="eastAsia" w:ascii="楷体_GB2312" w:hAnsi="楷体_GB2312" w:eastAsia="楷体_GB2312" w:cs="楷体_GB2312"/>
          <w:kern w:val="2"/>
          <w:sz w:val="32"/>
          <w:szCs w:val="32"/>
          <w:lang w:val="en-US" w:eastAsia="zh-CN" w:bidi="ar-SA"/>
        </w:rPr>
        <w:t>环境品质较差，风貌有待优化。</w:t>
      </w:r>
      <w:r>
        <w:rPr>
          <w:rFonts w:hint="eastAsia" w:ascii="仿宋_GB2312" w:hAnsi="仿宋_GB2312" w:eastAsia="仿宋_GB2312" w:cs="仿宋_GB2312"/>
          <w:bCs/>
          <w:kern w:val="2"/>
          <w:sz w:val="32"/>
          <w:szCs w:val="24"/>
          <w:lang w:val="en-US" w:eastAsia="zh-CN" w:bidi="ar-SA"/>
        </w:rPr>
        <w:t>沙珠玉乡建筑风格</w:t>
      </w:r>
      <w:r>
        <w:rPr>
          <w:rFonts w:hint="eastAsia" w:ascii="仿宋_GB2312" w:hAnsi="仿宋_GB2312" w:eastAsia="仿宋_GB2312" w:cs="仿宋_GB2312"/>
          <w:kern w:val="2"/>
          <w:sz w:val="32"/>
          <w:szCs w:val="22"/>
          <w:lang w:val="en-US" w:eastAsia="zh-CN" w:bidi="ar-SA"/>
        </w:rPr>
        <w:t>较杂乱，空间形态缺乏引导；背街小巷风貌较差，环境品质亟需优化；道路两侧绿化较少，绿化结构单一，开敞空间不足缺乏整体设计布局绿地景观系统建设较为滞后；公共空间不足，需要新增公共空间以增加居民生活的幸福感。</w:t>
      </w:r>
    </w:p>
    <w:p w14:paraId="5209CDDC">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风险评估</w:t>
      </w:r>
    </w:p>
    <w:p w14:paraId="4EBECDE1">
      <w:pPr>
        <w:widowControl w:val="0"/>
        <w:spacing w:after="120" w:line="600" w:lineRule="exact"/>
        <w:ind w:firstLine="640" w:firstLineChars="200"/>
        <w:jc w:val="both"/>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32"/>
          <w:lang w:val="en-US" w:eastAsia="zh-CN" w:bidi="ar-SA"/>
        </w:rPr>
        <w:t>国土开发风险等级较低。</w:t>
      </w:r>
      <w:r>
        <w:rPr>
          <w:rFonts w:hint="eastAsia" w:ascii="仿宋_GB2312" w:hAnsi="仿宋_GB2312" w:eastAsia="仿宋_GB2312" w:cs="仿宋_GB2312"/>
          <w:kern w:val="2"/>
          <w:sz w:val="32"/>
          <w:szCs w:val="22"/>
          <w:lang w:val="en-US" w:eastAsia="zh-CN" w:bidi="ar-SA"/>
        </w:rPr>
        <w:t>根据共和县国土开发风险等级分布，沙珠玉乡大部分位于低风险区，面积298.64平方公里；较低风险区78.45平方公里；中等风险区165.41平方公里，主要集中于村庄建设区；高风险区</w:t>
      </w:r>
      <w:r>
        <w:rPr>
          <w:rFonts w:hint="default" w:ascii="仿宋_GB2312" w:hAnsi="仿宋_GB2312" w:eastAsia="仿宋_GB2312" w:cs="仿宋_GB2312"/>
          <w:kern w:val="2"/>
          <w:sz w:val="32"/>
          <w:szCs w:val="22"/>
          <w:lang w:val="en-US" w:eastAsia="zh-CN" w:bidi="ar-SA"/>
        </w:rPr>
        <w:t>0.79</w:t>
      </w:r>
      <w:r>
        <w:rPr>
          <w:rFonts w:hint="eastAsia" w:ascii="仿宋_GB2312" w:hAnsi="仿宋_GB2312" w:eastAsia="仿宋_GB2312" w:cs="仿宋_GB2312"/>
          <w:kern w:val="2"/>
          <w:sz w:val="32"/>
          <w:szCs w:val="22"/>
          <w:lang w:val="en-US" w:eastAsia="zh-CN" w:bidi="ar-SA"/>
        </w:rPr>
        <w:t>平方公里。</w:t>
      </w:r>
    </w:p>
    <w:p w14:paraId="117FD173">
      <w:pPr>
        <w:widowControl w:val="0"/>
        <w:spacing w:after="120" w:line="600" w:lineRule="exact"/>
        <w:ind w:firstLine="640" w:firstLineChars="200"/>
        <w:jc w:val="both"/>
        <w:rPr>
          <w:rFonts w:hint="default"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32"/>
          <w:lang w:val="en-US" w:eastAsia="zh-CN" w:bidi="ar-SA"/>
        </w:rPr>
        <w:t>气象灾害较为突出。</w:t>
      </w:r>
      <w:r>
        <w:rPr>
          <w:rFonts w:hint="eastAsia" w:ascii="仿宋_GB2312" w:hAnsi="仿宋_GB2312" w:eastAsia="仿宋_GB2312" w:cs="仿宋_GB2312"/>
          <w:kern w:val="2"/>
          <w:sz w:val="32"/>
          <w:szCs w:val="22"/>
          <w:lang w:val="en-US" w:eastAsia="zh-CN" w:bidi="ar-SA"/>
        </w:rPr>
        <w:t>气象灾害主要集中在</w:t>
      </w:r>
      <w:r>
        <w:rPr>
          <w:rFonts w:hint="default" w:ascii="仿宋_GB2312" w:hAnsi="仿宋_GB2312" w:eastAsia="仿宋_GB2312" w:cs="仿宋_GB2312"/>
          <w:kern w:val="2"/>
          <w:sz w:val="32"/>
          <w:szCs w:val="22"/>
          <w:lang w:val="en-US" w:eastAsia="zh-CN" w:bidi="ar-SA"/>
        </w:rPr>
        <w:t>7</w:t>
      </w:r>
      <w:r>
        <w:rPr>
          <w:rFonts w:hint="eastAsia" w:ascii="仿宋_GB2312" w:hAnsi="仿宋_GB2312" w:eastAsia="仿宋_GB2312" w:cs="仿宋_GB2312"/>
          <w:kern w:val="2"/>
          <w:sz w:val="32"/>
          <w:szCs w:val="22"/>
          <w:lang w:val="en-US" w:eastAsia="zh-CN" w:bidi="ar-SA"/>
        </w:rPr>
        <w:t>—</w:t>
      </w:r>
      <w:r>
        <w:rPr>
          <w:rFonts w:hint="default" w:ascii="仿宋_GB2312" w:hAnsi="仿宋_GB2312" w:eastAsia="仿宋_GB2312" w:cs="仿宋_GB2312"/>
          <w:kern w:val="2"/>
          <w:sz w:val="32"/>
          <w:szCs w:val="22"/>
          <w:lang w:val="en-US" w:eastAsia="zh-CN" w:bidi="ar-SA"/>
        </w:rPr>
        <w:t>9</w:t>
      </w:r>
      <w:r>
        <w:rPr>
          <w:rFonts w:hint="eastAsia" w:ascii="仿宋_GB2312" w:hAnsi="仿宋_GB2312" w:eastAsia="仿宋_GB2312" w:cs="仿宋_GB2312"/>
          <w:kern w:val="2"/>
          <w:sz w:val="32"/>
          <w:szCs w:val="22"/>
          <w:lang w:val="en-US" w:eastAsia="zh-CN" w:bidi="ar-SA"/>
        </w:rPr>
        <w:t>月，季节性明显。以大风、干旱、霜冻、暴雨、冰雹为主。</w:t>
      </w:r>
    </w:p>
    <w:p w14:paraId="0A57642D">
      <w:pPr>
        <w:widowControl w:val="0"/>
        <w:spacing w:after="120" w:line="600" w:lineRule="exact"/>
        <w:ind w:firstLine="640" w:firstLineChars="200"/>
        <w:jc w:val="both"/>
        <w:rPr>
          <w:rFonts w:hint="eastAsia"/>
        </w:rPr>
      </w:pPr>
      <w:r>
        <w:rPr>
          <w:rFonts w:hint="eastAsia" w:ascii="楷体_GB2312" w:hAnsi="楷体_GB2312" w:eastAsia="楷体_GB2312" w:cs="楷体_GB2312"/>
          <w:kern w:val="2"/>
          <w:sz w:val="32"/>
          <w:szCs w:val="32"/>
          <w:lang w:val="en-US" w:eastAsia="zh-CN" w:bidi="ar-SA"/>
        </w:rPr>
        <w:t>地质灾害隐患较多。</w:t>
      </w:r>
      <w:r>
        <w:rPr>
          <w:rFonts w:hint="eastAsia" w:ascii="仿宋_GB2312" w:hAnsi="仿宋_GB2312" w:eastAsia="仿宋_GB2312" w:cs="仿宋_GB2312"/>
          <w:kern w:val="2"/>
          <w:sz w:val="32"/>
          <w:szCs w:val="22"/>
          <w:lang w:val="en-US" w:eastAsia="zh-CN" w:bidi="ar-SA"/>
        </w:rPr>
        <w:t>沙珠玉乡地质灾害包括滑坡、泥石流、不稳定斜坡、地面沉降等，主要为暴雨引发的山洪、泥石流等洪涝灾害。浪什干沟、夏吾东渠沟存在山洪、泥石流隐患；种子村北侧少量住宅受不稳定斜坡威胁；强降雨天气后，沙珠玉河、夏吾东渠沟、浪什干沟、廿地沟等处排洪压力较大。沙珠玉乡地质灾害中易发区面积162.44平方公里，地质灾害低易发区面积379.64平方公里。</w:t>
      </w:r>
    </w:p>
    <w:p w14:paraId="06756F11">
      <w:pPr>
        <w:pStyle w:val="6"/>
        <w:keepNext/>
        <w:keepLines/>
        <w:pageBreakBefore w:val="0"/>
        <w:widowControl w:val="0"/>
        <w:numPr>
          <w:ilvl w:val="1"/>
          <w:numId w:val="3"/>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18" w:name="_Toc16468"/>
      <w:r>
        <w:rPr>
          <w:rFonts w:hint="eastAsia" w:ascii="Arial" w:hAnsi="Arial" w:eastAsia="黑体" w:cs="Times New Roman"/>
          <w:b w:val="0"/>
          <w:lang w:val="zh-CN"/>
        </w:rPr>
        <w:t>挑战与机遇</w:t>
      </w:r>
      <w:bookmarkEnd w:id="18"/>
    </w:p>
    <w:p w14:paraId="581A086D">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发展</w:t>
      </w:r>
      <w:r>
        <w:rPr>
          <w:rFonts w:hint="eastAsia" w:ascii="楷体_GB2312" w:hAnsi="Times New Roman" w:eastAsia="楷体_GB2312" w:cs="Times New Roman"/>
          <w:bCs/>
          <w:sz w:val="32"/>
          <w:szCs w:val="32"/>
        </w:rPr>
        <w:t>机遇</w:t>
      </w:r>
    </w:p>
    <w:p w14:paraId="77F51975">
      <w:pPr>
        <w:ind w:firstLine="560"/>
        <w:rPr>
          <w:rFonts w:hint="default"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生态文明建设、“两山”理论、黄河流域生态保护和高质量发展等国家重大生态战略背景下，沙珠玉乡生态资源价值逐渐凸显，为沙珠玉乡持续生态保护、推动资源向价值转换提供了良好的机遇。</w:t>
      </w:r>
    </w:p>
    <w:p w14:paraId="1BA526B8">
      <w:pPr>
        <w:ind w:firstLine="560"/>
        <w:rPr>
          <w:rFonts w:hint="default"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国家、省级、州级对共和县清洁能源产业的重视，有利于沙珠玉乡依托沙漠、光热资源优势，发展壮大以光伏为主的清洁能源。</w:t>
      </w:r>
    </w:p>
    <w:p w14:paraId="5477DE98">
      <w:pPr>
        <w:ind w:firstLine="560"/>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结合各高速连接线、乡镇连接公路等重大设施的支撑，沙珠玉积极融入以共和县城为中心的城乡融合单元，为沙珠玉乡快速发展创造良好外部条件。</w:t>
      </w:r>
    </w:p>
    <w:p w14:paraId="4D551BC9">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面临</w:t>
      </w:r>
      <w:r>
        <w:rPr>
          <w:rFonts w:hint="eastAsia" w:ascii="楷体_GB2312" w:hAnsi="Times New Roman" w:eastAsia="楷体_GB2312" w:cs="Times New Roman"/>
          <w:bCs/>
          <w:sz w:val="32"/>
          <w:szCs w:val="32"/>
        </w:rPr>
        <w:t>挑战</w:t>
      </w:r>
    </w:p>
    <w:p w14:paraId="1832BD20">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生态环境保护和可持续发展。</w:t>
      </w:r>
      <w:r>
        <w:rPr>
          <w:rFonts w:hint="eastAsia" w:ascii="仿宋_GB2312" w:hAnsi="仿宋_GB2312" w:eastAsia="仿宋_GB2312" w:cs="仿宋_GB2312"/>
          <w:sz w:val="32"/>
          <w:szCs w:val="32"/>
          <w:lang w:val="en-US" w:eastAsia="zh-CN"/>
        </w:rPr>
        <w:t>沙珠玉乡防沙治沙成效显著，沙化程度指数逐年下降，但仍存在潜在风沙侵害风险，持续防沙治沙、生态环境保护和可持续发展是沙珠玉乡面临的最重要、最艰巨的任务之一。</w:t>
      </w:r>
    </w:p>
    <w:p w14:paraId="522983F3">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集约节约利用土地，提升集镇空间品质。</w:t>
      </w:r>
      <w:r>
        <w:rPr>
          <w:rFonts w:hint="eastAsia" w:ascii="仿宋_GB2312" w:hAnsi="仿宋_GB2312" w:eastAsia="仿宋_GB2312" w:cs="仿宋_GB2312"/>
          <w:sz w:val="32"/>
          <w:szCs w:val="32"/>
          <w:lang w:val="en-US" w:eastAsia="zh-CN"/>
        </w:rPr>
        <w:t>未来资源紧约束成为城乡发展的“新常态”，沙珠玉乡应更加关注资源的集约高效利用，在有限的空间中优化公共服务供给、加强基础设施配建，提升宜居环境品质。</w:t>
      </w:r>
    </w:p>
    <w:p w14:paraId="3F92DADD">
      <w:pPr>
        <w:rPr>
          <w:rFonts w:hint="eastAsia" w:ascii="Times New Roman" w:hAnsi="Times New Roman" w:eastAsia="方正小标宋简体" w:cs="Times New Roman"/>
          <w:b w:val="0"/>
          <w:bCs w:val="0"/>
          <w:sz w:val="36"/>
          <w:szCs w:val="36"/>
        </w:rPr>
      </w:pPr>
      <w:r>
        <w:rPr>
          <w:rFonts w:hint="eastAsia" w:ascii="Times New Roman" w:hAnsi="Times New Roman" w:eastAsia="方正小标宋简体" w:cs="Times New Roman"/>
          <w:b w:val="0"/>
          <w:bCs w:val="0"/>
          <w:sz w:val="36"/>
          <w:szCs w:val="36"/>
        </w:rPr>
        <w:br w:type="page"/>
      </w:r>
    </w:p>
    <w:p w14:paraId="26628A76">
      <w:pPr>
        <w:pStyle w:val="5"/>
        <w:keepNext/>
        <w:keepLines/>
        <w:pageBreakBefore w:val="0"/>
        <w:widowControl w:val="0"/>
        <w:numPr>
          <w:ilvl w:val="0"/>
          <w:numId w:val="2"/>
        </w:numPr>
        <w:kinsoku/>
        <w:wordWrap/>
        <w:overflowPunct/>
        <w:topLinePunct w:val="0"/>
        <w:autoSpaceDE/>
        <w:autoSpaceDN/>
        <w:bidi w:val="0"/>
        <w:adjustRightInd/>
        <w:snapToGrid/>
        <w:spacing w:before="313" w:beforeLines="100" w:after="313" w:afterLines="100" w:line="520" w:lineRule="exact"/>
        <w:ind w:left="0" w:leftChars="0" w:firstLine="0" w:firstLineChars="0"/>
        <w:jc w:val="center"/>
        <w:textAlignment w:val="auto"/>
        <w:rPr>
          <w:rFonts w:hint="eastAsia" w:ascii="Times New Roman" w:hAnsi="Times New Roman" w:eastAsia="方正小标宋简体" w:cs="Times New Roman"/>
          <w:b w:val="0"/>
          <w:bCs w:val="0"/>
          <w:sz w:val="36"/>
          <w:szCs w:val="36"/>
        </w:rPr>
      </w:pPr>
      <w:bookmarkStart w:id="19" w:name="_Toc17642"/>
      <w:r>
        <w:rPr>
          <w:rFonts w:hint="eastAsia" w:ascii="Times New Roman" w:hAnsi="Times New Roman" w:eastAsia="方正小标宋简体" w:cs="Times New Roman"/>
          <w:b w:val="0"/>
          <w:bCs w:val="0"/>
          <w:sz w:val="36"/>
          <w:szCs w:val="36"/>
        </w:rPr>
        <w:t>指导思想与目标战略</w:t>
      </w:r>
      <w:bookmarkEnd w:id="19"/>
    </w:p>
    <w:p w14:paraId="7F7C10DF">
      <w:pPr>
        <w:pStyle w:val="6"/>
        <w:keepNext/>
        <w:keepLines/>
        <w:pageBreakBefore w:val="0"/>
        <w:widowControl w:val="0"/>
        <w:numPr>
          <w:ilvl w:val="1"/>
          <w:numId w:val="5"/>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20" w:name="_Toc18713"/>
      <w:r>
        <w:rPr>
          <w:rFonts w:hint="eastAsia" w:ascii="Arial" w:hAnsi="Arial" w:eastAsia="黑体" w:cs="Times New Roman"/>
          <w:b w:val="0"/>
          <w:lang w:val="zh-CN"/>
        </w:rPr>
        <w:t>指导思想和基本原则</w:t>
      </w:r>
      <w:bookmarkEnd w:id="20"/>
    </w:p>
    <w:p w14:paraId="2018B8BB">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指导思想</w:t>
      </w:r>
    </w:p>
    <w:p w14:paraId="447FBAE5">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以习近平新时代中国特色社会主义思想为指导，全面贯彻落实党的二十大和二十届三中全会精神，深入践行习近平生态文明思想，不折不扣落实习近平总书记对青海工作的重大要求，立足“三个最大”省情定位和“三个更加重要”战略地位，完整准确全面贯彻新发展理念，加快融入新发展格局，着力推动高质量发展，坚持以人民为中心，锚定全县“123456”奋斗目标，围绕“农村基本具备现代生活条件”目标，细化落实《共和县国土空间总体规划（2021—2035年）》，统筹高质量发展和高水平安全，统筹划定落实耕地和永久基本农田、生态保护红线、城镇开发边界三条控制线，优化农业、生态、城镇等功能空间，整体谋划国土空间开发保护新格局，强化国土空间生态保护与修复，提高国土空间资源利用效率，为支撑沙珠玉乡更高质量、更有效率、更加公平、更可持续、更为安全的发展，建设人与自然和谐共生的现代化筑牢根基。</w:t>
      </w:r>
    </w:p>
    <w:p w14:paraId="1F72E9DB">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基本原则</w:t>
      </w:r>
    </w:p>
    <w:p w14:paraId="42F4B0D9">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安全底线原则，</w:t>
      </w:r>
      <w:r>
        <w:rPr>
          <w:rFonts w:hint="eastAsia" w:ascii="仿宋_GB2312" w:hAnsi="仿宋_GB2312" w:eastAsia="仿宋_GB2312" w:cs="仿宋_GB2312"/>
          <w:sz w:val="32"/>
          <w:szCs w:val="32"/>
          <w:lang w:val="en-US" w:eastAsia="zh-CN"/>
        </w:rPr>
        <w:t>以风险评估为依据，守住粮食安全底线、生态安全底线、用水安全底线、防灾安全底线等。严格落实三条控制线，强化底线约束，积极协调人、地、产、城、村关系，形成生态空间山清水秀、生活空间宜居适度、生产空间集约高效的空间格局。</w:t>
      </w:r>
    </w:p>
    <w:p w14:paraId="1F2D3252">
      <w:pPr>
        <w:pStyle w:val="11"/>
        <w:ind w:firstLine="640"/>
      </w:pPr>
      <w:r>
        <w:rPr>
          <w:rFonts w:hint="eastAsia" w:ascii="楷体_GB2312" w:hAnsi="楷体_GB2312" w:eastAsia="楷体_GB2312" w:cs="楷体_GB2312"/>
          <w:szCs w:val="32"/>
        </w:rPr>
        <w:t>生态优先原则</w:t>
      </w:r>
      <w:r>
        <w:rPr>
          <w:rFonts w:hint="eastAsia" w:ascii="楷体_GB2312" w:hAnsi="楷体_GB2312" w:eastAsia="楷体_GB2312" w:cs="楷体_GB2312"/>
        </w:rPr>
        <w:t>，</w:t>
      </w:r>
      <w:r>
        <w:t>在生态文明思想和</w:t>
      </w:r>
      <w:r>
        <w:rPr>
          <w:rFonts w:hint="eastAsia"/>
          <w:lang w:eastAsia="zh-CN"/>
        </w:rPr>
        <w:t>总体国家安全观</w:t>
      </w:r>
      <w:r>
        <w:t>指导下</w:t>
      </w:r>
      <w:r>
        <w:rPr>
          <w:rFonts w:hint="eastAsia"/>
        </w:rPr>
        <w:t>，</w:t>
      </w:r>
      <w:r>
        <w:t>探索内涵式</w:t>
      </w:r>
      <w:r>
        <w:rPr>
          <w:rFonts w:hint="eastAsia"/>
        </w:rPr>
        <w:t>、</w:t>
      </w:r>
      <w:r>
        <w:t>集约型</w:t>
      </w:r>
      <w:r>
        <w:rPr>
          <w:rFonts w:hint="eastAsia"/>
        </w:rPr>
        <w:t>、</w:t>
      </w:r>
      <w:r>
        <w:t>绿色化的高质量发展路径</w:t>
      </w:r>
      <w:r>
        <w:rPr>
          <w:rFonts w:hint="eastAsia"/>
        </w:rPr>
        <w:t>，坚持山水林田湖草沙生命共同体理念，加强整体保护与自然修复，全面筑牢国家生态安全屏障。</w:t>
      </w:r>
    </w:p>
    <w:p w14:paraId="00C5A6C3">
      <w:pPr>
        <w:pStyle w:val="11"/>
        <w:ind w:firstLine="640"/>
      </w:pPr>
      <w:r>
        <w:rPr>
          <w:rFonts w:hint="eastAsia" w:ascii="楷体_GB2312" w:hAnsi="楷体_GB2312" w:eastAsia="楷体_GB2312" w:cs="楷体_GB2312"/>
          <w:szCs w:val="32"/>
        </w:rPr>
        <w:t>以人为本原则</w:t>
      </w:r>
      <w:r>
        <w:rPr>
          <w:rFonts w:hint="eastAsia" w:ascii="楷体_GB2312" w:hAnsi="楷体_GB2312" w:eastAsia="楷体_GB2312" w:cs="楷体_GB2312"/>
        </w:rPr>
        <w:t>，</w:t>
      </w:r>
      <w:r>
        <w:rPr>
          <w:rFonts w:hint="eastAsia"/>
        </w:rPr>
        <w:t>从社会全面进步和人的全面发展出发，塑造高品质城乡人居环境，构建高水平均等化的城乡公共服务体系，建立便捷完善的城乡交通和基础设施网络，不断提升人民群众获得感、幸福感、安全感。</w:t>
      </w:r>
    </w:p>
    <w:p w14:paraId="55E73DFD">
      <w:pPr>
        <w:pStyle w:val="11"/>
        <w:ind w:firstLine="640"/>
      </w:pPr>
      <w:r>
        <w:rPr>
          <w:rFonts w:hint="eastAsia" w:ascii="楷体_GB2312" w:hAnsi="楷体_GB2312" w:eastAsia="楷体_GB2312" w:cs="楷体_GB2312"/>
          <w:szCs w:val="32"/>
        </w:rPr>
        <w:t>协同融合原则</w:t>
      </w:r>
      <w:r>
        <w:rPr>
          <w:rFonts w:hint="eastAsia" w:ascii="楷体_GB2312" w:hAnsi="楷体_GB2312" w:eastAsia="楷体_GB2312" w:cs="楷体_GB2312"/>
        </w:rPr>
        <w:t>，</w:t>
      </w:r>
      <w:r>
        <w:rPr>
          <w:rFonts w:hint="eastAsia"/>
        </w:rPr>
        <w:t>坚持区域协同，积极融入</w:t>
      </w:r>
      <w:r>
        <w:rPr>
          <w:rFonts w:hint="eastAsia"/>
          <w:lang w:eastAsia="zh-CN"/>
        </w:rPr>
        <w:t>“一带一路”</w:t>
      </w:r>
      <w:r>
        <w:rPr>
          <w:rFonts w:hint="eastAsia"/>
        </w:rPr>
        <w:t>、兰西城镇群等区域战略，</w:t>
      </w:r>
      <w:r>
        <w:rPr>
          <w:rFonts w:hint="eastAsia"/>
          <w:lang w:val="en-US" w:eastAsia="zh-CN"/>
        </w:rPr>
        <w:t>助力</w:t>
      </w:r>
      <w:r>
        <w:rPr>
          <w:rFonts w:hint="eastAsia"/>
        </w:rPr>
        <w:t>泛共和盆地城镇区绿色崛起，落实新型城镇化、乡村振兴、高原美丽城镇建设等战略，促进城乡协调发展。</w:t>
      </w:r>
    </w:p>
    <w:p w14:paraId="756677B0">
      <w:pPr>
        <w:pStyle w:val="11"/>
        <w:ind w:firstLine="640"/>
      </w:pPr>
      <w:r>
        <w:rPr>
          <w:rFonts w:hint="eastAsia" w:ascii="楷体_GB2312" w:hAnsi="楷体_GB2312" w:eastAsia="楷体_GB2312" w:cs="楷体_GB2312"/>
          <w:szCs w:val="32"/>
        </w:rPr>
        <w:t>因地制宜原则</w:t>
      </w:r>
      <w:r>
        <w:rPr>
          <w:rFonts w:hint="eastAsia" w:ascii="楷体_GB2312" w:hAnsi="楷体_GB2312" w:eastAsia="楷体_GB2312" w:cs="楷体_GB2312"/>
        </w:rPr>
        <w:t>，</w:t>
      </w:r>
      <w:r>
        <w:t>立足</w:t>
      </w:r>
      <w:r>
        <w:rPr>
          <w:rFonts w:hint="eastAsia"/>
          <w:lang w:val="en-US" w:eastAsia="zh-CN"/>
        </w:rPr>
        <w:t>沙珠玉乡</w:t>
      </w:r>
      <w:r>
        <w:t>自然和人文禀赋</w:t>
      </w:r>
      <w:r>
        <w:rPr>
          <w:rFonts w:hint="eastAsia"/>
        </w:rPr>
        <w:t>、</w:t>
      </w:r>
      <w:r>
        <w:t>资源环境条件</w:t>
      </w:r>
      <w:r>
        <w:rPr>
          <w:rFonts w:hint="eastAsia"/>
        </w:rPr>
        <w:t>、</w:t>
      </w:r>
      <w:r>
        <w:t>发展阶段特征</w:t>
      </w:r>
      <w:r>
        <w:rPr>
          <w:rFonts w:hint="eastAsia"/>
        </w:rPr>
        <w:t>、区域地理格局、</w:t>
      </w:r>
      <w:r>
        <w:t>民族文化特色</w:t>
      </w:r>
      <w:r>
        <w:rPr>
          <w:rFonts w:hint="eastAsia"/>
        </w:rPr>
        <w:t>，充分体现地域特征、民族特色、时代风貌，突出规划编制的针对性、实用性和特色化。</w:t>
      </w:r>
    </w:p>
    <w:p w14:paraId="0FD3A1CB">
      <w:pPr>
        <w:pStyle w:val="6"/>
        <w:keepNext/>
        <w:keepLines/>
        <w:pageBreakBefore w:val="0"/>
        <w:widowControl w:val="0"/>
        <w:numPr>
          <w:ilvl w:val="1"/>
          <w:numId w:val="5"/>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21" w:name="_Toc18149"/>
      <w:r>
        <w:rPr>
          <w:rFonts w:hint="eastAsia" w:ascii="Arial" w:hAnsi="Arial" w:eastAsia="黑体" w:cs="Times New Roman"/>
          <w:b w:val="0"/>
          <w:lang w:val="zh-CN"/>
        </w:rPr>
        <w:t>总体定位</w:t>
      </w:r>
      <w:bookmarkEnd w:id="21"/>
    </w:p>
    <w:p w14:paraId="1F7CB5A7">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上位规划分析</w:t>
      </w:r>
    </w:p>
    <w:p w14:paraId="78DA8EDB">
      <w:pPr>
        <w:pStyle w:val="11"/>
        <w:ind w:firstLine="640"/>
        <w:rPr>
          <w:rFonts w:hint="eastAsia" w:ascii="仿宋_GB2312" w:hAnsi="仿宋_GB2312" w:cs="仿宋_GB2312"/>
          <w:szCs w:val="32"/>
          <w:lang w:val="en-US" w:eastAsia="zh-CN"/>
        </w:rPr>
      </w:pPr>
      <w:r>
        <w:rPr>
          <w:rFonts w:hint="eastAsia" w:ascii="楷体_GB2312" w:hAnsi="楷体_GB2312" w:eastAsia="楷体_GB2312" w:cs="楷体_GB2312"/>
          <w:szCs w:val="32"/>
          <w:lang w:val="en-US" w:eastAsia="zh-CN"/>
        </w:rPr>
        <w:t>县级国土空间总体规划。</w:t>
      </w:r>
      <w:r>
        <w:rPr>
          <w:rFonts w:hint="eastAsia" w:ascii="仿宋_GB2312" w:hAnsi="仿宋_GB2312" w:cs="仿宋_GB2312"/>
          <w:szCs w:val="32"/>
          <w:lang w:val="en-US" w:eastAsia="zh-CN"/>
        </w:rPr>
        <w:t>沙珠玉乡位于盆地现代农牧业协调区，重点提升耕地综合生产能力，推进粮食安全保障和重要农产品供给，重点发展光能、风能等清洁能源。主体功能区定位为农产品主产区，叠加功能为能源资源富集区，干热岩、光电、风电资源富集。沙珠玉乡城镇等级为一般（乡）镇，城镇人口＜0.3万人，城镇职能为生态农牧服务型城镇。城镇定位为：共和县中部新能源探索重要节点；依托交通区位，发展农牧产品贸易仓储的商旅型小镇；共和县中部农牧基地型城镇。</w:t>
      </w:r>
    </w:p>
    <w:p w14:paraId="69A32491">
      <w:pPr>
        <w:pStyle w:val="11"/>
        <w:ind w:firstLine="640"/>
        <w:rPr>
          <w:rFonts w:hint="eastAsia" w:ascii="仿宋_GB2312" w:hAnsi="仿宋_GB2312" w:cs="仿宋_GB2312"/>
          <w:szCs w:val="32"/>
          <w:lang w:val="en-US" w:eastAsia="zh-CN"/>
        </w:rPr>
      </w:pPr>
      <w:r>
        <w:rPr>
          <w:rFonts w:hint="eastAsia" w:ascii="楷体_GB2312" w:hAnsi="楷体_GB2312" w:eastAsia="楷体_GB2312" w:cs="楷体_GB2312"/>
          <w:szCs w:val="32"/>
          <w:lang w:val="en-US" w:eastAsia="zh-CN"/>
        </w:rPr>
        <w:t>县级“十四五”规划。</w:t>
      </w:r>
      <w:r>
        <w:rPr>
          <w:rFonts w:hint="eastAsia" w:ascii="仿宋_GB2312" w:hAnsi="仿宋_GB2312" w:cs="仿宋_GB2312"/>
          <w:szCs w:val="32"/>
          <w:lang w:val="en-US" w:eastAsia="zh-CN"/>
        </w:rPr>
        <w:t>共和县“一核三带三城多点”城镇发展格局中，沙珠玉位于“三带”之一的“东西交通沿线城镇带”，是支撑全县城镇化发展的“多点”之一。配套完善城镇基础设施和公共服务设施，打造沿线商贸枢纽城镇发展带。完善城镇功能，发展特色产业，增强发展活力，强化对全县城镇化的发展支撑。</w:t>
      </w:r>
    </w:p>
    <w:p w14:paraId="29AD578E">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总体定位</w:t>
      </w:r>
    </w:p>
    <w:p w14:paraId="31B70477">
      <w:pPr>
        <w:pStyle w:val="11"/>
        <w:ind w:firstLine="640"/>
        <w:rPr>
          <w:rFonts w:hint="eastAsia"/>
        </w:rPr>
      </w:pPr>
      <w:r>
        <w:rPr>
          <w:rFonts w:hint="eastAsia" w:ascii="仿宋_GB2312" w:hAnsi="仿宋_GB2312" w:cs="仿宋_GB2312"/>
          <w:szCs w:val="32"/>
          <w:lang w:val="en-US" w:eastAsia="zh-CN"/>
        </w:rPr>
        <w:t>落实并细化县级国土空间规划对沙珠玉乡的总体定位</w:t>
      </w:r>
      <w:r>
        <w:rPr>
          <w:rFonts w:hint="eastAsia"/>
        </w:rPr>
        <w:t>。</w:t>
      </w:r>
    </w:p>
    <w:p w14:paraId="315E97AD">
      <w:pPr>
        <w:pStyle w:val="11"/>
        <w:ind w:firstLine="640"/>
        <w:rPr>
          <w:rFonts w:hint="eastAsia" w:ascii="楷体_GB2312" w:hAnsi="楷体_GB2312" w:eastAsia="仿宋_GB2312" w:cs="楷体_GB2312"/>
          <w:szCs w:val="32"/>
          <w:lang w:val="en-US" w:eastAsia="zh-CN"/>
        </w:rPr>
      </w:pPr>
      <w:r>
        <w:rPr>
          <w:rFonts w:hint="eastAsia" w:ascii="楷体_GB2312" w:hAnsi="楷体_GB2312" w:eastAsia="楷体_GB2312" w:cs="楷体_GB2312"/>
          <w:szCs w:val="32"/>
          <w:lang w:val="en-US" w:eastAsia="zh-CN"/>
        </w:rPr>
        <w:t>共和县中部新能源探索重要节点。</w:t>
      </w:r>
      <w:r>
        <w:rPr>
          <w:rFonts w:hint="eastAsia" w:ascii="仿宋_GB2312" w:hAnsi="仿宋_GB2312" w:eastAsia="仿宋_GB2312"/>
          <w:sz w:val="32"/>
          <w:szCs w:val="32"/>
          <w:lang w:val="en-US" w:eastAsia="zh-CN"/>
        </w:rPr>
        <w:t>沙珠玉乡属于共和县中部光电资源、风电资源、干热岩资源富集区，</w:t>
      </w:r>
      <w:r>
        <w:rPr>
          <w:rFonts w:hint="eastAsia" w:ascii="仿宋_GB2312" w:hAnsi="仿宋_GB2312"/>
          <w:szCs w:val="32"/>
          <w:lang w:val="en-US" w:eastAsia="zh-CN"/>
        </w:rPr>
        <w:t>适宜</w:t>
      </w:r>
      <w:r>
        <w:rPr>
          <w:rFonts w:hint="eastAsia" w:ascii="仿宋_GB2312" w:hAnsi="仿宋_GB2312"/>
          <w:szCs w:val="32"/>
        </w:rPr>
        <w:t>在沙漠、戈壁、荒漠等区域发展大规模新能源</w:t>
      </w:r>
      <w:r>
        <w:rPr>
          <w:rFonts w:hint="eastAsia" w:ascii="仿宋_GB2312" w:hAnsi="仿宋_GB2312"/>
          <w:sz w:val="32"/>
          <w:szCs w:val="32"/>
          <w:lang w:val="en-US" w:eastAsia="zh-CN"/>
        </w:rPr>
        <w:t>，</w:t>
      </w:r>
      <w:r>
        <w:rPr>
          <w:rFonts w:hint="eastAsia" w:ascii="仿宋_GB2312" w:hAnsi="仿宋_GB2312" w:eastAsia="仿宋_GB2312"/>
          <w:sz w:val="32"/>
          <w:szCs w:val="32"/>
        </w:rPr>
        <w:t>推动节能减碳</w:t>
      </w:r>
      <w:r>
        <w:rPr>
          <w:rFonts w:hint="eastAsia" w:ascii="仿宋_GB2312" w:hAnsi="仿宋_GB2312"/>
          <w:sz w:val="32"/>
          <w:szCs w:val="32"/>
          <w:lang w:eastAsia="zh-CN"/>
        </w:rPr>
        <w:t>，</w:t>
      </w:r>
      <w:r>
        <w:rPr>
          <w:rFonts w:hint="eastAsia" w:ascii="仿宋_GB2312" w:hAnsi="仿宋_GB2312"/>
          <w:sz w:val="32"/>
          <w:szCs w:val="32"/>
          <w:lang w:val="en-US" w:eastAsia="zh-CN"/>
        </w:rPr>
        <w:t>积极</w:t>
      </w:r>
      <w:r>
        <w:rPr>
          <w:rFonts w:hint="eastAsia" w:ascii="仿宋_GB2312" w:hAnsi="仿宋_GB2312" w:eastAsia="仿宋_GB2312"/>
          <w:sz w:val="32"/>
          <w:szCs w:val="32"/>
          <w:lang w:val="en-US" w:eastAsia="zh-CN"/>
        </w:rPr>
        <w:t>探索光伏治沙，加强生态治理和水土保持</w:t>
      </w:r>
      <w:r>
        <w:rPr>
          <w:rFonts w:hint="eastAsia" w:ascii="仿宋_GB2312" w:hAnsi="仿宋_GB2312"/>
          <w:sz w:val="32"/>
          <w:szCs w:val="32"/>
          <w:lang w:eastAsia="zh-CN"/>
        </w:rPr>
        <w:t>。</w:t>
      </w:r>
    </w:p>
    <w:p w14:paraId="03B0418D">
      <w:pPr>
        <w:pStyle w:val="11"/>
        <w:ind w:firstLine="640"/>
        <w:rPr>
          <w:rFonts w:hint="eastAsia" w:ascii="楷体_GB2312" w:hAnsi="楷体_GB2312" w:eastAsia="楷体_GB2312" w:cs="楷体_GB2312"/>
          <w:szCs w:val="32"/>
          <w:lang w:val="en-US" w:eastAsia="zh-CN"/>
        </w:rPr>
      </w:pPr>
      <w:r>
        <w:rPr>
          <w:rFonts w:hint="eastAsia" w:ascii="楷体_GB2312" w:hAnsi="楷体_GB2312" w:eastAsia="楷体_GB2312" w:cs="楷体_GB2312"/>
          <w:szCs w:val="32"/>
          <w:lang w:val="en-US" w:eastAsia="zh-CN"/>
        </w:rPr>
        <w:t>发展农牧产品贸易仓储的商旅型小镇。</w:t>
      </w:r>
      <w:r>
        <w:rPr>
          <w:rFonts w:hint="eastAsia" w:ascii="仿宋_GB2312" w:hAnsi="仿宋_GB2312" w:cs="仿宋_GB2312"/>
          <w:lang w:val="en-US" w:eastAsia="zh-CN"/>
        </w:rPr>
        <w:t>打造生态农牧产品加工贸易集散中心，发展</w:t>
      </w:r>
      <w:r>
        <w:rPr>
          <w:rFonts w:hint="eastAsia"/>
          <w:bCs/>
        </w:rPr>
        <w:t>以农牧生产服务、高原牧业观光及体验旅游为支撑的服务业，</w:t>
      </w:r>
      <w:r>
        <w:rPr>
          <w:rFonts w:hint="eastAsia" w:ascii="仿宋_GB2312" w:hAnsi="仿宋_GB2312" w:cs="仿宋_GB2312"/>
          <w:lang w:val="en-US" w:eastAsia="zh-CN"/>
        </w:rPr>
        <w:t>发展治沙精神红色旅游、沙漠绿洲观光旅游等乡村文化旅游。</w:t>
      </w:r>
    </w:p>
    <w:p w14:paraId="10B787A4">
      <w:pPr>
        <w:pStyle w:val="11"/>
        <w:ind w:firstLine="640"/>
        <w:rPr>
          <w:rFonts w:hint="eastAsia" w:ascii="仿宋_GB2312" w:hAnsi="仿宋_GB2312" w:cs="仿宋_GB2312"/>
          <w:lang w:val="en-US" w:eastAsia="zh-CN"/>
        </w:rPr>
      </w:pPr>
      <w:r>
        <w:rPr>
          <w:rFonts w:hint="eastAsia" w:ascii="楷体_GB2312" w:hAnsi="楷体_GB2312" w:eastAsia="楷体_GB2312" w:cs="楷体_GB2312"/>
          <w:szCs w:val="32"/>
          <w:lang w:val="en-US" w:eastAsia="zh-CN"/>
        </w:rPr>
        <w:t>共和县中部农牧基地型城镇。</w:t>
      </w:r>
      <w:bookmarkStart w:id="22" w:name="_Hlk136295245"/>
      <w:r>
        <w:rPr>
          <w:rFonts w:hint="eastAsia"/>
          <w:bCs/>
        </w:rPr>
        <w:t>夯实以耕地、草地为主的农业空间，提质增效，适当</w:t>
      </w:r>
      <w:bookmarkEnd w:id="22"/>
      <w:r>
        <w:rPr>
          <w:rFonts w:hint="eastAsia"/>
          <w:bCs/>
        </w:rPr>
        <w:t>发展以绿色有机产品生产为支撑的农牧业</w:t>
      </w:r>
      <w:r>
        <w:rPr>
          <w:rFonts w:hint="eastAsia"/>
          <w:bCs/>
          <w:lang w:eastAsia="zh-CN"/>
        </w:rPr>
        <w:t>，</w:t>
      </w:r>
      <w:r>
        <w:rPr>
          <w:rFonts w:hint="eastAsia" w:ascii="仿宋_GB2312" w:hAnsi="仿宋_GB2312" w:cs="仿宋_GB2312"/>
          <w:lang w:val="en-US" w:eastAsia="zh-CN"/>
        </w:rPr>
        <w:t>逐渐发展成为共和县中部粮食种植、特色种植养殖基地。</w:t>
      </w:r>
    </w:p>
    <w:p w14:paraId="2DBD6B26">
      <w:pPr>
        <w:pStyle w:val="6"/>
        <w:keepNext/>
        <w:keepLines/>
        <w:pageBreakBefore w:val="0"/>
        <w:widowControl w:val="0"/>
        <w:numPr>
          <w:ilvl w:val="1"/>
          <w:numId w:val="5"/>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23" w:name="_Toc11751"/>
      <w:r>
        <w:rPr>
          <w:rFonts w:hint="eastAsia" w:ascii="Arial" w:hAnsi="Arial" w:eastAsia="黑体" w:cs="Times New Roman"/>
          <w:b w:val="0"/>
          <w:lang w:val="zh-CN"/>
        </w:rPr>
        <w:t>开发保护目标与战略</w:t>
      </w:r>
      <w:bookmarkEnd w:id="23"/>
    </w:p>
    <w:p w14:paraId="78465473">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国土空间开发保护目标</w:t>
      </w:r>
    </w:p>
    <w:p w14:paraId="5E5C98AF">
      <w:pPr>
        <w:pStyle w:val="11"/>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2035年，围绕二〇三五年社会经济发展远景目标，强化空间保护与发展支撑，充分保障社会经济发展总体目标实现的空间基础，全面落实生态文明建设和高质量发展的要求。夯实</w:t>
      </w:r>
      <w:r>
        <w:rPr>
          <w:rFonts w:hint="eastAsia" w:ascii="仿宋_GB2312" w:hAnsi="仿宋_GB2312" w:cs="仿宋_GB2312"/>
          <w:szCs w:val="32"/>
          <w:lang w:eastAsia="zh-CN"/>
        </w:rPr>
        <w:t>沙珠玉乡</w:t>
      </w:r>
      <w:r>
        <w:rPr>
          <w:rFonts w:hint="eastAsia" w:ascii="仿宋_GB2312" w:hAnsi="仿宋_GB2312" w:eastAsia="仿宋_GB2312" w:cs="仿宋_GB2312"/>
          <w:szCs w:val="32"/>
        </w:rPr>
        <w:t>重要生态屏障地位，优化山水林田湖草沙的镇域空间格局，科学配置国土空间资源，强化国土空间底线管控，提升资源利用效率，加强全域全要素用途管制与自然资源统一管理，提升城乡空间品质，推进国土空间治理现代化，全面实施国土空间监测预警和绩效考核机制，形成以国土空间规划为基础，以统一用途管制为手段的国土空间开发保护制度。</w:t>
      </w:r>
    </w:p>
    <w:p w14:paraId="7FAB3E3F">
      <w:pPr>
        <w:pStyle w:val="11"/>
        <w:ind w:firstLine="640"/>
        <w:rPr>
          <w:rFonts w:hint="eastAsia" w:ascii="仿宋_GB2312" w:hAnsi="仿宋_GB2312" w:eastAsia="仿宋_GB2312" w:cs="仿宋_GB2312"/>
          <w:szCs w:val="32"/>
          <w:lang w:val="en-US" w:eastAsia="zh-CN"/>
        </w:rPr>
      </w:pPr>
      <w:r>
        <w:rPr>
          <w:rFonts w:hint="eastAsia" w:ascii="楷体_GB2312" w:hAnsi="楷体_GB2312" w:eastAsia="楷体_GB2312" w:cs="楷体_GB2312"/>
          <w:szCs w:val="32"/>
          <w:lang w:val="en-US" w:eastAsia="zh-CN"/>
        </w:rPr>
        <w:t>国土空间保护水平大幅提高。</w:t>
      </w:r>
      <w:r>
        <w:rPr>
          <w:rFonts w:hint="eastAsia" w:ascii="仿宋_GB2312" w:hAnsi="仿宋_GB2312" w:eastAsia="仿宋_GB2312" w:cs="仿宋_GB2312"/>
          <w:szCs w:val="32"/>
          <w:lang w:val="en-US" w:eastAsia="zh-CN"/>
        </w:rPr>
        <w:t xml:space="preserve">耕地和永久基本农田保护红线得到严格落实，生态脆弱和退化严重区域得到有效治理，生态系统更加稳固，生态功能大幅提升，生态环境持续向好，生态安全屏障得到有效保障。 </w:t>
      </w:r>
    </w:p>
    <w:p w14:paraId="637A3D74">
      <w:pPr>
        <w:pStyle w:val="11"/>
        <w:ind w:firstLine="640"/>
        <w:rPr>
          <w:rFonts w:hint="eastAsia" w:ascii="仿宋_GB2312" w:hAnsi="仿宋_GB2312" w:eastAsia="仿宋_GB2312" w:cs="仿宋_GB2312"/>
          <w:szCs w:val="32"/>
          <w:lang w:val="en-US" w:eastAsia="zh-CN"/>
        </w:rPr>
      </w:pPr>
      <w:r>
        <w:rPr>
          <w:rFonts w:hint="eastAsia" w:ascii="楷体_GB2312" w:hAnsi="楷体_GB2312" w:eastAsia="楷体_GB2312" w:cs="楷体_GB2312"/>
          <w:szCs w:val="32"/>
          <w:lang w:val="en-US" w:eastAsia="zh-CN"/>
        </w:rPr>
        <w:t>国土空间开发效率显著提升。</w:t>
      </w:r>
      <w:r>
        <w:rPr>
          <w:rFonts w:hint="eastAsia" w:ascii="仿宋_GB2312" w:hAnsi="仿宋_GB2312" w:eastAsia="仿宋_GB2312" w:cs="仿宋_GB2312"/>
          <w:szCs w:val="32"/>
          <w:lang w:val="en-US" w:eastAsia="zh-CN"/>
        </w:rPr>
        <w:t>乡村空间集约高效，集镇建设成效显著，有力辐射、服务周边村庄。自然资源利用效率大幅提升</w:t>
      </w:r>
      <w:r>
        <w:rPr>
          <w:rFonts w:hint="eastAsia" w:ascii="仿宋_GB2312" w:hAnsi="仿宋_GB2312" w:cs="仿宋_GB2312"/>
          <w:szCs w:val="32"/>
          <w:lang w:val="en-US" w:eastAsia="zh-CN"/>
        </w:rPr>
        <w:t>，</w:t>
      </w:r>
      <w:r>
        <w:rPr>
          <w:rFonts w:hint="eastAsia" w:ascii="仿宋_GB2312" w:hAnsi="仿宋_GB2312" w:eastAsia="仿宋_GB2312" w:cs="仿宋_GB2312"/>
          <w:szCs w:val="32"/>
          <w:lang w:val="en-US" w:eastAsia="zh-CN"/>
        </w:rPr>
        <w:t>公共服务设施布局明显优化</w:t>
      </w:r>
      <w:r>
        <w:rPr>
          <w:rFonts w:hint="eastAsia" w:ascii="仿宋_GB2312" w:hAnsi="仿宋_GB2312" w:cs="仿宋_GB2312"/>
          <w:szCs w:val="32"/>
          <w:lang w:val="en-US" w:eastAsia="zh-CN"/>
        </w:rPr>
        <w:t>，</w:t>
      </w:r>
      <w:r>
        <w:rPr>
          <w:rFonts w:hint="eastAsia" w:ascii="仿宋_GB2312" w:hAnsi="仿宋_GB2312" w:eastAsia="仿宋_GB2312" w:cs="仿宋_GB2312"/>
          <w:szCs w:val="32"/>
          <w:lang w:val="en-US" w:eastAsia="zh-CN"/>
        </w:rPr>
        <w:t>生产生活方式绿色转型成效显著，国土空间开发更加集约高效。</w:t>
      </w:r>
    </w:p>
    <w:p w14:paraId="3CA0DC06">
      <w:pPr>
        <w:pStyle w:val="11"/>
        <w:ind w:firstLine="640"/>
        <w:rPr>
          <w:rFonts w:hint="eastAsia" w:ascii="仿宋_GB2312" w:hAnsi="仿宋_GB2312" w:eastAsia="仿宋_GB2312" w:cs="仿宋_GB2312"/>
          <w:szCs w:val="32"/>
          <w:lang w:val="en-US" w:eastAsia="zh-CN"/>
        </w:rPr>
      </w:pPr>
      <w:r>
        <w:rPr>
          <w:rFonts w:hint="eastAsia" w:ascii="楷体_GB2312" w:hAnsi="楷体_GB2312" w:eastAsia="楷体_GB2312" w:cs="楷体_GB2312"/>
          <w:szCs w:val="32"/>
          <w:lang w:val="en-US" w:eastAsia="zh-CN"/>
        </w:rPr>
        <w:t>国土空间支撑能力稳步增强。</w:t>
      </w:r>
      <w:r>
        <w:rPr>
          <w:rFonts w:hint="eastAsia" w:ascii="仿宋_GB2312" w:hAnsi="仿宋_GB2312" w:eastAsia="仿宋_GB2312" w:cs="仿宋_GB2312"/>
          <w:szCs w:val="32"/>
          <w:lang w:val="en-US" w:eastAsia="zh-CN"/>
        </w:rPr>
        <w:t>综合交通网络逐渐完善，对外联通能力和开放度全面增强，与周边乡镇联系更加紧密。水利、能源、防灾减灾等基础设施体系建设得到有力保障</w:t>
      </w:r>
      <w:r>
        <w:rPr>
          <w:rFonts w:hint="eastAsia" w:ascii="仿宋_GB2312" w:hAnsi="仿宋_GB2312" w:cs="仿宋_GB2312"/>
          <w:szCs w:val="32"/>
          <w:lang w:val="en-US" w:eastAsia="zh-CN"/>
        </w:rPr>
        <w:t>，</w:t>
      </w:r>
      <w:r>
        <w:rPr>
          <w:rFonts w:hint="eastAsia" w:ascii="仿宋_GB2312" w:hAnsi="仿宋_GB2312" w:eastAsia="仿宋_GB2312" w:cs="仿宋_GB2312"/>
          <w:szCs w:val="32"/>
          <w:lang w:val="en-US" w:eastAsia="zh-CN"/>
        </w:rPr>
        <w:t xml:space="preserve">应对各类灾害的风险防范能力明显提升。 </w:t>
      </w:r>
    </w:p>
    <w:p w14:paraId="5E1D969E">
      <w:pPr>
        <w:pStyle w:val="11"/>
        <w:ind w:firstLine="640"/>
        <w:rPr>
          <w:rFonts w:hint="default" w:ascii="仿宋_GB2312" w:hAnsi="仿宋_GB2312" w:eastAsia="仿宋_GB2312" w:cs="仿宋_GB2312"/>
          <w:szCs w:val="32"/>
          <w:lang w:val="en-US" w:eastAsia="zh-CN"/>
        </w:rPr>
      </w:pPr>
      <w:r>
        <w:rPr>
          <w:rFonts w:hint="eastAsia" w:ascii="楷体_GB2312" w:hAnsi="楷体_GB2312" w:eastAsia="楷体_GB2312" w:cs="楷体_GB2312"/>
          <w:szCs w:val="32"/>
          <w:lang w:val="en-US" w:eastAsia="zh-CN"/>
        </w:rPr>
        <w:t>国土空间品质持续提高。</w:t>
      </w:r>
      <w:r>
        <w:rPr>
          <w:rFonts w:hint="eastAsia" w:ascii="仿宋_GB2312" w:hAnsi="仿宋_GB2312" w:eastAsia="仿宋_GB2312" w:cs="仿宋_GB2312"/>
          <w:szCs w:val="32"/>
          <w:lang w:val="en-US" w:eastAsia="zh-CN"/>
        </w:rPr>
        <w:t>乡村社区生活圈基本形成，人居环境品质得到全面增强，乡村振兴战略取得实质性进展。历史文化遗产得到有效保护传承，凸显沙珠玉乡治沙精神特色及生态绿洲魅力景象。</w:t>
      </w:r>
      <w:r>
        <w:rPr>
          <w:rFonts w:hint="eastAsia" w:ascii="仿宋_GB2312" w:hAnsi="仿宋_GB2312" w:cs="仿宋_GB2312"/>
          <w:szCs w:val="32"/>
          <w:lang w:val="en-US" w:eastAsia="zh-CN"/>
        </w:rPr>
        <w:t>详见附表1。</w:t>
      </w:r>
    </w:p>
    <w:p w14:paraId="0E71160B">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国土空间开发保护战略</w:t>
      </w:r>
    </w:p>
    <w:p w14:paraId="4FFB1858">
      <w:pPr>
        <w:pStyle w:val="11"/>
        <w:ind w:firstLine="640" w:firstLineChars="200"/>
        <w:rPr>
          <w:rFonts w:hint="eastAsia"/>
        </w:rPr>
      </w:pPr>
      <w:r>
        <w:rPr>
          <w:rFonts w:hint="eastAsia" w:ascii="楷体_GB2312" w:hAnsi="楷体_GB2312" w:eastAsia="楷体_GB2312" w:cs="楷体_GB2312"/>
          <w:szCs w:val="32"/>
        </w:rPr>
        <w:t>生态优先战略。</w:t>
      </w:r>
      <w:r>
        <w:rPr>
          <w:rFonts w:hint="eastAsia"/>
        </w:rPr>
        <w:t>巩固沙珠玉乡生态基底，严格落实永久基本农田保护红线，</w:t>
      </w:r>
      <w:r>
        <w:rPr>
          <w:rFonts w:hint="eastAsia" w:ascii="仿宋_GB2312" w:hAnsi="仿宋_GB2312" w:eastAsia="仿宋_GB2312" w:cs="仿宋_GB2312"/>
          <w:szCs w:val="32"/>
        </w:rPr>
        <w:t>基于资源环境承载能</w:t>
      </w:r>
      <w:r>
        <w:rPr>
          <w:rFonts w:hint="eastAsia" w:ascii="仿宋_GB2312" w:hAnsi="仿宋_GB2312" w:cs="仿宋_GB2312"/>
          <w:szCs w:val="32"/>
          <w:lang w:val="en-US" w:eastAsia="zh-CN"/>
        </w:rPr>
        <w:t>力</w:t>
      </w:r>
      <w:r>
        <w:rPr>
          <w:rFonts w:hint="eastAsia" w:ascii="仿宋_GB2312" w:hAnsi="仿宋_GB2312" w:eastAsia="仿宋_GB2312" w:cs="仿宋_GB2312"/>
          <w:szCs w:val="32"/>
        </w:rPr>
        <w:t>和国</w:t>
      </w:r>
      <w:r>
        <w:rPr>
          <w:rFonts w:hint="eastAsia" w:ascii="仿宋_GB2312" w:hAnsi="仿宋_GB2312" w:cs="仿宋_GB2312"/>
          <w:szCs w:val="32"/>
          <w:lang w:val="en-US" w:eastAsia="zh-CN"/>
        </w:rPr>
        <w:t>土</w:t>
      </w:r>
      <w:r>
        <w:rPr>
          <w:rFonts w:hint="eastAsia" w:ascii="仿宋_GB2312" w:hAnsi="仿宋_GB2312" w:eastAsia="仿宋_GB2312" w:cs="仿宋_GB2312"/>
          <w:szCs w:val="32"/>
        </w:rPr>
        <w:t>空间开发适宜性评价及国家生态屏障构建需求</w:t>
      </w:r>
      <w:r>
        <w:rPr>
          <w:rFonts w:hint="eastAsia" w:ascii="仿宋_GB2312" w:hAnsi="仿宋_GB2312" w:cs="仿宋_GB2312"/>
          <w:szCs w:val="32"/>
          <w:lang w:eastAsia="zh-CN"/>
        </w:rPr>
        <w:t>，</w:t>
      </w:r>
      <w:r>
        <w:rPr>
          <w:rFonts w:hint="eastAsia"/>
        </w:rPr>
        <w:t>加快推进生态空间的保育、修复和拓展，构筑共和县生态安全屏障，提供可持续发展生态本底支撑。</w:t>
      </w:r>
    </w:p>
    <w:p w14:paraId="1283AE19">
      <w:pPr>
        <w:pStyle w:val="11"/>
        <w:ind w:firstLine="640"/>
        <w:rPr>
          <w:rFonts w:hint="eastAsia" w:eastAsia="仿宋_GB2312" w:asciiTheme="minorHAnsi" w:hAnsiTheme="minorHAnsi" w:cstheme="minorBidi"/>
          <w:kern w:val="2"/>
          <w:sz w:val="32"/>
          <w:szCs w:val="22"/>
          <w:lang w:val="en-US" w:eastAsia="zh-CN" w:bidi="ar-SA"/>
        </w:rPr>
      </w:pPr>
      <w:r>
        <w:rPr>
          <w:rFonts w:hint="eastAsia" w:ascii="楷体_GB2312" w:hAnsi="楷体_GB2312" w:eastAsia="楷体_GB2312" w:cs="楷体_GB2312"/>
          <w:szCs w:val="32"/>
        </w:rPr>
        <w:t>绿色</w:t>
      </w:r>
      <w:r>
        <w:rPr>
          <w:rFonts w:hint="eastAsia" w:ascii="楷体_GB2312" w:hAnsi="楷体_GB2312" w:eastAsia="楷体_GB2312" w:cs="楷体_GB2312"/>
          <w:szCs w:val="32"/>
          <w:lang w:val="en-US" w:eastAsia="zh-CN"/>
        </w:rPr>
        <w:t>高效</w:t>
      </w:r>
      <w:r>
        <w:rPr>
          <w:rFonts w:hint="eastAsia" w:ascii="楷体_GB2312" w:hAnsi="楷体_GB2312" w:eastAsia="楷体_GB2312" w:cs="楷体_GB2312"/>
          <w:szCs w:val="32"/>
        </w:rPr>
        <w:t>战略</w:t>
      </w:r>
      <w:r>
        <w:rPr>
          <w:rFonts w:hint="eastAsia" w:ascii="楷体_GB2312" w:hAnsi="楷体_GB2312" w:eastAsia="楷体_GB2312" w:cs="楷体_GB2312"/>
        </w:rPr>
        <w:t>。</w:t>
      </w:r>
      <w:bookmarkStart w:id="24" w:name="_Hlk148270212"/>
      <w:r>
        <w:rPr>
          <w:rFonts w:hint="eastAsia" w:eastAsia="仿宋_GB2312" w:asciiTheme="minorHAnsi" w:hAnsiTheme="minorHAnsi" w:cstheme="minorBidi"/>
          <w:kern w:val="2"/>
          <w:sz w:val="32"/>
          <w:szCs w:val="22"/>
          <w:lang w:val="en-US" w:eastAsia="zh-CN" w:bidi="ar-SA"/>
        </w:rPr>
        <w:t>促进资源集约节约利用，塑造可持续的乡村人居环境，引导乡政府驻地空间高效利用。重点培育产业发展载体，延伸产业链条，融合产业类型，着力构建集约高效、绿色循环和具有竞争力的乡村产业体系，提高城乡产业空间土地利用效率。</w:t>
      </w:r>
    </w:p>
    <w:bookmarkEnd w:id="24"/>
    <w:p w14:paraId="65A0A498">
      <w:pPr>
        <w:pStyle w:val="11"/>
        <w:ind w:firstLine="640" w:firstLineChars="200"/>
        <w:rPr>
          <w:rFonts w:hint="eastAsia"/>
        </w:rPr>
      </w:pPr>
      <w:r>
        <w:rPr>
          <w:rFonts w:hint="eastAsia" w:ascii="楷体_GB2312" w:hAnsi="楷体_GB2312" w:eastAsia="楷体_GB2312" w:cs="楷体_GB2312"/>
          <w:szCs w:val="32"/>
        </w:rPr>
        <w:t>宜居共享战略。</w:t>
      </w:r>
      <w:bookmarkStart w:id="25" w:name="_Hlk148270232"/>
      <w:r>
        <w:rPr>
          <w:rFonts w:hint="eastAsia"/>
        </w:rPr>
        <w:t>提升乡政府驻地承载能力，优化空间格局，提升高水平公共服务设施建设。围绕满足人民群众对美好生活的向往，</w:t>
      </w:r>
      <w:r>
        <w:rPr>
          <w:rFonts w:hint="eastAsia"/>
          <w:lang w:val="en-US" w:eastAsia="zh-CN"/>
        </w:rPr>
        <w:t>完善</w:t>
      </w:r>
      <w:r>
        <w:rPr>
          <w:rFonts w:hint="eastAsia"/>
        </w:rPr>
        <w:t>公共服务、基础设施</w:t>
      </w:r>
      <w:r>
        <w:rPr>
          <w:rFonts w:hint="eastAsia"/>
          <w:lang w:val="en-US" w:eastAsia="zh-CN"/>
        </w:rPr>
        <w:t>共享</w:t>
      </w:r>
      <w:r>
        <w:rPr>
          <w:rFonts w:hint="eastAsia"/>
        </w:rPr>
        <w:t>网络，建设</w:t>
      </w:r>
      <w:r>
        <w:rPr>
          <w:rFonts w:hint="eastAsia"/>
          <w:lang w:val="en-US" w:eastAsia="zh-CN"/>
        </w:rPr>
        <w:t>乡村宜居</w:t>
      </w:r>
      <w:r>
        <w:rPr>
          <w:rFonts w:hint="eastAsia"/>
        </w:rPr>
        <w:t>生活圈。加快提升沙珠玉乡能级，加强区域影响力</w:t>
      </w:r>
      <w:r>
        <w:rPr>
          <w:rFonts w:hint="eastAsia"/>
          <w:lang w:eastAsia="zh-CN"/>
        </w:rPr>
        <w:t>，</w:t>
      </w:r>
      <w:r>
        <w:rPr>
          <w:rFonts w:hint="eastAsia"/>
        </w:rPr>
        <w:t>促进人口、用地、产业、资金等各类要素向</w:t>
      </w:r>
      <w:r>
        <w:rPr>
          <w:rFonts w:hint="eastAsia"/>
          <w:lang w:val="en-US" w:eastAsia="zh-CN"/>
        </w:rPr>
        <w:t>集镇集聚</w:t>
      </w:r>
      <w:r>
        <w:rPr>
          <w:rFonts w:hint="eastAsia"/>
        </w:rPr>
        <w:t>。</w:t>
      </w:r>
    </w:p>
    <w:bookmarkEnd w:id="25"/>
    <w:p w14:paraId="23EDEE51">
      <w:pPr>
        <w:pStyle w:val="11"/>
        <w:ind w:firstLine="640" w:firstLineChars="200"/>
        <w:rPr>
          <w:rFonts w:hint="eastAsia"/>
          <w:lang w:val="en-US" w:eastAsia="zh-CN"/>
        </w:rPr>
      </w:pPr>
      <w:r>
        <w:rPr>
          <w:rFonts w:hint="eastAsia" w:ascii="楷体_GB2312" w:hAnsi="楷体_GB2312" w:eastAsia="楷体_GB2312" w:cs="楷体_GB2312"/>
          <w:szCs w:val="32"/>
        </w:rPr>
        <w:t>魅力彰显战略</w:t>
      </w:r>
      <w:r>
        <w:rPr>
          <w:rFonts w:hint="eastAsia" w:ascii="楷体_GB2312" w:hAnsi="楷体_GB2312" w:eastAsia="楷体_GB2312" w:cs="楷体_GB2312"/>
        </w:rPr>
        <w:t>。</w:t>
      </w:r>
      <w:r>
        <w:rPr>
          <w:rFonts w:hint="eastAsia"/>
          <w:lang w:val="en-US" w:eastAsia="zh-CN"/>
        </w:rPr>
        <w:t>深入挖掘沙珠玉乡历史文化资源，提取治沙相关文化元素，保护特色、塑造独有风貌。立足青海省级防沙治沙示范样板，塑造生态绿洲休闲区和人文魅力廊道，建设高品质集镇生活街区，推进高原美丽乡村建设与农牧区旅游发展。</w:t>
      </w:r>
    </w:p>
    <w:tbl>
      <w:tblPr>
        <w:tblStyle w:val="18"/>
        <w:tblW w:w="811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80"/>
        <w:gridCol w:w="1748"/>
        <w:gridCol w:w="967"/>
        <w:gridCol w:w="1080"/>
        <w:gridCol w:w="1080"/>
        <w:gridCol w:w="1080"/>
        <w:gridCol w:w="1080"/>
      </w:tblGrid>
      <w:tr w14:paraId="0613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8115" w:type="dxa"/>
            <w:gridSpan w:val="7"/>
            <w:shd w:val="clear" w:color="auto" w:fill="auto"/>
            <w:vAlign w:val="center"/>
          </w:tcPr>
          <w:p w14:paraId="57436DF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default" w:ascii="仿宋_GB2312" w:hAnsi="仿宋_GB2312" w:eastAsia="仿宋_GB2312" w:cs="仿宋_GB2312"/>
                <w:b/>
                <w:bCs/>
                <w:kern w:val="0"/>
                <w:sz w:val="21"/>
                <w:szCs w:val="21"/>
                <w:lang w:val="en-US" w:eastAsia="zh-CN"/>
              </w:rPr>
            </w:pPr>
            <w:r>
              <w:rPr>
                <w:rFonts w:hint="eastAsia" w:ascii="黑体" w:hAnsi="宋体" w:eastAsia="黑体" w:cs="黑体"/>
                <w:sz w:val="30"/>
                <w:szCs w:val="30"/>
                <w:lang w:val="en-US" w:eastAsia="zh-CN" w:bidi="ar"/>
              </w:rPr>
              <w:t>专栏2</w:t>
            </w:r>
            <w:r>
              <w:rPr>
                <w:rFonts w:hint="eastAsia" w:ascii="黑体" w:hAnsi="黑体" w:eastAsia="黑体" w:cs="Times New Roman"/>
                <w:sz w:val="30"/>
                <w:szCs w:val="30"/>
                <w:lang w:val="en-US" w:eastAsia="zh-CN"/>
              </w:rPr>
              <w:t>国土空间开发保护主要指标</w:t>
            </w:r>
          </w:p>
        </w:tc>
      </w:tr>
      <w:tr w14:paraId="1692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auto" w:fill="auto"/>
            <w:vAlign w:val="center"/>
          </w:tcPr>
          <w:p w14:paraId="1D7D775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序号</w:t>
            </w:r>
          </w:p>
        </w:tc>
        <w:tc>
          <w:tcPr>
            <w:tcW w:w="1748" w:type="dxa"/>
            <w:vMerge w:val="restart"/>
            <w:shd w:val="clear" w:color="auto" w:fill="auto"/>
            <w:vAlign w:val="center"/>
          </w:tcPr>
          <w:p w14:paraId="2006EEE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指标项（单位）</w:t>
            </w:r>
          </w:p>
        </w:tc>
        <w:tc>
          <w:tcPr>
            <w:tcW w:w="967" w:type="dxa"/>
            <w:vMerge w:val="restart"/>
            <w:shd w:val="clear" w:color="auto" w:fill="auto"/>
            <w:vAlign w:val="center"/>
          </w:tcPr>
          <w:p w14:paraId="70A6D6E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基期值2020年</w:t>
            </w:r>
          </w:p>
        </w:tc>
        <w:tc>
          <w:tcPr>
            <w:tcW w:w="2160" w:type="dxa"/>
            <w:gridSpan w:val="2"/>
            <w:shd w:val="clear" w:color="auto" w:fill="auto"/>
            <w:vAlign w:val="center"/>
          </w:tcPr>
          <w:p w14:paraId="22A1C5A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目标值</w:t>
            </w:r>
          </w:p>
        </w:tc>
        <w:tc>
          <w:tcPr>
            <w:tcW w:w="1080" w:type="dxa"/>
            <w:vMerge w:val="restart"/>
            <w:shd w:val="clear" w:color="auto" w:fill="auto"/>
            <w:vAlign w:val="center"/>
          </w:tcPr>
          <w:p w14:paraId="4D42426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指标属性</w:t>
            </w:r>
          </w:p>
        </w:tc>
        <w:tc>
          <w:tcPr>
            <w:tcW w:w="1080" w:type="dxa"/>
            <w:vMerge w:val="restart"/>
            <w:shd w:val="clear" w:color="auto" w:fill="auto"/>
            <w:vAlign w:val="center"/>
          </w:tcPr>
          <w:p w14:paraId="49C3189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指标层级</w:t>
            </w:r>
          </w:p>
        </w:tc>
      </w:tr>
      <w:tr w14:paraId="5A6F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080" w:type="dxa"/>
            <w:vMerge w:val="continue"/>
            <w:shd w:val="clear" w:color="auto" w:fill="auto"/>
            <w:vAlign w:val="center"/>
          </w:tcPr>
          <w:p w14:paraId="3B6558C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p>
        </w:tc>
        <w:tc>
          <w:tcPr>
            <w:tcW w:w="1748" w:type="dxa"/>
            <w:vMerge w:val="continue"/>
            <w:shd w:val="clear" w:color="auto" w:fill="auto"/>
            <w:vAlign w:val="center"/>
          </w:tcPr>
          <w:p w14:paraId="1465175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p>
        </w:tc>
        <w:tc>
          <w:tcPr>
            <w:tcW w:w="967" w:type="dxa"/>
            <w:vMerge w:val="continue"/>
            <w:shd w:val="clear" w:color="auto" w:fill="auto"/>
            <w:vAlign w:val="center"/>
          </w:tcPr>
          <w:p w14:paraId="4D2269F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p>
        </w:tc>
        <w:tc>
          <w:tcPr>
            <w:tcW w:w="1080" w:type="dxa"/>
            <w:shd w:val="clear" w:color="auto" w:fill="auto"/>
            <w:vAlign w:val="center"/>
          </w:tcPr>
          <w:p w14:paraId="2CB5891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2025年</w:t>
            </w:r>
          </w:p>
        </w:tc>
        <w:tc>
          <w:tcPr>
            <w:tcW w:w="1080" w:type="dxa"/>
            <w:shd w:val="clear" w:color="auto" w:fill="auto"/>
            <w:vAlign w:val="center"/>
          </w:tcPr>
          <w:p w14:paraId="0D0694A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2035年</w:t>
            </w:r>
          </w:p>
        </w:tc>
        <w:tc>
          <w:tcPr>
            <w:tcW w:w="1080" w:type="dxa"/>
            <w:vMerge w:val="continue"/>
            <w:shd w:val="clear" w:color="auto" w:fill="auto"/>
            <w:vAlign w:val="center"/>
          </w:tcPr>
          <w:p w14:paraId="4E23703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p>
        </w:tc>
        <w:tc>
          <w:tcPr>
            <w:tcW w:w="1080" w:type="dxa"/>
            <w:vMerge w:val="continue"/>
            <w:shd w:val="clear" w:color="auto" w:fill="auto"/>
            <w:vAlign w:val="center"/>
          </w:tcPr>
          <w:p w14:paraId="4F0C92B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p>
        </w:tc>
      </w:tr>
      <w:tr w14:paraId="2964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5" w:type="dxa"/>
            <w:gridSpan w:val="7"/>
            <w:shd w:val="clear" w:color="auto" w:fill="auto"/>
            <w:vAlign w:val="center"/>
          </w:tcPr>
          <w:p w14:paraId="7E9F7D0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一、空间底线</w:t>
            </w:r>
          </w:p>
        </w:tc>
      </w:tr>
      <w:tr w14:paraId="3472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1080" w:type="dxa"/>
            <w:shd w:val="clear" w:color="auto" w:fill="auto"/>
            <w:vAlign w:val="center"/>
          </w:tcPr>
          <w:p w14:paraId="63C9E44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1</w:t>
            </w:r>
          </w:p>
        </w:tc>
        <w:tc>
          <w:tcPr>
            <w:tcW w:w="1748" w:type="dxa"/>
            <w:shd w:val="clear" w:color="auto" w:fill="auto"/>
            <w:vAlign w:val="center"/>
          </w:tcPr>
          <w:p w14:paraId="7541F5F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用水总量（亿立方米）</w:t>
            </w:r>
          </w:p>
        </w:tc>
        <w:tc>
          <w:tcPr>
            <w:tcW w:w="967" w:type="dxa"/>
            <w:shd w:val="clear" w:color="auto" w:fill="auto"/>
            <w:vAlign w:val="center"/>
          </w:tcPr>
          <w:p w14:paraId="11C2DA9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w:t>
            </w:r>
          </w:p>
        </w:tc>
        <w:tc>
          <w:tcPr>
            <w:tcW w:w="1080" w:type="dxa"/>
            <w:shd w:val="clear" w:color="auto" w:fill="auto"/>
            <w:vAlign w:val="center"/>
          </w:tcPr>
          <w:p w14:paraId="530E1B2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依据上级下达指标确定</w:t>
            </w:r>
          </w:p>
        </w:tc>
        <w:tc>
          <w:tcPr>
            <w:tcW w:w="1080" w:type="dxa"/>
            <w:shd w:val="clear" w:color="auto" w:fill="auto"/>
            <w:vAlign w:val="center"/>
          </w:tcPr>
          <w:p w14:paraId="03B57DF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依据上级下达指标确定</w:t>
            </w:r>
          </w:p>
        </w:tc>
        <w:tc>
          <w:tcPr>
            <w:tcW w:w="1080" w:type="dxa"/>
            <w:shd w:val="clear" w:color="auto" w:fill="auto"/>
            <w:vAlign w:val="center"/>
          </w:tcPr>
          <w:p w14:paraId="36A0FC9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约束性</w:t>
            </w:r>
          </w:p>
        </w:tc>
        <w:tc>
          <w:tcPr>
            <w:tcW w:w="1080" w:type="dxa"/>
            <w:shd w:val="clear" w:color="auto" w:fill="auto"/>
            <w:vAlign w:val="center"/>
          </w:tcPr>
          <w:p w14:paraId="2EF5EFD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全域</w:t>
            </w:r>
          </w:p>
        </w:tc>
      </w:tr>
      <w:tr w14:paraId="6E0F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80" w:type="dxa"/>
            <w:shd w:val="clear" w:color="auto" w:fill="auto"/>
            <w:vAlign w:val="center"/>
          </w:tcPr>
          <w:p w14:paraId="7548155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2</w:t>
            </w:r>
          </w:p>
        </w:tc>
        <w:tc>
          <w:tcPr>
            <w:tcW w:w="1748" w:type="dxa"/>
            <w:shd w:val="clear" w:color="auto" w:fill="auto"/>
            <w:vAlign w:val="center"/>
          </w:tcPr>
          <w:p w14:paraId="750675A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永久基本农田保护面积（万亩）</w:t>
            </w:r>
          </w:p>
        </w:tc>
        <w:tc>
          <w:tcPr>
            <w:tcW w:w="967" w:type="dxa"/>
            <w:shd w:val="clear" w:color="auto" w:fill="auto"/>
            <w:vAlign w:val="center"/>
          </w:tcPr>
          <w:p w14:paraId="1DFEE0D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rPr>
              <w:t>2.4771</w:t>
            </w:r>
          </w:p>
        </w:tc>
        <w:tc>
          <w:tcPr>
            <w:tcW w:w="1080" w:type="dxa"/>
            <w:shd w:val="clear" w:color="auto" w:fill="auto"/>
            <w:vAlign w:val="center"/>
          </w:tcPr>
          <w:p w14:paraId="24CFADA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rPr>
              <w:t>2.4771</w:t>
            </w:r>
          </w:p>
        </w:tc>
        <w:tc>
          <w:tcPr>
            <w:tcW w:w="1080" w:type="dxa"/>
            <w:shd w:val="clear" w:color="auto" w:fill="auto"/>
            <w:vAlign w:val="center"/>
          </w:tcPr>
          <w:p w14:paraId="2B77279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rPr>
              <w:t>2.4771</w:t>
            </w:r>
          </w:p>
        </w:tc>
        <w:tc>
          <w:tcPr>
            <w:tcW w:w="1080" w:type="dxa"/>
            <w:shd w:val="clear" w:color="auto" w:fill="auto"/>
            <w:vAlign w:val="center"/>
          </w:tcPr>
          <w:p w14:paraId="095C048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约束性</w:t>
            </w:r>
          </w:p>
        </w:tc>
        <w:tc>
          <w:tcPr>
            <w:tcW w:w="1080" w:type="dxa"/>
            <w:shd w:val="clear" w:color="auto" w:fill="auto"/>
            <w:vAlign w:val="center"/>
          </w:tcPr>
          <w:p w14:paraId="285482A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全域</w:t>
            </w:r>
          </w:p>
        </w:tc>
      </w:tr>
      <w:tr w14:paraId="71A5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80" w:type="dxa"/>
            <w:shd w:val="clear" w:color="auto" w:fill="auto"/>
            <w:vAlign w:val="center"/>
          </w:tcPr>
          <w:p w14:paraId="76B2FAA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3</w:t>
            </w:r>
          </w:p>
        </w:tc>
        <w:tc>
          <w:tcPr>
            <w:tcW w:w="1748" w:type="dxa"/>
            <w:shd w:val="clear" w:color="auto" w:fill="auto"/>
            <w:vAlign w:val="center"/>
          </w:tcPr>
          <w:p w14:paraId="37D9EBE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耕地保有量（万亩）</w:t>
            </w:r>
          </w:p>
        </w:tc>
        <w:tc>
          <w:tcPr>
            <w:tcW w:w="967" w:type="dxa"/>
            <w:shd w:val="clear" w:color="auto" w:fill="auto"/>
            <w:vAlign w:val="center"/>
          </w:tcPr>
          <w:p w14:paraId="1CACEBF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Times New Roman"/>
                <w:kern w:val="2"/>
                <w:sz w:val="24"/>
                <w:szCs w:val="24"/>
                <w:lang w:val="en-US" w:eastAsia="zh-CN" w:bidi="ar-SA"/>
              </w:rPr>
              <w:t>2.6262</w:t>
            </w:r>
          </w:p>
        </w:tc>
        <w:tc>
          <w:tcPr>
            <w:tcW w:w="1080" w:type="dxa"/>
            <w:shd w:val="clear" w:color="auto" w:fill="auto"/>
            <w:vAlign w:val="center"/>
          </w:tcPr>
          <w:p w14:paraId="23EA92B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rPr>
              <w:t>2.6065</w:t>
            </w:r>
          </w:p>
        </w:tc>
        <w:tc>
          <w:tcPr>
            <w:tcW w:w="1080" w:type="dxa"/>
            <w:shd w:val="clear" w:color="auto" w:fill="auto"/>
            <w:vAlign w:val="center"/>
          </w:tcPr>
          <w:p w14:paraId="4EB10EC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rPr>
              <w:t>2.6065</w:t>
            </w:r>
          </w:p>
        </w:tc>
        <w:tc>
          <w:tcPr>
            <w:tcW w:w="1080" w:type="dxa"/>
            <w:shd w:val="clear" w:color="auto" w:fill="auto"/>
            <w:vAlign w:val="center"/>
          </w:tcPr>
          <w:p w14:paraId="6DD31EA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约束性</w:t>
            </w:r>
          </w:p>
        </w:tc>
        <w:tc>
          <w:tcPr>
            <w:tcW w:w="1080" w:type="dxa"/>
            <w:shd w:val="clear" w:color="auto" w:fill="auto"/>
            <w:vAlign w:val="center"/>
          </w:tcPr>
          <w:p w14:paraId="2D1684F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全域</w:t>
            </w:r>
          </w:p>
        </w:tc>
      </w:tr>
      <w:tr w14:paraId="34BBE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trPr>
        <w:tc>
          <w:tcPr>
            <w:tcW w:w="1080" w:type="dxa"/>
            <w:shd w:val="clear" w:color="auto" w:fill="auto"/>
            <w:vAlign w:val="center"/>
          </w:tcPr>
          <w:p w14:paraId="08CF48AD">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4</w:t>
            </w:r>
          </w:p>
        </w:tc>
        <w:tc>
          <w:tcPr>
            <w:tcW w:w="1748" w:type="dxa"/>
            <w:shd w:val="clear" w:color="auto" w:fill="auto"/>
            <w:vAlign w:val="center"/>
          </w:tcPr>
          <w:p w14:paraId="0AB00FA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镇（乡）村建设用地面积（公顷）</w:t>
            </w:r>
          </w:p>
        </w:tc>
        <w:tc>
          <w:tcPr>
            <w:tcW w:w="967" w:type="dxa"/>
            <w:shd w:val="clear" w:color="auto" w:fill="auto"/>
            <w:vAlign w:val="center"/>
          </w:tcPr>
          <w:p w14:paraId="5ACDB68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295.44</w:t>
            </w:r>
          </w:p>
        </w:tc>
        <w:tc>
          <w:tcPr>
            <w:tcW w:w="1080" w:type="dxa"/>
            <w:shd w:val="clear" w:color="auto" w:fill="auto"/>
            <w:vAlign w:val="center"/>
          </w:tcPr>
          <w:p w14:paraId="18427D6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295.44</w:t>
            </w:r>
          </w:p>
        </w:tc>
        <w:tc>
          <w:tcPr>
            <w:tcW w:w="1080" w:type="dxa"/>
            <w:shd w:val="clear" w:color="auto" w:fill="auto"/>
            <w:vAlign w:val="center"/>
          </w:tcPr>
          <w:p w14:paraId="4830119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295.44</w:t>
            </w:r>
          </w:p>
        </w:tc>
        <w:tc>
          <w:tcPr>
            <w:tcW w:w="1080" w:type="dxa"/>
            <w:shd w:val="clear" w:color="auto" w:fill="auto"/>
            <w:vAlign w:val="center"/>
          </w:tcPr>
          <w:p w14:paraId="743AF2D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约束性</w:t>
            </w:r>
          </w:p>
        </w:tc>
        <w:tc>
          <w:tcPr>
            <w:tcW w:w="1080" w:type="dxa"/>
            <w:shd w:val="clear" w:color="auto" w:fill="auto"/>
            <w:vAlign w:val="center"/>
          </w:tcPr>
          <w:p w14:paraId="7574DBF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全域</w:t>
            </w:r>
          </w:p>
        </w:tc>
      </w:tr>
      <w:tr w14:paraId="2D3E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80" w:type="dxa"/>
            <w:shd w:val="clear" w:color="auto" w:fill="auto"/>
            <w:vAlign w:val="center"/>
          </w:tcPr>
          <w:p w14:paraId="15FAA9E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5</w:t>
            </w:r>
          </w:p>
        </w:tc>
        <w:tc>
          <w:tcPr>
            <w:tcW w:w="1748" w:type="dxa"/>
            <w:shd w:val="clear" w:color="auto" w:fill="auto"/>
            <w:vAlign w:val="center"/>
          </w:tcPr>
          <w:p w14:paraId="09B2268D">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森林覆盖率（%）</w:t>
            </w:r>
          </w:p>
        </w:tc>
        <w:tc>
          <w:tcPr>
            <w:tcW w:w="967" w:type="dxa"/>
            <w:shd w:val="clear" w:color="auto" w:fill="auto"/>
            <w:vAlign w:val="center"/>
          </w:tcPr>
          <w:p w14:paraId="3E748CE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4.57</w:t>
            </w:r>
          </w:p>
        </w:tc>
        <w:tc>
          <w:tcPr>
            <w:tcW w:w="1080" w:type="dxa"/>
            <w:shd w:val="clear" w:color="auto" w:fill="auto"/>
            <w:vAlign w:val="center"/>
          </w:tcPr>
          <w:p w14:paraId="049DB80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≥4.58</w:t>
            </w:r>
          </w:p>
        </w:tc>
        <w:tc>
          <w:tcPr>
            <w:tcW w:w="1080" w:type="dxa"/>
            <w:shd w:val="clear" w:color="auto" w:fill="auto"/>
            <w:vAlign w:val="center"/>
          </w:tcPr>
          <w:p w14:paraId="72E3FCC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≥4.64</w:t>
            </w:r>
          </w:p>
        </w:tc>
        <w:tc>
          <w:tcPr>
            <w:tcW w:w="1080" w:type="dxa"/>
            <w:shd w:val="clear" w:color="auto" w:fill="auto"/>
            <w:vAlign w:val="center"/>
          </w:tcPr>
          <w:p w14:paraId="44B4E16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预期性</w:t>
            </w:r>
          </w:p>
        </w:tc>
        <w:tc>
          <w:tcPr>
            <w:tcW w:w="1080" w:type="dxa"/>
            <w:shd w:val="clear" w:color="auto" w:fill="auto"/>
            <w:vAlign w:val="center"/>
          </w:tcPr>
          <w:p w14:paraId="6F1F05C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全域</w:t>
            </w:r>
          </w:p>
        </w:tc>
      </w:tr>
      <w:tr w14:paraId="25A7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80" w:type="dxa"/>
            <w:shd w:val="clear" w:color="auto" w:fill="auto"/>
            <w:vAlign w:val="center"/>
          </w:tcPr>
          <w:p w14:paraId="32AF96C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6</w:t>
            </w:r>
          </w:p>
        </w:tc>
        <w:tc>
          <w:tcPr>
            <w:tcW w:w="1748" w:type="dxa"/>
            <w:shd w:val="clear" w:color="auto" w:fill="auto"/>
            <w:vAlign w:val="center"/>
          </w:tcPr>
          <w:p w14:paraId="0BBE9A1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自然和文化遗产（处）</w:t>
            </w:r>
          </w:p>
        </w:tc>
        <w:tc>
          <w:tcPr>
            <w:tcW w:w="967" w:type="dxa"/>
            <w:shd w:val="clear" w:color="auto" w:fill="auto"/>
            <w:vAlign w:val="center"/>
          </w:tcPr>
          <w:p w14:paraId="6D3C802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25</w:t>
            </w:r>
          </w:p>
        </w:tc>
        <w:tc>
          <w:tcPr>
            <w:tcW w:w="1080" w:type="dxa"/>
            <w:shd w:val="clear" w:color="auto" w:fill="auto"/>
            <w:vAlign w:val="center"/>
          </w:tcPr>
          <w:p w14:paraId="6D5EB9D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25</w:t>
            </w:r>
          </w:p>
        </w:tc>
        <w:tc>
          <w:tcPr>
            <w:tcW w:w="1080" w:type="dxa"/>
            <w:shd w:val="clear" w:color="auto" w:fill="auto"/>
            <w:vAlign w:val="center"/>
          </w:tcPr>
          <w:p w14:paraId="56579FA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25</w:t>
            </w:r>
          </w:p>
        </w:tc>
        <w:tc>
          <w:tcPr>
            <w:tcW w:w="1080" w:type="dxa"/>
            <w:shd w:val="clear" w:color="auto" w:fill="auto"/>
            <w:vAlign w:val="center"/>
          </w:tcPr>
          <w:p w14:paraId="6B92E44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预期性</w:t>
            </w:r>
          </w:p>
        </w:tc>
        <w:tc>
          <w:tcPr>
            <w:tcW w:w="1080" w:type="dxa"/>
            <w:shd w:val="clear" w:color="auto" w:fill="auto"/>
            <w:vAlign w:val="center"/>
          </w:tcPr>
          <w:p w14:paraId="7388F87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全域</w:t>
            </w:r>
          </w:p>
        </w:tc>
      </w:tr>
      <w:tr w14:paraId="675C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5" w:type="dxa"/>
            <w:gridSpan w:val="7"/>
            <w:shd w:val="clear" w:color="auto" w:fill="auto"/>
            <w:vAlign w:val="center"/>
          </w:tcPr>
          <w:p w14:paraId="16A8FB6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二、空间结构与效率</w:t>
            </w:r>
          </w:p>
        </w:tc>
      </w:tr>
      <w:tr w14:paraId="4604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80" w:type="dxa"/>
            <w:shd w:val="clear" w:color="auto" w:fill="auto"/>
            <w:vAlign w:val="center"/>
          </w:tcPr>
          <w:p w14:paraId="570E6B7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7</w:t>
            </w:r>
          </w:p>
        </w:tc>
        <w:tc>
          <w:tcPr>
            <w:tcW w:w="1748" w:type="dxa"/>
            <w:shd w:val="clear" w:color="auto" w:fill="auto"/>
            <w:vAlign w:val="center"/>
          </w:tcPr>
          <w:p w14:paraId="30ED8B7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人均村庄建设用地面积（平方米）</w:t>
            </w:r>
          </w:p>
        </w:tc>
        <w:tc>
          <w:tcPr>
            <w:tcW w:w="967" w:type="dxa"/>
            <w:shd w:val="clear" w:color="auto" w:fill="auto"/>
            <w:vAlign w:val="center"/>
          </w:tcPr>
          <w:p w14:paraId="3B81B34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403.44</w:t>
            </w:r>
          </w:p>
        </w:tc>
        <w:tc>
          <w:tcPr>
            <w:tcW w:w="1080" w:type="dxa"/>
            <w:shd w:val="clear" w:color="auto" w:fill="auto"/>
            <w:vAlign w:val="center"/>
          </w:tcPr>
          <w:p w14:paraId="4DCE6D4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390.58</w:t>
            </w:r>
          </w:p>
        </w:tc>
        <w:tc>
          <w:tcPr>
            <w:tcW w:w="1080" w:type="dxa"/>
            <w:shd w:val="clear" w:color="auto" w:fill="auto"/>
            <w:vAlign w:val="center"/>
          </w:tcPr>
          <w:p w14:paraId="1DF0CE1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366.09</w:t>
            </w:r>
          </w:p>
        </w:tc>
        <w:tc>
          <w:tcPr>
            <w:tcW w:w="1080" w:type="dxa"/>
            <w:shd w:val="clear" w:color="auto" w:fill="auto"/>
            <w:vAlign w:val="center"/>
          </w:tcPr>
          <w:p w14:paraId="1068A00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预期性</w:t>
            </w:r>
          </w:p>
        </w:tc>
        <w:tc>
          <w:tcPr>
            <w:tcW w:w="1080" w:type="dxa"/>
            <w:shd w:val="clear" w:color="auto" w:fill="auto"/>
            <w:vAlign w:val="center"/>
          </w:tcPr>
          <w:p w14:paraId="1A48EF8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全域</w:t>
            </w:r>
          </w:p>
        </w:tc>
      </w:tr>
      <w:tr w14:paraId="5ED3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80" w:type="dxa"/>
            <w:shd w:val="clear" w:color="auto" w:fill="auto"/>
            <w:vAlign w:val="center"/>
          </w:tcPr>
          <w:p w14:paraId="33542BA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8</w:t>
            </w:r>
          </w:p>
        </w:tc>
        <w:tc>
          <w:tcPr>
            <w:tcW w:w="1748" w:type="dxa"/>
            <w:shd w:val="clear" w:color="auto" w:fill="auto"/>
            <w:vAlign w:val="center"/>
          </w:tcPr>
          <w:p w14:paraId="014A1FC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人均应急避难场所面积（平方米）</w:t>
            </w:r>
          </w:p>
        </w:tc>
        <w:tc>
          <w:tcPr>
            <w:tcW w:w="967" w:type="dxa"/>
            <w:shd w:val="clear" w:color="auto" w:fill="auto"/>
            <w:vAlign w:val="center"/>
          </w:tcPr>
          <w:p w14:paraId="2D896F6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1.1</w:t>
            </w:r>
          </w:p>
        </w:tc>
        <w:tc>
          <w:tcPr>
            <w:tcW w:w="1080" w:type="dxa"/>
            <w:shd w:val="clear" w:color="auto" w:fill="auto"/>
            <w:vAlign w:val="center"/>
          </w:tcPr>
          <w:p w14:paraId="16144CF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≥1.5</w:t>
            </w:r>
          </w:p>
        </w:tc>
        <w:tc>
          <w:tcPr>
            <w:tcW w:w="1080" w:type="dxa"/>
            <w:shd w:val="clear" w:color="auto" w:fill="auto"/>
            <w:vAlign w:val="center"/>
          </w:tcPr>
          <w:p w14:paraId="080D6E0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≥2.0</w:t>
            </w:r>
          </w:p>
        </w:tc>
        <w:tc>
          <w:tcPr>
            <w:tcW w:w="1080" w:type="dxa"/>
            <w:shd w:val="clear" w:color="auto" w:fill="auto"/>
            <w:vAlign w:val="center"/>
          </w:tcPr>
          <w:p w14:paraId="4FED0B0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预期性</w:t>
            </w:r>
          </w:p>
        </w:tc>
        <w:tc>
          <w:tcPr>
            <w:tcW w:w="1080" w:type="dxa"/>
            <w:shd w:val="clear" w:color="auto" w:fill="auto"/>
            <w:vAlign w:val="center"/>
          </w:tcPr>
          <w:p w14:paraId="59B7423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乡驻地</w:t>
            </w:r>
          </w:p>
        </w:tc>
      </w:tr>
      <w:tr w14:paraId="6CAB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80" w:type="dxa"/>
            <w:shd w:val="clear" w:color="auto" w:fill="auto"/>
            <w:vAlign w:val="center"/>
          </w:tcPr>
          <w:p w14:paraId="0FBF188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9</w:t>
            </w:r>
          </w:p>
        </w:tc>
        <w:tc>
          <w:tcPr>
            <w:tcW w:w="1748" w:type="dxa"/>
            <w:shd w:val="clear" w:color="auto" w:fill="auto"/>
            <w:vAlign w:val="center"/>
          </w:tcPr>
          <w:p w14:paraId="58C408AD">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道路网密度（千米/平方千米）</w:t>
            </w:r>
          </w:p>
        </w:tc>
        <w:tc>
          <w:tcPr>
            <w:tcW w:w="967" w:type="dxa"/>
            <w:shd w:val="clear" w:color="auto" w:fill="auto"/>
            <w:vAlign w:val="center"/>
          </w:tcPr>
          <w:p w14:paraId="2A41A6B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10.6</w:t>
            </w:r>
          </w:p>
        </w:tc>
        <w:tc>
          <w:tcPr>
            <w:tcW w:w="1080" w:type="dxa"/>
            <w:shd w:val="clear" w:color="auto" w:fill="auto"/>
            <w:vAlign w:val="center"/>
          </w:tcPr>
          <w:p w14:paraId="60C03AA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12.4</w:t>
            </w:r>
          </w:p>
        </w:tc>
        <w:tc>
          <w:tcPr>
            <w:tcW w:w="1080" w:type="dxa"/>
            <w:shd w:val="clear" w:color="auto" w:fill="auto"/>
            <w:vAlign w:val="center"/>
          </w:tcPr>
          <w:p w14:paraId="58DBBB0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15.9</w:t>
            </w:r>
          </w:p>
        </w:tc>
        <w:tc>
          <w:tcPr>
            <w:tcW w:w="1080" w:type="dxa"/>
            <w:shd w:val="clear" w:color="auto" w:fill="auto"/>
            <w:vAlign w:val="center"/>
          </w:tcPr>
          <w:p w14:paraId="031A479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约束性</w:t>
            </w:r>
          </w:p>
        </w:tc>
        <w:tc>
          <w:tcPr>
            <w:tcW w:w="1080" w:type="dxa"/>
            <w:shd w:val="clear" w:color="auto" w:fill="auto"/>
            <w:vAlign w:val="center"/>
          </w:tcPr>
          <w:p w14:paraId="31BEF78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乡驻地</w:t>
            </w:r>
          </w:p>
        </w:tc>
      </w:tr>
      <w:tr w14:paraId="17C3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1080" w:type="dxa"/>
            <w:shd w:val="clear" w:color="auto" w:fill="auto"/>
            <w:vAlign w:val="center"/>
          </w:tcPr>
          <w:p w14:paraId="525B381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10</w:t>
            </w:r>
          </w:p>
        </w:tc>
        <w:tc>
          <w:tcPr>
            <w:tcW w:w="1748" w:type="dxa"/>
            <w:shd w:val="clear" w:color="auto" w:fill="auto"/>
            <w:vAlign w:val="center"/>
          </w:tcPr>
          <w:p w14:paraId="41B8F66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国土开发强度（%）</w:t>
            </w:r>
          </w:p>
        </w:tc>
        <w:tc>
          <w:tcPr>
            <w:tcW w:w="967" w:type="dxa"/>
            <w:shd w:val="clear" w:color="auto" w:fill="auto"/>
            <w:vAlign w:val="center"/>
          </w:tcPr>
          <w:p w14:paraId="5656115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0.65%</w:t>
            </w:r>
          </w:p>
        </w:tc>
        <w:tc>
          <w:tcPr>
            <w:tcW w:w="1080" w:type="dxa"/>
            <w:shd w:val="clear" w:color="auto" w:fill="auto"/>
            <w:vAlign w:val="center"/>
          </w:tcPr>
          <w:p w14:paraId="52FF00A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0.66%</w:t>
            </w:r>
          </w:p>
        </w:tc>
        <w:tc>
          <w:tcPr>
            <w:tcW w:w="1080" w:type="dxa"/>
            <w:shd w:val="clear" w:color="auto" w:fill="auto"/>
            <w:vAlign w:val="center"/>
          </w:tcPr>
          <w:p w14:paraId="0281B79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0.69%</w:t>
            </w:r>
          </w:p>
        </w:tc>
        <w:tc>
          <w:tcPr>
            <w:tcW w:w="1080" w:type="dxa"/>
            <w:shd w:val="clear" w:color="auto" w:fill="auto"/>
            <w:vAlign w:val="center"/>
          </w:tcPr>
          <w:p w14:paraId="2F084F4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预期性</w:t>
            </w:r>
          </w:p>
        </w:tc>
        <w:tc>
          <w:tcPr>
            <w:tcW w:w="1080" w:type="dxa"/>
            <w:shd w:val="clear" w:color="auto" w:fill="auto"/>
            <w:vAlign w:val="center"/>
          </w:tcPr>
          <w:p w14:paraId="1ED6BFA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全域</w:t>
            </w:r>
          </w:p>
        </w:tc>
      </w:tr>
      <w:tr w14:paraId="79E0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8115" w:type="dxa"/>
            <w:gridSpan w:val="7"/>
            <w:shd w:val="clear" w:color="auto" w:fill="auto"/>
            <w:vAlign w:val="center"/>
          </w:tcPr>
          <w:p w14:paraId="05A4E91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val="en-US" w:eastAsia="zh-CN"/>
              </w:rPr>
              <w:t>三、空间品质</w:t>
            </w:r>
          </w:p>
        </w:tc>
      </w:tr>
      <w:tr w14:paraId="03D8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80" w:type="dxa"/>
            <w:shd w:val="clear" w:color="auto" w:fill="auto"/>
            <w:vAlign w:val="center"/>
          </w:tcPr>
          <w:p w14:paraId="2832ACC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11</w:t>
            </w:r>
          </w:p>
        </w:tc>
        <w:tc>
          <w:tcPr>
            <w:tcW w:w="1748" w:type="dxa"/>
            <w:shd w:val="clear" w:color="auto" w:fill="auto"/>
            <w:vAlign w:val="center"/>
          </w:tcPr>
          <w:p w14:paraId="43D4E15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公园绿地、广场步行5分钟覆盖率（%）</w:t>
            </w:r>
          </w:p>
        </w:tc>
        <w:tc>
          <w:tcPr>
            <w:tcW w:w="967" w:type="dxa"/>
            <w:shd w:val="clear" w:color="auto" w:fill="auto"/>
            <w:vAlign w:val="center"/>
          </w:tcPr>
          <w:p w14:paraId="3804C81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80</w:t>
            </w:r>
          </w:p>
        </w:tc>
        <w:tc>
          <w:tcPr>
            <w:tcW w:w="1080" w:type="dxa"/>
            <w:shd w:val="clear" w:color="auto" w:fill="auto"/>
            <w:vAlign w:val="center"/>
          </w:tcPr>
          <w:p w14:paraId="58DD827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≥85</w:t>
            </w:r>
          </w:p>
        </w:tc>
        <w:tc>
          <w:tcPr>
            <w:tcW w:w="1080" w:type="dxa"/>
            <w:shd w:val="clear" w:color="auto" w:fill="auto"/>
            <w:vAlign w:val="center"/>
          </w:tcPr>
          <w:p w14:paraId="2FAE7F4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≥90</w:t>
            </w:r>
          </w:p>
        </w:tc>
        <w:tc>
          <w:tcPr>
            <w:tcW w:w="1080" w:type="dxa"/>
            <w:shd w:val="clear" w:color="auto" w:fill="auto"/>
            <w:vAlign w:val="center"/>
          </w:tcPr>
          <w:p w14:paraId="777217F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预期性</w:t>
            </w:r>
          </w:p>
        </w:tc>
        <w:tc>
          <w:tcPr>
            <w:tcW w:w="1080" w:type="dxa"/>
            <w:shd w:val="clear" w:color="auto" w:fill="auto"/>
            <w:vAlign w:val="center"/>
          </w:tcPr>
          <w:p w14:paraId="47E4721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乡驻地</w:t>
            </w:r>
          </w:p>
        </w:tc>
      </w:tr>
      <w:tr w14:paraId="320B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0" w:hRule="atLeast"/>
        </w:trPr>
        <w:tc>
          <w:tcPr>
            <w:tcW w:w="1080" w:type="dxa"/>
            <w:shd w:val="clear" w:color="auto" w:fill="auto"/>
            <w:vAlign w:val="center"/>
          </w:tcPr>
          <w:p w14:paraId="6009558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12</w:t>
            </w:r>
          </w:p>
        </w:tc>
        <w:tc>
          <w:tcPr>
            <w:tcW w:w="1748" w:type="dxa"/>
            <w:shd w:val="clear" w:color="auto" w:fill="auto"/>
            <w:vAlign w:val="center"/>
          </w:tcPr>
          <w:p w14:paraId="7169D34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卫生、养老、教育、文化、体育等社区公共服务设施15分钟覆盖率</w:t>
            </w:r>
          </w:p>
        </w:tc>
        <w:tc>
          <w:tcPr>
            <w:tcW w:w="967" w:type="dxa"/>
            <w:shd w:val="clear" w:color="auto" w:fill="auto"/>
            <w:vAlign w:val="center"/>
          </w:tcPr>
          <w:p w14:paraId="4AA209E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70</w:t>
            </w:r>
          </w:p>
        </w:tc>
        <w:tc>
          <w:tcPr>
            <w:tcW w:w="1080" w:type="dxa"/>
            <w:shd w:val="clear" w:color="auto" w:fill="auto"/>
            <w:vAlign w:val="center"/>
          </w:tcPr>
          <w:p w14:paraId="1050663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≥77</w:t>
            </w:r>
          </w:p>
        </w:tc>
        <w:tc>
          <w:tcPr>
            <w:tcW w:w="1080" w:type="dxa"/>
            <w:shd w:val="clear" w:color="auto" w:fill="auto"/>
            <w:vAlign w:val="center"/>
          </w:tcPr>
          <w:p w14:paraId="5A4AF75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≥90</w:t>
            </w:r>
          </w:p>
        </w:tc>
        <w:tc>
          <w:tcPr>
            <w:tcW w:w="1080" w:type="dxa"/>
            <w:shd w:val="clear" w:color="auto" w:fill="auto"/>
            <w:vAlign w:val="center"/>
          </w:tcPr>
          <w:p w14:paraId="1365B5C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预期性</w:t>
            </w:r>
          </w:p>
        </w:tc>
        <w:tc>
          <w:tcPr>
            <w:tcW w:w="1080" w:type="dxa"/>
            <w:shd w:val="clear" w:color="auto" w:fill="auto"/>
            <w:vAlign w:val="center"/>
          </w:tcPr>
          <w:p w14:paraId="6F67EE7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乡驻地</w:t>
            </w:r>
          </w:p>
        </w:tc>
      </w:tr>
      <w:tr w14:paraId="52AF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80" w:type="dxa"/>
            <w:shd w:val="clear" w:color="auto" w:fill="auto"/>
            <w:vAlign w:val="center"/>
          </w:tcPr>
          <w:p w14:paraId="73E3D8C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13</w:t>
            </w:r>
          </w:p>
        </w:tc>
        <w:tc>
          <w:tcPr>
            <w:tcW w:w="1748" w:type="dxa"/>
            <w:shd w:val="clear" w:color="auto" w:fill="auto"/>
            <w:vAlign w:val="center"/>
          </w:tcPr>
          <w:p w14:paraId="06CD6DE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乡镇污水处理率（%）</w:t>
            </w:r>
          </w:p>
        </w:tc>
        <w:tc>
          <w:tcPr>
            <w:tcW w:w="967" w:type="dxa"/>
            <w:shd w:val="clear" w:color="auto" w:fill="auto"/>
            <w:vAlign w:val="center"/>
          </w:tcPr>
          <w:p w14:paraId="4974A3B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30</w:t>
            </w:r>
          </w:p>
        </w:tc>
        <w:tc>
          <w:tcPr>
            <w:tcW w:w="1080" w:type="dxa"/>
            <w:shd w:val="clear" w:color="auto" w:fill="auto"/>
            <w:vAlign w:val="center"/>
          </w:tcPr>
          <w:p w14:paraId="7D9F67D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default" w:ascii="仿宋_GB2312" w:hAnsi="仿宋_GB2312" w:eastAsia="仿宋_GB2312" w:cs="仿宋_GB2312"/>
                <w:b w:val="0"/>
                <w:bCs w:val="0"/>
                <w:kern w:val="0"/>
                <w:sz w:val="21"/>
                <w:szCs w:val="21"/>
                <w:lang w:val="en-US"/>
              </w:rPr>
            </w:pPr>
            <w:r>
              <w:rPr>
                <w:rFonts w:hint="eastAsia" w:ascii="仿宋_GB2312" w:hAnsi="仿宋_GB2312" w:eastAsia="仿宋_GB2312" w:cs="仿宋_GB2312"/>
                <w:b w:val="0"/>
                <w:bCs w:val="0"/>
                <w:kern w:val="0"/>
                <w:sz w:val="21"/>
                <w:szCs w:val="21"/>
                <w:lang w:val="en-US" w:eastAsia="zh-CN"/>
              </w:rPr>
              <w:t>≥50</w:t>
            </w:r>
          </w:p>
        </w:tc>
        <w:tc>
          <w:tcPr>
            <w:tcW w:w="1080" w:type="dxa"/>
            <w:shd w:val="clear" w:color="auto" w:fill="auto"/>
            <w:vAlign w:val="center"/>
          </w:tcPr>
          <w:p w14:paraId="30394A8D">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default" w:ascii="仿宋_GB2312" w:hAnsi="仿宋_GB2312" w:eastAsia="仿宋_GB2312" w:cs="仿宋_GB2312"/>
                <w:b w:val="0"/>
                <w:bCs w:val="0"/>
                <w:kern w:val="0"/>
                <w:sz w:val="21"/>
                <w:szCs w:val="21"/>
                <w:lang w:val="en-US"/>
              </w:rPr>
            </w:pPr>
            <w:r>
              <w:rPr>
                <w:rFonts w:hint="eastAsia" w:ascii="仿宋_GB2312" w:hAnsi="仿宋_GB2312" w:eastAsia="仿宋_GB2312" w:cs="仿宋_GB2312"/>
                <w:b w:val="0"/>
                <w:bCs w:val="0"/>
                <w:kern w:val="0"/>
                <w:sz w:val="21"/>
                <w:szCs w:val="21"/>
                <w:lang w:val="en-US" w:eastAsia="zh-CN"/>
              </w:rPr>
              <w:t>≥90</w:t>
            </w:r>
          </w:p>
        </w:tc>
        <w:tc>
          <w:tcPr>
            <w:tcW w:w="1080" w:type="dxa"/>
            <w:shd w:val="clear" w:color="auto" w:fill="auto"/>
            <w:vAlign w:val="center"/>
          </w:tcPr>
          <w:p w14:paraId="774A44C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预期性</w:t>
            </w:r>
          </w:p>
        </w:tc>
        <w:tc>
          <w:tcPr>
            <w:tcW w:w="1080" w:type="dxa"/>
            <w:shd w:val="clear" w:color="auto" w:fill="auto"/>
            <w:vAlign w:val="center"/>
          </w:tcPr>
          <w:p w14:paraId="4B5EAF7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全域</w:t>
            </w:r>
          </w:p>
        </w:tc>
      </w:tr>
      <w:tr w14:paraId="4EE3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80" w:type="dxa"/>
            <w:shd w:val="clear" w:color="auto" w:fill="auto"/>
            <w:vAlign w:val="center"/>
          </w:tcPr>
          <w:p w14:paraId="662ABA5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14</w:t>
            </w:r>
          </w:p>
        </w:tc>
        <w:tc>
          <w:tcPr>
            <w:tcW w:w="1748" w:type="dxa"/>
            <w:shd w:val="clear" w:color="auto" w:fill="auto"/>
            <w:vAlign w:val="center"/>
          </w:tcPr>
          <w:p w14:paraId="428479E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乡镇生活垃圾处理率（%）</w:t>
            </w:r>
          </w:p>
        </w:tc>
        <w:tc>
          <w:tcPr>
            <w:tcW w:w="967" w:type="dxa"/>
            <w:shd w:val="clear" w:color="auto" w:fill="auto"/>
            <w:vAlign w:val="center"/>
          </w:tcPr>
          <w:p w14:paraId="78C80E4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75</w:t>
            </w:r>
          </w:p>
        </w:tc>
        <w:tc>
          <w:tcPr>
            <w:tcW w:w="1080" w:type="dxa"/>
            <w:shd w:val="clear" w:color="auto" w:fill="auto"/>
            <w:vAlign w:val="center"/>
          </w:tcPr>
          <w:p w14:paraId="07CF77C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≥80</w:t>
            </w:r>
          </w:p>
        </w:tc>
        <w:tc>
          <w:tcPr>
            <w:tcW w:w="1080" w:type="dxa"/>
            <w:shd w:val="clear" w:color="auto" w:fill="auto"/>
            <w:vAlign w:val="center"/>
          </w:tcPr>
          <w:p w14:paraId="137F6B1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≥90</w:t>
            </w:r>
          </w:p>
        </w:tc>
        <w:tc>
          <w:tcPr>
            <w:tcW w:w="1080" w:type="dxa"/>
            <w:shd w:val="clear" w:color="auto" w:fill="auto"/>
            <w:vAlign w:val="center"/>
          </w:tcPr>
          <w:p w14:paraId="1D19BE6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预期性</w:t>
            </w:r>
          </w:p>
        </w:tc>
        <w:tc>
          <w:tcPr>
            <w:tcW w:w="1080" w:type="dxa"/>
            <w:shd w:val="clear" w:color="auto" w:fill="auto"/>
            <w:vAlign w:val="center"/>
          </w:tcPr>
          <w:p w14:paraId="03E378D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仿宋_GB2312" w:hAnsi="仿宋_GB2312" w:eastAsia="仿宋_GB2312" w:cs="仿宋_GB2312"/>
                <w:b w:val="0"/>
                <w:bCs w:val="0"/>
                <w:kern w:val="0"/>
                <w:sz w:val="21"/>
                <w:szCs w:val="21"/>
              </w:rPr>
            </w:pPr>
            <w:r>
              <w:rPr>
                <w:rFonts w:hint="eastAsia" w:ascii="仿宋_GB2312" w:hAnsi="仿宋_GB2312" w:eastAsia="仿宋_GB2312" w:cs="仿宋_GB2312"/>
                <w:b w:val="0"/>
                <w:bCs w:val="0"/>
                <w:kern w:val="0"/>
                <w:sz w:val="21"/>
                <w:szCs w:val="21"/>
                <w:lang w:val="en-US" w:eastAsia="zh-CN"/>
              </w:rPr>
              <w:t>全域</w:t>
            </w:r>
          </w:p>
        </w:tc>
      </w:tr>
    </w:tbl>
    <w:p w14:paraId="319C6767">
      <w:pPr>
        <w:pStyle w:val="6"/>
        <w:keepNext/>
        <w:keepLines/>
        <w:pageBreakBefore w:val="0"/>
        <w:widowControl w:val="0"/>
        <w:numPr>
          <w:ilvl w:val="1"/>
          <w:numId w:val="5"/>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default" w:ascii="Arial" w:hAnsi="Arial" w:eastAsia="黑体" w:cs="Times New Roman"/>
          <w:b w:val="0"/>
          <w:lang w:val="en-US" w:eastAsia="zh-CN"/>
        </w:rPr>
      </w:pPr>
      <w:bookmarkStart w:id="26" w:name="_Toc20785"/>
      <w:bookmarkStart w:id="27" w:name="_Toc31957"/>
      <w:bookmarkStart w:id="28" w:name="_Toc6499"/>
      <w:r>
        <w:rPr>
          <w:rFonts w:hint="eastAsia" w:ascii="Arial" w:hAnsi="Arial" w:eastAsia="黑体" w:cs="Times New Roman"/>
          <w:b w:val="0"/>
          <w:lang w:val="en-US" w:eastAsia="zh-CN"/>
        </w:rPr>
        <w:t>区域协同</w:t>
      </w:r>
      <w:bookmarkEnd w:id="26"/>
      <w:bookmarkEnd w:id="27"/>
      <w:bookmarkEnd w:id="28"/>
    </w:p>
    <w:p w14:paraId="1A4FF43D">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衔接区域生态格局</w:t>
      </w:r>
    </w:p>
    <w:p w14:paraId="3CABD838">
      <w:pPr>
        <w:pStyle w:val="11"/>
        <w:ind w:firstLine="640" w:firstLineChars="200"/>
        <w:rPr>
          <w:rFonts w:hint="eastAsia"/>
          <w:lang w:val="en-US" w:eastAsia="zh-CN"/>
        </w:rPr>
      </w:pPr>
      <w:r>
        <w:rPr>
          <w:rFonts w:hint="eastAsia"/>
          <w:lang w:val="en-US" w:eastAsia="zh-CN"/>
        </w:rPr>
        <w:t>衔接共和县生态保护格局，</w:t>
      </w:r>
      <w:r>
        <w:rPr>
          <w:rFonts w:hint="eastAsia"/>
          <w:bCs/>
        </w:rPr>
        <w:t>全面保护青海湖流域和黄河流域水源涵养功能，筑牢生态安全屏障</w:t>
      </w:r>
      <w:r>
        <w:rPr>
          <w:rFonts w:hint="eastAsia"/>
          <w:lang w:val="en-US" w:eastAsia="zh-CN"/>
        </w:rPr>
        <w:t>。严格执行负面清单管理制度，推动流域保护，加强沙珠玉河流域和重要湿地生态保护修复，划定河湖岸线保护与利用控制带，严格控制沿河污染物排放，共同构建生态文化廊道：严格按照专项规划加强对山体、水体的保护，同时保护区域生态廊道，融入区域生态格局。</w:t>
      </w:r>
    </w:p>
    <w:p w14:paraId="7A4A5803">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协调周边融入区域交通体系</w:t>
      </w:r>
    </w:p>
    <w:p w14:paraId="682027F7">
      <w:pPr>
        <w:pStyle w:val="11"/>
        <w:ind w:firstLine="640" w:firstLineChars="200"/>
        <w:rPr>
          <w:rFonts w:hint="eastAsia"/>
          <w:lang w:val="en-US" w:eastAsia="zh-CN"/>
        </w:rPr>
      </w:pPr>
      <w:r>
        <w:rPr>
          <w:rFonts w:hint="eastAsia"/>
          <w:lang w:val="en-US" w:eastAsia="zh-CN"/>
        </w:rPr>
        <w:t>规划通过构建综合交通网络，积极融入县级区域交通一体化格局，联动区域资源，</w:t>
      </w:r>
      <w:r>
        <w:rPr>
          <w:rFonts w:hint="eastAsia"/>
        </w:rPr>
        <w:t>打造泛共和盆地乡政府驻地交通极核</w:t>
      </w:r>
      <w:r>
        <w:rPr>
          <w:rFonts w:hint="eastAsia"/>
          <w:lang w:val="en-US" w:eastAsia="zh-CN"/>
        </w:rPr>
        <w:t>。</w:t>
      </w:r>
    </w:p>
    <w:p w14:paraId="4624DC60">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参与区域产业协同</w:t>
      </w:r>
    </w:p>
    <w:p w14:paraId="09140AC9">
      <w:pPr>
        <w:pStyle w:val="11"/>
        <w:ind w:firstLine="640" w:firstLineChars="200"/>
        <w:rPr>
          <w:rFonts w:hint="default"/>
          <w:lang w:val="en-US" w:eastAsia="zh-CN"/>
        </w:rPr>
      </w:pPr>
      <w:r>
        <w:rPr>
          <w:rFonts w:hint="eastAsia"/>
          <w:lang w:val="en-US" w:eastAsia="zh-CN"/>
        </w:rPr>
        <w:t>依托主体功能区以及县级产业发展格局，按照“布局合理、特色鲜明、集约高效、生态环保”原则，优化乡镇功能布局，积极融入共和县</w:t>
      </w:r>
      <w:r>
        <w:rPr>
          <w:rFonts w:hint="eastAsia" w:ascii="仿宋_GB2312" w:hAnsi="仿宋_GB2312" w:eastAsia="仿宋_GB2312"/>
          <w:sz w:val="32"/>
          <w:szCs w:val="32"/>
        </w:rPr>
        <w:t>沿路产业经济带</w:t>
      </w:r>
      <w:r>
        <w:rPr>
          <w:rFonts w:hint="eastAsia" w:ascii="仿宋_GB2312" w:hAnsi="仿宋_GB2312"/>
          <w:sz w:val="32"/>
          <w:szCs w:val="32"/>
          <w:lang w:eastAsia="zh-CN"/>
        </w:rPr>
        <w:t>、</w:t>
      </w:r>
      <w:r>
        <w:rPr>
          <w:rFonts w:hint="eastAsia" w:ascii="仿宋_GB2312" w:hAnsi="仿宋_GB2312" w:eastAsia="仿宋_GB2312"/>
          <w:sz w:val="32"/>
          <w:szCs w:val="32"/>
        </w:rPr>
        <w:t>沿黄现代循环农牧业片区</w:t>
      </w:r>
      <w:r>
        <w:rPr>
          <w:rFonts w:hint="eastAsia" w:ascii="仿宋_GB2312" w:hAnsi="仿宋_GB2312"/>
          <w:sz w:val="32"/>
          <w:szCs w:val="32"/>
          <w:lang w:eastAsia="zh-CN"/>
        </w:rPr>
        <w:t>，</w:t>
      </w:r>
      <w:r>
        <w:rPr>
          <w:rFonts w:hint="eastAsia"/>
          <w:lang w:val="en-US" w:eastAsia="zh-CN"/>
        </w:rPr>
        <w:t>发展粮食种植、特色种植养殖，加快农产品贸易流通，推动新能源产业发展。</w:t>
      </w:r>
    </w:p>
    <w:p w14:paraId="190F1A2F">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共享区域市政设施</w:t>
      </w:r>
    </w:p>
    <w:p w14:paraId="0A127DB6">
      <w:pPr>
        <w:pStyle w:val="11"/>
        <w:ind w:firstLine="640" w:firstLineChars="200"/>
        <w:rPr>
          <w:rFonts w:hint="default"/>
          <w:lang w:val="en-US" w:eastAsia="zh-CN"/>
        </w:rPr>
      </w:pPr>
      <w:r>
        <w:rPr>
          <w:rFonts w:hint="eastAsia"/>
          <w:lang w:val="en-US" w:eastAsia="zh-CN"/>
        </w:rPr>
        <w:t>充分对接县域市政设施布局，通过区域市政设施共享尽量减少重复建设，同时减轻市政设施对周边居民的影响。电力线缆尽量多线路共用一处廊道或电缆沟以减少全域范围的电力廊道数量，避免廊道对城镇建设用地分割过多。</w:t>
      </w:r>
    </w:p>
    <w:p w14:paraId="37953D3A">
      <w:pPr>
        <w:rPr>
          <w:rFonts w:hint="eastAsia"/>
        </w:rPr>
      </w:pPr>
    </w:p>
    <w:p w14:paraId="082123B3">
      <w:pPr>
        <w:rPr>
          <w:rFonts w:hint="eastAsia" w:ascii="Times New Roman" w:hAnsi="Times New Roman" w:eastAsia="方正小标宋简体" w:cs="Times New Roman"/>
          <w:b w:val="0"/>
          <w:bCs w:val="0"/>
          <w:sz w:val="36"/>
          <w:szCs w:val="36"/>
        </w:rPr>
      </w:pPr>
      <w:r>
        <w:rPr>
          <w:rFonts w:hint="eastAsia" w:ascii="Times New Roman" w:hAnsi="Times New Roman" w:eastAsia="方正小标宋简体" w:cs="Times New Roman"/>
          <w:b w:val="0"/>
          <w:bCs w:val="0"/>
          <w:sz w:val="36"/>
          <w:szCs w:val="36"/>
        </w:rPr>
        <w:br w:type="page"/>
      </w:r>
    </w:p>
    <w:p w14:paraId="7467FF15">
      <w:pPr>
        <w:pStyle w:val="5"/>
        <w:keepNext/>
        <w:keepLines/>
        <w:pageBreakBefore w:val="0"/>
        <w:widowControl w:val="0"/>
        <w:numPr>
          <w:ilvl w:val="0"/>
          <w:numId w:val="2"/>
        </w:numPr>
        <w:kinsoku/>
        <w:wordWrap/>
        <w:overflowPunct/>
        <w:topLinePunct w:val="0"/>
        <w:autoSpaceDE/>
        <w:autoSpaceDN/>
        <w:bidi w:val="0"/>
        <w:adjustRightInd/>
        <w:snapToGrid/>
        <w:spacing w:before="313" w:beforeLines="100" w:after="313" w:afterLines="100" w:line="520" w:lineRule="exact"/>
        <w:ind w:left="0" w:leftChars="0" w:firstLine="0" w:firstLineChars="0"/>
        <w:jc w:val="center"/>
        <w:textAlignment w:val="auto"/>
        <w:rPr>
          <w:rFonts w:hint="eastAsia" w:ascii="Times New Roman" w:hAnsi="Times New Roman" w:eastAsia="方正小标宋简体" w:cs="Times New Roman"/>
          <w:b w:val="0"/>
          <w:bCs w:val="0"/>
          <w:sz w:val="36"/>
          <w:szCs w:val="36"/>
        </w:rPr>
      </w:pPr>
      <w:bookmarkStart w:id="29" w:name="_Toc28760"/>
      <w:r>
        <w:rPr>
          <w:rFonts w:hint="eastAsia" w:ascii="Times New Roman" w:hAnsi="Times New Roman" w:eastAsia="方正小标宋简体" w:cs="Times New Roman"/>
          <w:b w:val="0"/>
          <w:bCs w:val="0"/>
          <w:sz w:val="36"/>
          <w:szCs w:val="36"/>
        </w:rPr>
        <w:t>构建国土空间开发保护新格局</w:t>
      </w:r>
      <w:bookmarkEnd w:id="29"/>
    </w:p>
    <w:p w14:paraId="7D6BE194">
      <w:pPr>
        <w:pStyle w:val="6"/>
        <w:keepNext/>
        <w:keepLines/>
        <w:pageBreakBefore w:val="0"/>
        <w:widowControl w:val="0"/>
        <w:numPr>
          <w:ilvl w:val="1"/>
          <w:numId w:val="6"/>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30" w:name="_Toc28267"/>
      <w:r>
        <w:rPr>
          <w:rFonts w:hint="eastAsia" w:ascii="Arial" w:hAnsi="Arial" w:eastAsia="黑体" w:cs="Times New Roman"/>
          <w:b w:val="0"/>
          <w:lang w:val="en-US" w:eastAsia="zh-CN"/>
        </w:rPr>
        <w:t>底线约束</w:t>
      </w:r>
      <w:bookmarkEnd w:id="30"/>
    </w:p>
    <w:p w14:paraId="21731730">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严格</w:t>
      </w:r>
      <w:r>
        <w:rPr>
          <w:rFonts w:hint="eastAsia" w:ascii="楷体_GB2312" w:hAnsi="Times New Roman" w:eastAsia="楷体_GB2312" w:cs="Times New Roman"/>
          <w:bCs/>
          <w:sz w:val="32"/>
          <w:szCs w:val="32"/>
        </w:rPr>
        <w:t>落实耕地和永久基本农田保护目标</w:t>
      </w:r>
    </w:p>
    <w:p w14:paraId="0187DD56">
      <w:pPr>
        <w:pStyle w:val="11"/>
        <w:ind w:firstLine="640"/>
        <w:rPr>
          <w:rFonts w:hint="eastAsia" w:ascii="仿宋_GB2312" w:hAnsi="仿宋_GB2312" w:eastAsia="仿宋_GB2312" w:cs="仿宋_GB2312"/>
          <w:kern w:val="2"/>
          <w:sz w:val="32"/>
          <w:szCs w:val="32"/>
          <w:u w:val="single"/>
          <w:lang w:val="en-US" w:eastAsia="zh-CN" w:bidi="ar-SA"/>
        </w:rPr>
      </w:pPr>
      <w:r>
        <w:rPr>
          <w:rFonts w:hint="eastAsia" w:ascii="仿宋_GB2312" w:hAnsi="仿宋_GB2312" w:eastAsia="仿宋_GB2312" w:cs="仿宋_GB2312"/>
          <w:kern w:val="2"/>
          <w:sz w:val="32"/>
          <w:szCs w:val="32"/>
          <w:u w:val="single"/>
          <w:lang w:val="en-US" w:eastAsia="zh-CN" w:bidi="ar-SA"/>
        </w:rPr>
        <w:t>到2035年</w:t>
      </w:r>
      <w:r>
        <w:rPr>
          <w:rFonts w:hint="eastAsia" w:ascii="仿宋_GB2312" w:hAnsi="仿宋_GB2312" w:cs="仿宋_GB2312"/>
          <w:kern w:val="2"/>
          <w:sz w:val="32"/>
          <w:szCs w:val="32"/>
          <w:u w:val="single"/>
          <w:lang w:val="en-US" w:eastAsia="zh-CN" w:bidi="ar-SA"/>
        </w:rPr>
        <w:t>沙珠玉乡</w:t>
      </w:r>
      <w:r>
        <w:rPr>
          <w:rFonts w:hint="eastAsia" w:ascii="仿宋_GB2312" w:hAnsi="仿宋_GB2312" w:eastAsia="仿宋_GB2312" w:cs="仿宋_GB2312"/>
          <w:kern w:val="2"/>
          <w:sz w:val="32"/>
          <w:szCs w:val="32"/>
          <w:u w:val="single"/>
          <w:lang w:val="en-US" w:eastAsia="zh-CN" w:bidi="ar-SA"/>
        </w:rPr>
        <w:t>耕地保护任务不少于</w:t>
      </w:r>
      <w:r>
        <w:rPr>
          <w:rFonts w:hint="default" w:ascii="仿宋_GB2312" w:hAnsi="仿宋_GB2312" w:cs="仿宋_GB2312"/>
          <w:u w:val="single"/>
          <w:lang w:val="en-US" w:eastAsia="zh-CN"/>
        </w:rPr>
        <w:t>2.6065</w:t>
      </w:r>
      <w:r>
        <w:rPr>
          <w:rFonts w:hint="eastAsia" w:ascii="仿宋_GB2312" w:hAnsi="仿宋_GB2312" w:eastAsia="仿宋_GB2312" w:cs="仿宋_GB2312"/>
          <w:kern w:val="2"/>
          <w:sz w:val="32"/>
          <w:szCs w:val="32"/>
          <w:u w:val="single"/>
          <w:lang w:val="en-US" w:eastAsia="zh-CN" w:bidi="ar-SA"/>
        </w:rPr>
        <w:t>万亩</w:t>
      </w:r>
      <w:r>
        <w:rPr>
          <w:rFonts w:hint="eastAsia" w:ascii="仿宋_GB2312" w:hAnsi="仿宋_GB2312" w:cs="仿宋_GB2312"/>
          <w:kern w:val="2"/>
          <w:sz w:val="32"/>
          <w:szCs w:val="32"/>
          <w:u w:val="single"/>
          <w:lang w:val="en-US" w:eastAsia="zh-CN" w:bidi="ar-SA"/>
        </w:rPr>
        <w:t>（</w:t>
      </w:r>
      <w:r>
        <w:rPr>
          <w:rFonts w:hint="eastAsia" w:ascii="仿宋_GB2312" w:hAnsi="仿宋_GB2312" w:cs="仿宋_GB2312"/>
          <w:u w:val="single"/>
          <w:lang w:val="en-US" w:eastAsia="zh-CN"/>
        </w:rPr>
        <w:t>17.38平方千米</w:t>
      </w:r>
      <w:r>
        <w:rPr>
          <w:rFonts w:hint="eastAsia" w:ascii="仿宋_GB2312" w:hAnsi="仿宋_GB2312" w:cs="仿宋_GB2312"/>
          <w:kern w:val="2"/>
          <w:sz w:val="32"/>
          <w:szCs w:val="32"/>
          <w:u w:val="single"/>
          <w:lang w:val="en-US" w:eastAsia="zh-CN" w:bidi="ar-SA"/>
        </w:rPr>
        <w:t>）</w:t>
      </w:r>
      <w:r>
        <w:rPr>
          <w:rFonts w:hint="eastAsia" w:ascii="仿宋_GB2312" w:hAnsi="仿宋_GB2312" w:eastAsia="仿宋_GB2312" w:cs="仿宋_GB2312"/>
          <w:kern w:val="2"/>
          <w:sz w:val="32"/>
          <w:szCs w:val="32"/>
          <w:u w:val="single"/>
          <w:lang w:val="en-US" w:eastAsia="zh-CN" w:bidi="ar-SA"/>
        </w:rPr>
        <w:t>，永久基本农田保护面积不少于</w:t>
      </w:r>
      <w:r>
        <w:rPr>
          <w:rFonts w:hint="default" w:ascii="仿宋_GB2312" w:hAnsi="仿宋_GB2312" w:cs="仿宋_GB2312"/>
          <w:u w:val="single"/>
          <w:lang w:val="en-US" w:eastAsia="zh-CN"/>
        </w:rPr>
        <w:t>2.4771</w:t>
      </w:r>
      <w:r>
        <w:rPr>
          <w:rFonts w:hint="eastAsia" w:ascii="仿宋_GB2312" w:hAnsi="仿宋_GB2312" w:eastAsia="仿宋_GB2312" w:cs="仿宋_GB2312"/>
          <w:kern w:val="2"/>
          <w:sz w:val="32"/>
          <w:szCs w:val="32"/>
          <w:u w:val="single"/>
          <w:lang w:val="en-US" w:eastAsia="zh-CN" w:bidi="ar-SA"/>
        </w:rPr>
        <w:t>万亩</w:t>
      </w:r>
      <w:r>
        <w:rPr>
          <w:rFonts w:hint="eastAsia" w:ascii="仿宋_GB2312" w:hAnsi="仿宋_GB2312" w:cs="仿宋_GB2312"/>
          <w:kern w:val="2"/>
          <w:sz w:val="32"/>
          <w:szCs w:val="32"/>
          <w:u w:val="single"/>
          <w:lang w:val="en-US" w:eastAsia="zh-CN" w:bidi="ar-SA"/>
        </w:rPr>
        <w:t>（</w:t>
      </w:r>
      <w:r>
        <w:rPr>
          <w:rFonts w:hint="eastAsia" w:ascii="仿宋_GB2312" w:hAnsi="仿宋_GB2312" w:cs="仿宋_GB2312"/>
          <w:u w:val="single"/>
        </w:rPr>
        <w:t>16.5</w:t>
      </w:r>
      <w:r>
        <w:rPr>
          <w:rFonts w:hint="eastAsia" w:ascii="仿宋_GB2312" w:hAnsi="仿宋_GB2312" w:cs="仿宋_GB2312"/>
          <w:u w:val="single"/>
          <w:lang w:val="en-US" w:eastAsia="zh-CN"/>
        </w:rPr>
        <w:t>1</w:t>
      </w:r>
      <w:r>
        <w:rPr>
          <w:rFonts w:hint="eastAsia" w:ascii="仿宋_GB2312" w:hAnsi="仿宋_GB2312" w:cs="仿宋_GB2312"/>
          <w:u w:val="single"/>
        </w:rPr>
        <w:t>平方</w:t>
      </w:r>
      <w:r>
        <w:rPr>
          <w:rFonts w:hint="eastAsia" w:ascii="仿宋_GB2312" w:hAnsi="仿宋_GB2312" w:cs="仿宋_GB2312"/>
          <w:u w:val="single"/>
          <w:lang w:val="en-US" w:eastAsia="zh-CN"/>
        </w:rPr>
        <w:t>千米</w:t>
      </w:r>
      <w:r>
        <w:rPr>
          <w:rFonts w:hint="eastAsia" w:ascii="仿宋_GB2312" w:hAnsi="仿宋_GB2312" w:cs="仿宋_GB2312"/>
          <w:kern w:val="2"/>
          <w:sz w:val="32"/>
          <w:szCs w:val="32"/>
          <w:u w:val="single"/>
          <w:lang w:val="en-US" w:eastAsia="zh-CN" w:bidi="ar-SA"/>
        </w:rPr>
        <w:t>）</w:t>
      </w:r>
      <w:r>
        <w:rPr>
          <w:rFonts w:hint="eastAsia" w:ascii="仿宋_GB2312" w:hAnsi="仿宋_GB2312" w:eastAsia="仿宋_GB2312" w:cs="仿宋_GB2312"/>
          <w:kern w:val="2"/>
          <w:sz w:val="32"/>
          <w:szCs w:val="32"/>
          <w:u w:val="single"/>
          <w:lang w:val="en-US" w:eastAsia="zh-CN" w:bidi="ar-SA"/>
        </w:rPr>
        <w:t>，主要分布在</w:t>
      </w:r>
      <w:r>
        <w:rPr>
          <w:rFonts w:hint="eastAsia" w:ascii="仿宋_GB2312" w:hAnsi="仿宋_GB2312" w:cs="仿宋_GB2312"/>
          <w:kern w:val="2"/>
          <w:sz w:val="32"/>
          <w:szCs w:val="32"/>
          <w:u w:val="single"/>
          <w:lang w:val="en-US" w:eastAsia="zh-CN" w:bidi="ar-SA"/>
        </w:rPr>
        <w:t>乡域中部村庄周边</w:t>
      </w:r>
      <w:r>
        <w:rPr>
          <w:rFonts w:hint="eastAsia" w:ascii="仿宋_GB2312" w:hAnsi="仿宋_GB2312" w:eastAsia="仿宋_GB2312" w:cs="仿宋_GB2312"/>
          <w:kern w:val="2"/>
          <w:sz w:val="32"/>
          <w:szCs w:val="32"/>
          <w:u w:val="single"/>
          <w:lang w:val="en-US" w:eastAsia="zh-CN" w:bidi="ar-SA"/>
        </w:rPr>
        <w:t>。</w:t>
      </w:r>
    </w:p>
    <w:p w14:paraId="099973A0">
      <w:pPr>
        <w:keepNext w:val="0"/>
        <w:keepLines w:val="0"/>
        <w:widowControl/>
        <w:suppressLineNumbers w:val="0"/>
        <w:jc w:val="left"/>
        <w:rPr>
          <w:rFonts w:hint="eastAsia" w:ascii="仿宋_GB2312" w:hAnsi="仿宋_GB2312" w:eastAsia="仿宋_GB2312" w:cs="仿宋_GB2312"/>
          <w:kern w:val="2"/>
          <w:sz w:val="32"/>
          <w:szCs w:val="32"/>
          <w:u w:val="none"/>
          <w:lang w:val="en-US" w:eastAsia="zh-CN" w:bidi="ar-SA"/>
        </w:rPr>
      </w:pPr>
      <w:r>
        <w:rPr>
          <w:rFonts w:hint="eastAsia" w:eastAsia="仿宋_GB2312" w:asciiTheme="minorAscii" w:hAnsiTheme="minorAscii" w:cstheme="minorBidi"/>
          <w:kern w:val="2"/>
          <w:sz w:val="32"/>
          <w:szCs w:val="22"/>
          <w:lang w:val="en-US" w:eastAsia="zh-CN" w:bidi="ar-SA"/>
        </w:rPr>
        <w:t>落实最严格的耕地保护制度和永久基本农田特殊保护制度，永久基本农田一经划定，任何单位和个人不得改变或者占用，</w:t>
      </w:r>
      <w:r>
        <w:rPr>
          <w:rFonts w:hint="eastAsia" w:ascii="仿宋_GB2312" w:hAnsi="仿宋_GB2312" w:eastAsia="仿宋_GB2312" w:cs="仿宋_GB2312"/>
          <w:kern w:val="2"/>
          <w:sz w:val="32"/>
          <w:szCs w:val="32"/>
          <w:u w:val="none"/>
          <w:lang w:val="en-US" w:eastAsia="zh-CN" w:bidi="ar-SA"/>
        </w:rPr>
        <w:t>严禁通过擅自调整规划规避占用永久基本农田的审批，严禁未经审批违法违规占用。坚决防止永久基本农田“非农化”，永久基本农田必须坚持农地农用，禁止破坏永久基本农田活动，禁止占用永久基本农田植树造林，禁止闲置、撂荒永久基本农田，禁止以设施农用地为名乱占永久基本农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7574"/>
      </w:tblGrid>
      <w:tr w14:paraId="3A72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589629">
            <w:pPr>
              <w:spacing w:line="600" w:lineRule="exact"/>
              <w:ind w:firstLine="0" w:firstLineChars="0"/>
              <w:jc w:val="center"/>
              <w:rPr>
                <w:rFonts w:ascii="黑体" w:hAnsi="宋体" w:eastAsia="黑体" w:cs="Times New Roman"/>
                <w:sz w:val="30"/>
                <w:szCs w:val="30"/>
              </w:rPr>
            </w:pPr>
            <w:r>
              <w:rPr>
                <w:rFonts w:ascii="黑体" w:hAnsi="宋体" w:eastAsia="黑体" w:cs="黑体"/>
                <w:sz w:val="30"/>
                <w:szCs w:val="30"/>
                <w:lang w:bidi="ar"/>
              </w:rPr>
              <w:t>专栏</w:t>
            </w:r>
            <w:r>
              <w:rPr>
                <w:rFonts w:hint="eastAsia" w:ascii="黑体" w:hAnsi="宋体" w:eastAsia="黑体" w:cs="黑体"/>
                <w:sz w:val="30"/>
                <w:szCs w:val="30"/>
                <w:lang w:val="en-US" w:eastAsia="zh-CN" w:bidi="ar"/>
              </w:rPr>
              <w:t>3</w:t>
            </w:r>
            <w:r>
              <w:rPr>
                <w:rFonts w:ascii="黑体" w:hAnsi="宋体" w:eastAsia="黑体" w:cs="黑体"/>
                <w:sz w:val="30"/>
                <w:szCs w:val="30"/>
                <w:lang w:bidi="ar"/>
              </w:rPr>
              <w:t>耕地和永久基本农田保护红线管理规则</w:t>
            </w:r>
          </w:p>
        </w:tc>
      </w:tr>
      <w:tr w14:paraId="0F93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30D6C1DB">
            <w:pPr>
              <w:widowControl w:val="0"/>
              <w:spacing w:before="0" w:beforeAutospacing="0" w:after="0" w:afterAutospacing="0" w:line="500" w:lineRule="exact"/>
              <w:ind w:firstLine="0" w:firstLineChars="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耕地</w:t>
            </w:r>
          </w:p>
        </w:tc>
        <w:tc>
          <w:tcPr>
            <w:tcW w:w="4444" w:type="pct"/>
            <w:tcBorders>
              <w:top w:val="single" w:color="auto" w:sz="4" w:space="0"/>
              <w:left w:val="single" w:color="auto" w:sz="4" w:space="0"/>
              <w:bottom w:val="single" w:color="auto" w:sz="4" w:space="0"/>
              <w:right w:val="single" w:color="auto" w:sz="4" w:space="0"/>
            </w:tcBorders>
            <w:shd w:val="clear" w:color="auto" w:fill="auto"/>
            <w:vAlign w:val="center"/>
          </w:tcPr>
          <w:p w14:paraId="0E17D342">
            <w:pPr>
              <w:widowControl w:val="0"/>
              <w:spacing w:before="0" w:beforeAutospacing="0" w:after="0" w:afterAutospacing="0" w:line="500" w:lineRule="exact"/>
              <w:ind w:firstLine="480" w:firstLineChars="200"/>
              <w:jc w:val="both"/>
              <w:rPr>
                <w:rFonts w:hint="eastAsia" w:ascii="仿宋_GB2312" w:hAnsi="宋体" w:eastAsia="仿宋_GB2312" w:cs="仿宋_GB2312"/>
                <w:kern w:val="2"/>
                <w:sz w:val="24"/>
                <w:szCs w:val="24"/>
                <w:lang w:val="en-US" w:eastAsia="zh-CN" w:bidi="ar"/>
              </w:rPr>
            </w:pPr>
            <w:r>
              <w:rPr>
                <w:rFonts w:ascii="仿宋_GB2312" w:hAnsi="宋体" w:eastAsia="仿宋_GB2312" w:cs="仿宋_GB2312"/>
                <w:kern w:val="2"/>
                <w:sz w:val="24"/>
                <w:szCs w:val="24"/>
                <w:lang w:val="en-US" w:eastAsia="zh-CN" w:bidi="ar"/>
              </w:rPr>
              <w:t>改革完善耕地占补平衡管理</w:t>
            </w:r>
            <w:r>
              <w:rPr>
                <w:rFonts w:hint="eastAsia" w:ascii="仿宋_GB2312" w:hAnsi="宋体" w:eastAsia="仿宋_GB2312" w:cs="仿宋_GB2312"/>
                <w:kern w:val="2"/>
                <w:sz w:val="24"/>
                <w:szCs w:val="24"/>
                <w:lang w:val="en-US" w:eastAsia="zh-CN" w:bidi="ar"/>
              </w:rPr>
              <w:t>，强化耕地总量管控和以补定占管理，稳步提升耕地质量，牢牢守住耕地保护红线。</w:t>
            </w:r>
          </w:p>
          <w:p w14:paraId="6647033A">
            <w:pPr>
              <w:widowControl w:val="0"/>
              <w:spacing w:before="0" w:beforeAutospacing="0" w:after="0" w:afterAutospacing="0" w:line="500" w:lineRule="exact"/>
              <w:ind w:firstLine="480" w:firstLineChars="200"/>
              <w:jc w:val="both"/>
              <w:rPr>
                <w:rFonts w:hint="eastAsia" w:ascii="仿宋_GB2312" w:hAnsi="宋体" w:eastAsia="仿宋_GB2312" w:cs="仿宋_GB2312"/>
                <w:kern w:val="2"/>
                <w:sz w:val="24"/>
                <w:szCs w:val="24"/>
                <w:lang w:val="en-US" w:eastAsia="zh-CN" w:bidi="ar"/>
              </w:rPr>
            </w:pPr>
            <w:r>
              <w:rPr>
                <w:rFonts w:hint="eastAsia" w:ascii="仿宋_GB2312" w:hAnsi="宋体" w:eastAsia="仿宋_GB2312" w:cs="仿宋_GB2312"/>
                <w:kern w:val="2"/>
                <w:sz w:val="24"/>
                <w:szCs w:val="24"/>
                <w:lang w:val="en-US" w:eastAsia="zh-CN" w:bidi="ar"/>
              </w:rPr>
              <w:t>严格控制耕地占用。加强耕地用途转用监督，从严控制各类占用耕地行为。对非农建设占用耕地，要严格用地审批，严格执行土地使用标准，切实做到不占或少占耕地。严肃处置违法违规占用耕地问题，坚决防止未批先建、造林绿化随意占用耕地、超标准建设绿色通道、挖湖造景占用耕地等行为。</w:t>
            </w:r>
          </w:p>
          <w:p w14:paraId="51C44DDF">
            <w:pPr>
              <w:widowControl w:val="0"/>
              <w:spacing w:before="0" w:beforeAutospacing="0" w:after="0" w:afterAutospacing="0" w:line="500" w:lineRule="exact"/>
              <w:ind w:firstLine="480" w:firstLineChars="200"/>
              <w:jc w:val="both"/>
              <w:rPr>
                <w:rFonts w:hint="eastAsia" w:ascii="仿宋_GB2312" w:hAnsi="宋体" w:eastAsia="仿宋_GB2312" w:cs="仿宋_GB2312"/>
                <w:kern w:val="2"/>
                <w:sz w:val="24"/>
                <w:szCs w:val="24"/>
                <w:lang w:val="en-US" w:eastAsia="zh-CN" w:bidi="ar"/>
              </w:rPr>
            </w:pPr>
            <w:r>
              <w:rPr>
                <w:rFonts w:hint="eastAsia" w:ascii="仿宋_GB2312" w:hAnsi="宋体" w:eastAsia="仿宋_GB2312" w:cs="仿宋_GB2312"/>
                <w:kern w:val="2"/>
                <w:sz w:val="24"/>
                <w:szCs w:val="24"/>
                <w:lang w:val="en-US" w:eastAsia="zh-CN" w:bidi="ar"/>
              </w:rPr>
              <w:t>改革占补平衡管理方式。将非农建设、造林种树、种果种茶等各类占用耕地行为统一纳入耕地占补平衡管理。严格落实补充耕地要求，积极稳妥推进耕地恢复，科学适度开发宜耕后备资源，确保各类占用耕地得到及时保质保量补充，稳定利用耕地总量不减少、质量不降低。</w:t>
            </w:r>
          </w:p>
          <w:p w14:paraId="59B65B9A">
            <w:pPr>
              <w:widowControl w:val="0"/>
              <w:spacing w:before="0" w:beforeAutospacing="0" w:after="0" w:afterAutospacing="0" w:line="500" w:lineRule="exact"/>
              <w:ind w:firstLine="480" w:firstLineChars="200"/>
              <w:jc w:val="both"/>
              <w:rPr>
                <w:rFonts w:hint="eastAsia" w:ascii="仿宋_GB2312" w:hAnsi="宋体" w:eastAsia="仿宋_GB2312" w:cs="仿宋_GB2312"/>
                <w:kern w:val="2"/>
                <w:sz w:val="24"/>
                <w:szCs w:val="24"/>
                <w:lang w:val="en-US" w:eastAsia="zh-CN" w:bidi="ar"/>
              </w:rPr>
            </w:pPr>
            <w:r>
              <w:rPr>
                <w:rFonts w:hint="eastAsia" w:ascii="仿宋_GB2312" w:hAnsi="宋体" w:eastAsia="仿宋_GB2312" w:cs="仿宋_GB2312"/>
                <w:kern w:val="2"/>
                <w:sz w:val="24"/>
                <w:szCs w:val="24"/>
                <w:lang w:val="en-US" w:eastAsia="zh-CN" w:bidi="ar"/>
              </w:rPr>
              <w:t>强化以补定占约束。统筹非农建设和农用地内部调整占用耕地需求，建立非农建设占用耕地规模与稳定利用耕地净增加量挂钩约束机制。</w:t>
            </w:r>
          </w:p>
          <w:p w14:paraId="7529BC40">
            <w:pPr>
              <w:widowControl w:val="0"/>
              <w:spacing w:before="0" w:beforeAutospacing="0" w:after="0" w:afterAutospacing="0" w:line="500" w:lineRule="exact"/>
              <w:ind w:firstLine="480" w:firstLineChars="200"/>
              <w:jc w:val="both"/>
              <w:rPr>
                <w:rFonts w:hint="eastAsia" w:ascii="仿宋_GB2312" w:hAnsi="宋体" w:eastAsia="仿宋_GB2312" w:cs="仿宋_GB2312"/>
                <w:kern w:val="2"/>
                <w:sz w:val="24"/>
                <w:szCs w:val="24"/>
                <w:lang w:val="en-US" w:eastAsia="zh-CN" w:bidi="ar"/>
              </w:rPr>
            </w:pPr>
            <w:r>
              <w:rPr>
                <w:rFonts w:hint="eastAsia" w:ascii="仿宋_GB2312" w:hAnsi="宋体" w:eastAsia="仿宋_GB2312" w:cs="仿宋_GB2312"/>
                <w:kern w:val="2"/>
                <w:sz w:val="24"/>
                <w:szCs w:val="24"/>
                <w:lang w:val="en-US" w:eastAsia="zh-CN" w:bidi="ar"/>
              </w:rPr>
              <w:t>规范补充耕地实施。各类实施主体依法依规将非耕地垦造、恢复为稳定利用耕地的，均可作为补充耕地，严格核定耕地质量，质量不达标的不得用于占用耕地的补充。</w:t>
            </w:r>
          </w:p>
          <w:p w14:paraId="7BCB720D">
            <w:pPr>
              <w:widowControl w:val="0"/>
              <w:spacing w:before="0" w:beforeAutospacing="0" w:after="0" w:afterAutospacing="0" w:line="500" w:lineRule="exact"/>
              <w:ind w:firstLine="480" w:firstLineChars="200"/>
              <w:jc w:val="both"/>
              <w:rPr>
                <w:rFonts w:hint="eastAsia" w:ascii="仿宋_GB2312" w:hAnsi="宋体" w:eastAsia="仿宋_GB2312" w:cs="仿宋_GB2312"/>
                <w:kern w:val="2"/>
                <w:sz w:val="24"/>
                <w:szCs w:val="24"/>
                <w:lang w:val="en-US" w:eastAsia="zh-CN" w:bidi="ar"/>
              </w:rPr>
            </w:pPr>
            <w:r>
              <w:rPr>
                <w:rFonts w:hint="eastAsia" w:ascii="仿宋_GB2312" w:hAnsi="宋体" w:eastAsia="仿宋_GB2312" w:cs="仿宋_GB2312"/>
                <w:kern w:val="2"/>
                <w:sz w:val="24"/>
                <w:szCs w:val="24"/>
                <w:lang w:val="en-US" w:eastAsia="zh-CN" w:bidi="ar"/>
              </w:rPr>
              <w:t>强化补充耕地管理。将禀赋良好、集中连片、耕地质量达到上年度县域内非农建设占用耕地平均质量等级的新增稳定利用耕地，纳入非农建设补充耕地报备管理。耕地垦造、恢复完成后，县级人民政府应采取经济补偿、产业扶持等激励措施，引导农村集体经济组织或相关权利人持续耕种。</w:t>
            </w:r>
          </w:p>
          <w:p w14:paraId="0B41F729">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hint="eastAsia" w:ascii="仿宋_GB2312" w:hAnsi="宋体" w:eastAsia="仿宋_GB2312" w:cs="仿宋_GB2312"/>
                <w:kern w:val="2"/>
                <w:sz w:val="24"/>
                <w:szCs w:val="24"/>
                <w:lang w:val="en-US" w:eastAsia="zh-CN" w:bidi="ar"/>
              </w:rPr>
              <w:t>乡镇</w:t>
            </w:r>
            <w:r>
              <w:rPr>
                <w:rFonts w:ascii="仿宋_GB2312" w:hAnsi="宋体" w:eastAsia="仿宋_GB2312" w:cs="仿宋_GB2312"/>
                <w:kern w:val="2"/>
                <w:sz w:val="24"/>
                <w:szCs w:val="24"/>
                <w:lang w:val="en-US" w:eastAsia="zh-CN" w:bidi="ar"/>
              </w:rPr>
              <w:t>政府应当严格执行国土空间规划，采取措施，确保国土空间规划确定的本行政区域内耕地总量不减少、质量不降低。耕地总量减少的，由省人民政府责令在规定期限内组织开垦与所减少耕地的数量与质量相当的耕地；耕地质量降低的，由省</w:t>
            </w:r>
            <w:r>
              <w:rPr>
                <w:rFonts w:hint="eastAsia" w:ascii="仿宋_GB2312" w:hAnsi="宋体" w:eastAsia="仿宋_GB2312" w:cs="仿宋_GB2312"/>
                <w:kern w:val="2"/>
                <w:sz w:val="24"/>
                <w:szCs w:val="24"/>
                <w:lang w:val="en-US" w:eastAsia="zh-CN" w:bidi="ar"/>
              </w:rPr>
              <w:t>级</w:t>
            </w:r>
            <w:r>
              <w:rPr>
                <w:rFonts w:ascii="仿宋_GB2312" w:hAnsi="宋体" w:eastAsia="仿宋_GB2312" w:cs="仿宋_GB2312"/>
                <w:kern w:val="2"/>
                <w:sz w:val="24"/>
                <w:szCs w:val="24"/>
                <w:lang w:val="en-US" w:eastAsia="zh-CN" w:bidi="ar"/>
              </w:rPr>
              <w:t>人民政府责令在规定期限内组织整治。新开垦和整治的耕地由自然资源主管部门会同农业农村主管部门验收。</w:t>
            </w:r>
          </w:p>
        </w:tc>
      </w:tr>
      <w:tr w14:paraId="6AA7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2FABBBC7">
            <w:pPr>
              <w:widowControl w:val="0"/>
              <w:spacing w:before="0" w:beforeAutospacing="0" w:after="0" w:afterAutospacing="0" w:line="500" w:lineRule="exact"/>
              <w:ind w:firstLine="0" w:firstLineChars="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永久基本农田</w:t>
            </w:r>
          </w:p>
        </w:tc>
        <w:tc>
          <w:tcPr>
            <w:tcW w:w="4444" w:type="pct"/>
            <w:tcBorders>
              <w:top w:val="single" w:color="auto" w:sz="4" w:space="0"/>
              <w:left w:val="single" w:color="auto" w:sz="4" w:space="0"/>
              <w:bottom w:val="single" w:color="auto" w:sz="4" w:space="0"/>
              <w:right w:val="single" w:color="auto" w:sz="4" w:space="0"/>
            </w:tcBorders>
            <w:shd w:val="clear" w:color="auto" w:fill="auto"/>
            <w:vAlign w:val="center"/>
          </w:tcPr>
          <w:p w14:paraId="02BC3ABD">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永久基本农田不得转为林地、草地、园地等其他农用地及农业设施建设用地。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w:t>
            </w:r>
          </w:p>
          <w:p w14:paraId="2FC3950F">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严格永久基本农田占用与补划。永久基本农田经依法划定后，任何单位和个人不得擅自占用或者改变其用途。国家能源、交通、水利、军事设施等重点建设项目选址确实难以避让永久基本农田，涉及农用地转用或者土地征收的，必须经国务院批准。</w:t>
            </w:r>
          </w:p>
          <w:p w14:paraId="56FBAD46">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非农建设依法占用永久基本农田的，建设单位应当按照青海省的有关规定，将所占用耕地耕作层的土壤用于新开垦的耕地、劣质地或者其他耕地的土壤改良。</w:t>
            </w:r>
          </w:p>
        </w:tc>
      </w:tr>
    </w:tbl>
    <w:p w14:paraId="0F0CEC19">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eastAsia="楷体_GB2312"/>
          <w:bCs/>
          <w:sz w:val="32"/>
          <w:szCs w:val="32"/>
        </w:rPr>
        <w:t>合理</w:t>
      </w:r>
      <w:r>
        <w:rPr>
          <w:rFonts w:hint="eastAsia" w:ascii="楷体_GB2312" w:eastAsia="楷体_GB2312"/>
          <w:bCs/>
          <w:sz w:val="32"/>
          <w:szCs w:val="32"/>
          <w:lang w:val="en-US" w:eastAsia="zh-CN"/>
        </w:rPr>
        <w:t>划定村庄建设边界</w:t>
      </w:r>
    </w:p>
    <w:p w14:paraId="71C5ABAE">
      <w:pPr>
        <w:pStyle w:val="11"/>
        <w:ind w:firstLine="640" w:firstLineChars="200"/>
        <w:rPr>
          <w:rFonts w:hint="default" w:ascii="仿宋_GB2312" w:hAnsi="仿宋_GB2312" w:cs="仿宋_GB2312"/>
          <w:b w:val="0"/>
          <w:bCs w:val="0"/>
          <w:szCs w:val="24"/>
          <w:u w:val="none"/>
          <w:lang w:val="en-US" w:eastAsia="zh-CN" w:bidi="ar"/>
        </w:rPr>
      </w:pPr>
      <w:r>
        <w:rPr>
          <w:rFonts w:hint="eastAsia" w:ascii="仿宋_GB2312" w:hAnsi="仿宋_GB2312" w:eastAsia="仿宋_GB2312" w:cs="仿宋_GB2312"/>
          <w:b w:val="0"/>
          <w:bCs w:val="0"/>
          <w:szCs w:val="24"/>
          <w:u w:val="single"/>
          <w:lang w:val="en-US" w:eastAsia="zh-CN" w:bidi="ar"/>
        </w:rPr>
        <w:t>到2035年，</w:t>
      </w:r>
      <w:r>
        <w:rPr>
          <w:rFonts w:hint="eastAsia" w:ascii="仿宋_GB2312" w:hAnsi="仿宋_GB2312" w:cs="仿宋_GB2312"/>
          <w:b w:val="0"/>
          <w:bCs w:val="0"/>
          <w:szCs w:val="24"/>
          <w:u w:val="single"/>
          <w:lang w:val="en-US" w:eastAsia="zh-CN" w:bidi="ar"/>
        </w:rPr>
        <w:t>沙珠玉乡村庄建设</w:t>
      </w:r>
      <w:r>
        <w:rPr>
          <w:rFonts w:hint="eastAsia" w:ascii="仿宋_GB2312" w:hAnsi="仿宋_GB2312" w:eastAsia="仿宋_GB2312" w:cs="仿宋_GB2312"/>
          <w:b w:val="0"/>
          <w:bCs w:val="0"/>
          <w:szCs w:val="24"/>
          <w:u w:val="single"/>
          <w:lang w:val="en-US" w:eastAsia="zh-CN" w:bidi="ar"/>
        </w:rPr>
        <w:t>边界面积控制在2020年度国土变更调查村庄用地</w:t>
      </w:r>
      <w:r>
        <w:rPr>
          <w:rFonts w:hint="eastAsia" w:ascii="仿宋_GB2312" w:hAnsi="仿宋_GB2312" w:cs="仿宋_GB2312"/>
          <w:b w:val="0"/>
          <w:bCs w:val="0"/>
          <w:szCs w:val="24"/>
          <w:u w:val="single"/>
          <w:lang w:val="en-US" w:eastAsia="zh-CN" w:bidi="ar"/>
        </w:rPr>
        <w:t>（</w:t>
      </w:r>
      <w:r>
        <w:rPr>
          <w:rFonts w:hint="eastAsia" w:ascii="仿宋_GB2312" w:hAnsi="仿宋_GB2312" w:eastAsia="仿宋_GB2312" w:cs="仿宋_GB2312"/>
          <w:b w:val="0"/>
          <w:bCs w:val="0"/>
          <w:szCs w:val="24"/>
          <w:u w:val="single"/>
          <w:lang w:val="en-US" w:eastAsia="zh-CN" w:bidi="ar"/>
        </w:rPr>
        <w:t>203</w:t>
      </w:r>
      <w:r>
        <w:rPr>
          <w:rFonts w:hint="eastAsia" w:ascii="仿宋_GB2312" w:hAnsi="仿宋_GB2312" w:cs="仿宋_GB2312"/>
          <w:b w:val="0"/>
          <w:bCs w:val="0"/>
          <w:szCs w:val="24"/>
          <w:u w:val="single"/>
          <w:lang w:val="en-US" w:eastAsia="zh-CN" w:bidi="ar"/>
        </w:rPr>
        <w:t>）</w:t>
      </w:r>
      <w:r>
        <w:rPr>
          <w:rFonts w:hint="eastAsia" w:ascii="仿宋_GB2312" w:hAnsi="仿宋_GB2312" w:eastAsia="仿宋_GB2312" w:cs="仿宋_GB2312"/>
          <w:b w:val="0"/>
          <w:bCs w:val="0"/>
          <w:szCs w:val="24"/>
          <w:u w:val="single"/>
          <w:lang w:val="en-US" w:eastAsia="zh-CN" w:bidi="ar"/>
        </w:rPr>
        <w:t>规模</w:t>
      </w:r>
      <w:r>
        <w:rPr>
          <w:rFonts w:hint="eastAsia" w:ascii="仿宋_GB2312" w:hAnsi="仿宋_GB2312" w:cs="仿宋_GB2312"/>
          <w:b w:val="0"/>
          <w:bCs w:val="0"/>
          <w:szCs w:val="24"/>
          <w:u w:val="single"/>
          <w:lang w:val="en-US" w:eastAsia="zh-CN" w:bidi="ar"/>
        </w:rPr>
        <w:t>以内</w:t>
      </w:r>
      <w:r>
        <w:rPr>
          <w:rFonts w:hint="eastAsia" w:ascii="仿宋_GB2312" w:hAnsi="仿宋_GB2312" w:eastAsia="仿宋_GB2312" w:cs="仿宋_GB2312"/>
          <w:b w:val="0"/>
          <w:bCs w:val="0"/>
          <w:szCs w:val="24"/>
          <w:u w:val="single"/>
          <w:lang w:val="en-US" w:eastAsia="zh-CN" w:bidi="ar"/>
        </w:rPr>
        <w:t>，</w:t>
      </w:r>
      <w:r>
        <w:rPr>
          <w:rFonts w:hint="eastAsia" w:ascii="仿宋_GB2312" w:hAnsi="仿宋_GB2312" w:cs="仿宋_GB2312"/>
          <w:b w:val="0"/>
          <w:bCs w:val="0"/>
          <w:szCs w:val="24"/>
          <w:u w:val="none"/>
          <w:lang w:val="en-US" w:eastAsia="zh-CN" w:bidi="ar"/>
        </w:rPr>
        <w:t>划定村庄建设</w:t>
      </w:r>
      <w:r>
        <w:rPr>
          <w:rFonts w:hint="eastAsia" w:ascii="仿宋_GB2312" w:hAnsi="仿宋_GB2312" w:eastAsia="仿宋_GB2312" w:cs="仿宋_GB2312"/>
          <w:b w:val="0"/>
          <w:bCs w:val="0"/>
          <w:szCs w:val="24"/>
          <w:u w:val="none"/>
          <w:lang w:val="en-US" w:eastAsia="zh-CN" w:bidi="ar"/>
        </w:rPr>
        <w:t>边界面积</w:t>
      </w:r>
      <w:r>
        <w:rPr>
          <w:rFonts w:hint="eastAsia" w:ascii="仿宋_GB2312" w:hAnsi="仿宋_GB2312" w:cs="仿宋_GB2312"/>
          <w:b w:val="0"/>
          <w:bCs w:val="0"/>
          <w:szCs w:val="24"/>
          <w:u w:val="none"/>
          <w:lang w:val="en-US" w:eastAsia="zh-CN" w:bidi="ar"/>
        </w:rPr>
        <w:t>295.44</w:t>
      </w:r>
      <w:r>
        <w:rPr>
          <w:rFonts w:hint="eastAsia" w:ascii="仿宋_GB2312" w:hAnsi="仿宋_GB2312" w:eastAsia="仿宋_GB2312" w:cs="仿宋_GB2312"/>
          <w:b w:val="0"/>
          <w:bCs w:val="0"/>
          <w:szCs w:val="24"/>
          <w:u w:val="none"/>
          <w:lang w:val="en-US" w:eastAsia="zh-CN" w:bidi="ar"/>
        </w:rPr>
        <w:t>公顷</w:t>
      </w:r>
      <w:r>
        <w:rPr>
          <w:rFonts w:hint="eastAsia" w:ascii="仿宋_GB2312" w:hAnsi="仿宋_GB2312" w:cs="仿宋_GB2312"/>
          <w:b w:val="0"/>
          <w:bCs w:val="0"/>
          <w:szCs w:val="24"/>
          <w:u w:val="none"/>
          <w:lang w:val="en-US" w:eastAsia="zh-CN" w:bidi="ar"/>
        </w:rPr>
        <w:t>，村庄建设边界扩展倍数为1.0倍。</w:t>
      </w:r>
    </w:p>
    <w:p w14:paraId="14504D04">
      <w:pPr>
        <w:pStyle w:val="11"/>
        <w:ind w:firstLine="640" w:firstLineChars="200"/>
        <w:rPr>
          <w:rFonts w:hint="default" w:ascii="楷体_GB2312" w:hAnsi="楷体_GB2312" w:eastAsia="楷体_GB2312" w:cs="楷体_GB2312"/>
          <w:b w:val="0"/>
          <w:bCs w:val="0"/>
          <w:szCs w:val="24"/>
          <w:u w:val="none"/>
          <w:lang w:val="en-US" w:eastAsia="zh-CN" w:bidi="ar"/>
        </w:rPr>
      </w:pPr>
      <w:r>
        <w:rPr>
          <w:rFonts w:hint="eastAsia" w:ascii="楷体_GB2312" w:hAnsi="楷体_GB2312" w:eastAsia="楷体_GB2312" w:cs="楷体_GB2312"/>
          <w:b w:val="0"/>
          <w:bCs w:val="0"/>
          <w:szCs w:val="24"/>
          <w:u w:val="none"/>
          <w:lang w:val="en-US" w:eastAsia="zh-CN" w:bidi="ar"/>
        </w:rPr>
        <w:t>引导乡村建设向村庄建设边界内集中。村</w:t>
      </w:r>
      <w:r>
        <w:rPr>
          <w:rFonts w:hint="eastAsia" w:ascii="仿宋_GB2312" w:hAnsi="仿宋_GB2312" w:cs="仿宋_GB2312"/>
          <w:lang w:val="en-US" w:eastAsia="zh-CN"/>
        </w:rPr>
        <w:t>庄建设边界是规划期内可以用于村庄集中开发建设及需要重点管控的国土空间范围。</w:t>
      </w:r>
      <w:r>
        <w:rPr>
          <w:rFonts w:hint="eastAsia" w:ascii="仿宋_GB2312" w:hAnsi="楷体" w:eastAsia="仿宋_GB2312"/>
          <w:szCs w:val="32"/>
          <w:lang w:bidi="ar"/>
        </w:rPr>
        <w:t>各类乡村建设行为原则上应在村庄建设边界内开展，优先使用存量建设用地，村庄建设边界外原则上不安排</w:t>
      </w:r>
      <w:r>
        <w:rPr>
          <w:rFonts w:hint="eastAsia" w:ascii="仿宋_GB2312" w:hAnsi="楷体"/>
          <w:szCs w:val="32"/>
          <w:lang w:val="en-US" w:eastAsia="zh-CN" w:bidi="ar"/>
        </w:rPr>
        <w:t>新增村庄</w:t>
      </w:r>
      <w:r>
        <w:rPr>
          <w:rFonts w:hint="eastAsia" w:ascii="仿宋_GB2312" w:hAnsi="楷体" w:eastAsia="仿宋_GB2312"/>
          <w:szCs w:val="32"/>
          <w:lang w:bidi="ar"/>
        </w:rPr>
        <w:t>建设用地。</w:t>
      </w:r>
    </w:p>
    <w:p w14:paraId="4ACC0471">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强化自然灾害综合风险防控</w:t>
      </w:r>
    </w:p>
    <w:p w14:paraId="5CE618A5">
      <w:pPr>
        <w:pStyle w:val="11"/>
        <w:ind w:firstLine="640" w:firstLineChars="200"/>
        <w:rPr>
          <w:rFonts w:hint="eastAsia" w:ascii="仿宋_GB2312" w:hAnsi="仿宋_GB2312" w:eastAsia="仿宋_GB2312" w:cs="仿宋_GB2312"/>
          <w:szCs w:val="24"/>
          <w:u w:val="none"/>
          <w:lang w:bidi="ar"/>
        </w:rPr>
      </w:pPr>
      <w:r>
        <w:rPr>
          <w:rFonts w:hint="eastAsia" w:ascii="楷体_GB2312" w:hAnsi="楷体_GB2312" w:eastAsia="楷体_GB2312" w:cs="楷体_GB2312"/>
          <w:b w:val="0"/>
          <w:bCs w:val="0"/>
          <w:szCs w:val="24"/>
          <w:u w:val="none"/>
          <w:lang w:bidi="ar"/>
        </w:rPr>
        <w:t>地质灾害风险区。</w:t>
      </w:r>
      <w:r>
        <w:rPr>
          <w:rFonts w:hint="eastAsia" w:ascii="仿宋_GB2312" w:hAnsi="仿宋_GB2312" w:cs="仿宋_GB2312"/>
          <w:szCs w:val="24"/>
          <w:u w:val="none"/>
          <w:lang w:val="en-US" w:eastAsia="zh-CN" w:bidi="ar"/>
        </w:rPr>
        <w:t>乡</w:t>
      </w:r>
      <w:r>
        <w:rPr>
          <w:rFonts w:hint="eastAsia" w:ascii="仿宋_GB2312" w:hAnsi="仿宋_GB2312" w:eastAsia="仿宋_GB2312" w:cs="仿宋_GB2312"/>
          <w:szCs w:val="24"/>
          <w:u w:val="none"/>
          <w:lang w:bidi="ar"/>
        </w:rPr>
        <w:t>域地质灾害主要类型包括</w:t>
      </w:r>
      <w:r>
        <w:rPr>
          <w:rFonts w:hint="eastAsia" w:ascii="仿宋_GB2312" w:hAnsi="仿宋_GB2312" w:cs="仿宋_GB2312"/>
          <w:lang w:val="en-US" w:eastAsia="zh-CN"/>
        </w:rPr>
        <w:t>滑坡、泥石流、不稳定斜坡、地面沉降等</w:t>
      </w:r>
      <w:r>
        <w:rPr>
          <w:rFonts w:hint="eastAsia" w:ascii="仿宋_GB2312" w:hAnsi="仿宋_GB2312" w:eastAsia="仿宋_GB2312" w:cs="仿宋_GB2312"/>
          <w:szCs w:val="24"/>
          <w:u w:val="none"/>
          <w:lang w:bidi="ar"/>
        </w:rPr>
        <w:t>，地质灾害</w:t>
      </w:r>
      <w:r>
        <w:rPr>
          <w:rFonts w:hint="eastAsia" w:ascii="仿宋_GB2312" w:hAnsi="仿宋_GB2312" w:cs="仿宋_GB2312"/>
          <w:szCs w:val="24"/>
          <w:u w:val="none"/>
          <w:lang w:val="en-US" w:eastAsia="zh-CN" w:bidi="ar"/>
        </w:rPr>
        <w:t>中</w:t>
      </w:r>
      <w:r>
        <w:rPr>
          <w:rFonts w:hint="eastAsia" w:ascii="仿宋_GB2312" w:hAnsi="仿宋_GB2312" w:eastAsia="仿宋_GB2312" w:cs="仿宋_GB2312"/>
          <w:szCs w:val="24"/>
          <w:u w:val="none"/>
          <w:lang w:bidi="ar"/>
        </w:rPr>
        <w:t>风险区</w:t>
      </w:r>
      <w:r>
        <w:rPr>
          <w:rFonts w:hint="eastAsia" w:ascii="仿宋_GB2312" w:hAnsi="仿宋_GB2312" w:cs="仿宋_GB2312"/>
          <w:szCs w:val="24"/>
          <w:u w:val="none"/>
          <w:lang w:val="en-US" w:eastAsia="zh-CN" w:bidi="ar"/>
        </w:rPr>
        <w:t>主要分布于乡域北部，</w:t>
      </w:r>
      <w:r>
        <w:rPr>
          <w:rFonts w:hint="eastAsia" w:ascii="仿宋_GB2312" w:hAnsi="仿宋_GB2312" w:eastAsia="仿宋_GB2312" w:cs="仿宋_GB2312"/>
          <w:szCs w:val="24"/>
          <w:u w:val="none"/>
          <w:lang w:bidi="ar"/>
        </w:rPr>
        <w:t>面积约</w:t>
      </w:r>
      <w:r>
        <w:rPr>
          <w:rFonts w:hint="eastAsia" w:ascii="仿宋_GB2312" w:hAnsi="仿宋_GB2312" w:cs="仿宋_GB2312"/>
          <w:lang w:val="en-US" w:eastAsia="zh-CN"/>
        </w:rPr>
        <w:t>162.44</w:t>
      </w:r>
      <w:r>
        <w:rPr>
          <w:rFonts w:hint="eastAsia" w:ascii="仿宋_GB2312" w:hAnsi="仿宋_GB2312" w:eastAsia="仿宋_GB2312" w:cs="仿宋_GB2312"/>
          <w:szCs w:val="24"/>
          <w:u w:val="none"/>
          <w:lang w:bidi="ar"/>
        </w:rPr>
        <w:t>平方千米。城乡建设应充分考虑地质灾害风险影响，分类明确风险管控措施，</w:t>
      </w:r>
      <w:r>
        <w:rPr>
          <w:rFonts w:hint="eastAsia" w:ascii="仿宋_GB2312" w:hAnsi="仿宋_GB2312" w:eastAsia="仿宋_GB2312" w:cs="仿宋_GB2312"/>
          <w:szCs w:val="24"/>
          <w:u w:val="single"/>
          <w:lang w:bidi="ar"/>
        </w:rPr>
        <w:t>中风险区应落实风险管控措施，采取地质灾害综合整治措施开展治理，全力确保安全。低风险区要按规定落实地质灾害防范措施，开展城乡建设。单独选址项目应按照地质灾害防治相关要求，开展地质灾害危险性评估并配套实施相关防护工程。</w:t>
      </w:r>
    </w:p>
    <w:p w14:paraId="7F481B6B">
      <w:pPr>
        <w:pStyle w:val="11"/>
        <w:ind w:firstLine="640" w:firstLineChars="200"/>
        <w:rPr>
          <w:rFonts w:hint="eastAsia" w:ascii="仿宋_GB2312" w:hAnsi="仿宋_GB2312" w:eastAsia="仿宋_GB2312" w:cs="仿宋_GB2312"/>
          <w:szCs w:val="24"/>
          <w:u w:val="none"/>
          <w:lang w:bidi="ar"/>
        </w:rPr>
      </w:pPr>
      <w:r>
        <w:rPr>
          <w:rFonts w:hint="eastAsia" w:ascii="楷体_GB2312" w:hAnsi="楷体_GB2312" w:eastAsia="楷体_GB2312" w:cs="楷体_GB2312"/>
          <w:szCs w:val="24"/>
          <w:u w:val="none"/>
          <w:lang w:bidi="ar"/>
        </w:rPr>
        <w:t>洪涝风险控制线。</w:t>
      </w:r>
      <w:r>
        <w:rPr>
          <w:rFonts w:hint="eastAsia" w:ascii="仿宋_GB2312" w:hAnsi="仿宋_GB2312" w:eastAsia="仿宋_GB2312" w:cs="仿宋_GB2312"/>
          <w:szCs w:val="24"/>
          <w:u w:val="none"/>
          <w:lang w:bidi="ar"/>
        </w:rPr>
        <w:t>以水利部门依法划定的河湖管理范围为基础，</w:t>
      </w:r>
      <w:r>
        <w:rPr>
          <w:rFonts w:hint="eastAsia" w:ascii="仿宋_GB2312" w:hAnsi="仿宋_GB2312" w:cs="仿宋_GB2312"/>
          <w:szCs w:val="24"/>
          <w:u w:val="none"/>
          <w:lang w:val="en-US" w:eastAsia="zh-CN" w:bidi="ar"/>
        </w:rPr>
        <w:t>落实上位规划划定的</w:t>
      </w:r>
      <w:r>
        <w:rPr>
          <w:rFonts w:hint="eastAsia" w:ascii="仿宋_GB2312" w:hAnsi="仿宋_GB2312" w:eastAsia="仿宋_GB2312" w:cs="仿宋_GB2312"/>
          <w:szCs w:val="24"/>
          <w:u w:val="none"/>
          <w:lang w:bidi="ar"/>
        </w:rPr>
        <w:t>洪涝风险控制线，</w:t>
      </w:r>
      <w:r>
        <w:rPr>
          <w:rFonts w:hint="eastAsia" w:ascii="仿宋_GB2312"/>
          <w:u w:val="none"/>
          <w:lang w:val="en-US" w:eastAsia="zh-CN"/>
        </w:rPr>
        <w:t>将</w:t>
      </w:r>
      <w:r>
        <w:rPr>
          <w:rFonts w:hint="eastAsia" w:ascii="仿宋_GB2312"/>
          <w:u w:val="none"/>
        </w:rPr>
        <w:t>沙珠玉河、</w:t>
      </w:r>
      <w:r>
        <w:rPr>
          <w:rFonts w:hint="eastAsia" w:ascii="仿宋_GB2312"/>
          <w:u w:val="none"/>
          <w:lang w:eastAsia="zh-CN"/>
        </w:rPr>
        <w:t>夏吾东渠沟</w:t>
      </w:r>
      <w:r>
        <w:rPr>
          <w:rFonts w:hint="eastAsia" w:ascii="仿宋_GB2312"/>
          <w:u w:val="none"/>
          <w:lang w:val="en-US" w:eastAsia="zh-CN"/>
        </w:rPr>
        <w:t>洪涝水行泄、调蓄的自然空间划入洪涝风险控制线，</w:t>
      </w:r>
      <w:r>
        <w:rPr>
          <w:rFonts w:hint="eastAsia" w:ascii="仿宋_GB2312" w:hAnsi="仿宋_GB2312" w:eastAsia="仿宋_GB2312" w:cs="仿宋_GB2312"/>
          <w:szCs w:val="24"/>
          <w:u w:val="none"/>
          <w:lang w:bidi="ar"/>
        </w:rPr>
        <w:t>保障防洪排涝系统完整性和通达性，</w:t>
      </w:r>
      <w:r>
        <w:rPr>
          <w:rFonts w:hint="eastAsia" w:ascii="仿宋_GB2312" w:hAnsi="仿宋_GB2312" w:eastAsia="仿宋_GB2312" w:cs="仿宋_GB2312"/>
          <w:szCs w:val="24"/>
          <w:u w:val="single"/>
          <w:lang w:bidi="ar"/>
        </w:rPr>
        <w:t>洪涝风险控制线总面积</w:t>
      </w:r>
      <w:r>
        <w:rPr>
          <w:rFonts w:hint="eastAsia" w:ascii="仿宋_GB2312" w:hAnsi="仿宋_GB2312" w:cs="仿宋_GB2312"/>
          <w:szCs w:val="24"/>
          <w:u w:val="single"/>
          <w:lang w:val="en-US" w:eastAsia="zh-CN" w:bidi="ar"/>
        </w:rPr>
        <w:t>1.85</w:t>
      </w:r>
      <w:r>
        <w:rPr>
          <w:rFonts w:hint="eastAsia" w:ascii="仿宋_GB2312" w:hAnsi="仿宋_GB2312" w:eastAsia="仿宋_GB2312" w:cs="仿宋_GB2312"/>
          <w:szCs w:val="24"/>
          <w:u w:val="single"/>
          <w:lang w:bidi="ar"/>
        </w:rPr>
        <w:t>平方千米。</w:t>
      </w:r>
      <w:r>
        <w:rPr>
          <w:rFonts w:hint="eastAsia" w:ascii="仿宋_GB2312" w:hAnsi="仿宋_GB2312" w:eastAsia="仿宋_GB2312" w:cs="仿宋_GB2312"/>
          <w:szCs w:val="24"/>
          <w:u w:val="none"/>
          <w:lang w:bidi="ar"/>
        </w:rPr>
        <w:t>对洪涝风险控制线内的耕地，在不妨碍行洪、蓄洪和输水等功能的前提下，依法依规分类处理。城市建设和发展不得占用洪涝行泄空间；对妨碍行洪、影响河势稳定、危害水工程安全的已建项目，依法限期拆除并恢复原状。对桥梁、码头等审批类项目进行防洪影响评价，消除不利影响。</w:t>
      </w:r>
    </w:p>
    <w:p w14:paraId="59EDA81D">
      <w:pPr>
        <w:pStyle w:val="6"/>
        <w:keepNext/>
        <w:keepLines/>
        <w:pageBreakBefore w:val="0"/>
        <w:widowControl w:val="0"/>
        <w:numPr>
          <w:ilvl w:val="1"/>
          <w:numId w:val="6"/>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31" w:name="_Toc15821"/>
      <w:r>
        <w:rPr>
          <w:rFonts w:hint="eastAsia" w:ascii="Arial" w:hAnsi="Arial" w:eastAsia="黑体" w:cs="Times New Roman"/>
          <w:b w:val="0"/>
          <w:lang w:val="zh-CN"/>
        </w:rPr>
        <w:t>主体功能区布局</w:t>
      </w:r>
      <w:bookmarkEnd w:id="31"/>
    </w:p>
    <w:p w14:paraId="4DA15075">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落实主体功能区布局</w:t>
      </w:r>
    </w:p>
    <w:p w14:paraId="4067A6D6">
      <w:pPr>
        <w:pStyle w:val="11"/>
        <w:ind w:firstLine="640" w:firstLineChars="200"/>
        <w:rPr>
          <w:rFonts w:hint="eastAsia" w:ascii="仿宋_GB2312" w:hAnsi="仿宋_GB2312" w:eastAsia="仿宋_GB2312" w:cs="仿宋_GB2312"/>
          <w:szCs w:val="24"/>
          <w:u w:val="none"/>
          <w:lang w:val="en-US" w:eastAsia="zh-CN" w:bidi="ar"/>
        </w:rPr>
      </w:pPr>
      <w:r>
        <w:rPr>
          <w:rFonts w:hint="eastAsia" w:ascii="楷体" w:hAnsi="楷体" w:eastAsia="楷体" w:cs="楷体"/>
          <w:kern w:val="2"/>
          <w:sz w:val="32"/>
          <w:szCs w:val="32"/>
          <w:lang w:val="en-US" w:eastAsia="zh-CN" w:bidi="ar"/>
        </w:rPr>
        <w:t>落实共和县对沙珠玉乡的主体功能区定位。</w:t>
      </w:r>
      <w:r>
        <w:rPr>
          <w:rFonts w:hint="eastAsia" w:hAnsi="宋体"/>
          <w:szCs w:val="32"/>
          <w:lang w:val="en-US" w:eastAsia="zh-CN"/>
        </w:rPr>
        <w:t>沙珠玉乡主体功能为</w:t>
      </w:r>
      <w:r>
        <w:rPr>
          <w:rFonts w:hint="eastAsia" w:hAnsi="宋体"/>
          <w:szCs w:val="32"/>
        </w:rPr>
        <w:t>农产品主产区，叠加功能为能源资源富集区</w:t>
      </w:r>
      <w:r>
        <w:rPr>
          <w:rFonts w:hint="eastAsia" w:hAnsi="宋体"/>
          <w:szCs w:val="32"/>
          <w:lang w:eastAsia="zh-CN"/>
        </w:rPr>
        <w:t>。</w:t>
      </w:r>
    </w:p>
    <w:p w14:paraId="2C10E17C">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加强主体功能区管控</w:t>
      </w:r>
    </w:p>
    <w:p w14:paraId="1B31F19D">
      <w:pPr>
        <w:pStyle w:val="17"/>
        <w:widowControl w:val="0"/>
        <w:spacing w:before="0" w:beforeAutospacing="0" w:after="120" w:afterAutospacing="0" w:line="600" w:lineRule="exact"/>
        <w:ind w:firstLine="640" w:firstLineChars="200"/>
        <w:jc w:val="both"/>
        <w:rPr>
          <w:rFonts w:hint="eastAsia" w:ascii="仿宋_GB2312" w:hAnsi="仿宋_GB2312" w:eastAsia="仿宋_GB2312" w:cs="仿宋_GB2312"/>
          <w:kern w:val="2"/>
          <w:sz w:val="32"/>
          <w:szCs w:val="32"/>
          <w:lang w:bidi="ar"/>
        </w:rPr>
      </w:pPr>
      <w:r>
        <w:rPr>
          <w:rFonts w:hint="eastAsia" w:ascii="楷体" w:hAnsi="楷体" w:eastAsia="楷体" w:cs="楷体"/>
          <w:kern w:val="2"/>
          <w:sz w:val="32"/>
          <w:szCs w:val="32"/>
          <w:lang w:val="en-US" w:eastAsia="zh-CN" w:bidi="ar"/>
        </w:rPr>
        <w:t>农产品主产区。</w:t>
      </w:r>
      <w:r>
        <w:rPr>
          <w:rFonts w:hint="eastAsia" w:ascii="仿宋_GB2312" w:hAnsi="仿宋_GB2312" w:eastAsia="仿宋_GB2312" w:cs="仿宋_GB2312"/>
          <w:kern w:val="2"/>
          <w:sz w:val="32"/>
          <w:szCs w:val="32"/>
          <w:lang w:bidi="ar"/>
        </w:rPr>
        <w:t>严格保护耕地、永久基本农田和基本草原，限制农牧产品主产区建设用地过度增长，实施农村土地综合整治。优先保障粮食供给和粮食安全，保障和规范农村产业融合发展用地，支持农业规模化经营配套建设用地。应大力探索光伏治沙、牧光互补模式，促进新能源与农牧业协调发展。</w:t>
      </w:r>
    </w:p>
    <w:p w14:paraId="5DA02BAE">
      <w:pPr>
        <w:tabs>
          <w:tab w:val="left" w:pos="353"/>
        </w:tabs>
        <w:spacing w:line="600" w:lineRule="exact"/>
        <w:ind w:firstLine="640"/>
        <w:rPr>
          <w:rFonts w:ascii="仿宋_GB2312" w:hAnsi="仿宋_GB2312" w:eastAsia="仿宋_GB2312" w:cs="仿宋_GB2312"/>
          <w:sz w:val="32"/>
          <w:szCs w:val="32"/>
        </w:rPr>
      </w:pPr>
      <w:r>
        <w:rPr>
          <w:rFonts w:hint="eastAsia" w:ascii="楷体" w:hAnsi="楷体" w:eastAsia="楷体" w:cs="楷体"/>
          <w:sz w:val="32"/>
          <w:szCs w:val="32"/>
          <w:lang w:bidi="ar"/>
        </w:rPr>
        <w:t>能源资源富集区</w:t>
      </w:r>
      <w:r>
        <w:rPr>
          <w:rFonts w:hint="eastAsia" w:ascii="仿宋_GB2312" w:hAnsi="仿宋_GB2312" w:eastAsia="仿宋_GB2312" w:cs="仿宋_GB2312"/>
          <w:sz w:val="32"/>
          <w:szCs w:val="32"/>
          <w:lang w:bidi="ar"/>
        </w:rPr>
        <w:t>。以资源保护为主，并适当发展能源产业。在落实主体功能定位</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不影响安全、不降低生态功能的前提下，鼓励建设牧光互补、风光互补、干热岩等能源项目</w:t>
      </w:r>
      <w:bookmarkStart w:id="32" w:name="_Hlk167456527"/>
      <w:r>
        <w:rPr>
          <w:rFonts w:hint="eastAsia" w:ascii="仿宋_GB2312" w:hAnsi="仿宋_GB2312" w:eastAsia="仿宋_GB2312" w:cs="仿宋_GB2312"/>
          <w:sz w:val="32"/>
          <w:szCs w:val="32"/>
          <w:lang w:bidi="ar"/>
        </w:rPr>
        <w:t>。对于沙地等生态敏感区，控制建设光伏治沙等新能源项目。</w:t>
      </w:r>
      <w:bookmarkEnd w:id="32"/>
    </w:p>
    <w:p w14:paraId="793DBF1D">
      <w:pPr>
        <w:pStyle w:val="6"/>
        <w:keepNext/>
        <w:keepLines/>
        <w:pageBreakBefore w:val="0"/>
        <w:widowControl w:val="0"/>
        <w:numPr>
          <w:ilvl w:val="1"/>
          <w:numId w:val="6"/>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33" w:name="_Toc15240"/>
      <w:r>
        <w:rPr>
          <w:rFonts w:hint="eastAsia" w:ascii="Arial" w:hAnsi="Arial" w:eastAsia="黑体" w:cs="Times New Roman"/>
          <w:b w:val="0"/>
          <w:lang w:val="zh-CN"/>
        </w:rPr>
        <w:t>国土空间开发保护格局</w:t>
      </w:r>
      <w:bookmarkEnd w:id="33"/>
    </w:p>
    <w:p w14:paraId="684F010B">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国土空间开发保护总体格局</w:t>
      </w:r>
    </w:p>
    <w:p w14:paraId="01E2C0BE">
      <w:pPr>
        <w:tabs>
          <w:tab w:val="left" w:pos="353"/>
        </w:tabs>
        <w:spacing w:line="600" w:lineRule="exact"/>
        <w:ind w:firstLine="640"/>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落实主体功能区要求和</w:t>
      </w:r>
      <w:r>
        <w:rPr>
          <w:rFonts w:hint="eastAsia" w:ascii="仿宋_GB2312" w:hAnsi="仿宋_GB2312" w:eastAsia="仿宋_GB2312" w:cs="仿宋_GB2312"/>
          <w:sz w:val="32"/>
          <w:szCs w:val="32"/>
          <w:lang w:val="en-US" w:eastAsia="zh-CN" w:bidi="ar"/>
        </w:rPr>
        <w:t>共和县</w:t>
      </w:r>
      <w:r>
        <w:rPr>
          <w:rFonts w:hint="eastAsia" w:ascii="仿宋_GB2312" w:hAnsi="仿宋_GB2312" w:eastAsia="仿宋_GB2312" w:cs="仿宋_GB2312"/>
          <w:sz w:val="32"/>
          <w:szCs w:val="32"/>
          <w:lang w:bidi="ar"/>
        </w:rPr>
        <w:t>国土空间保护开发总体格局，按照“三区全覆盖、三线不交叉”的原则，落实</w:t>
      </w:r>
      <w:r>
        <w:rPr>
          <w:rFonts w:hint="eastAsia" w:ascii="仿宋_GB2312" w:hAnsi="仿宋_GB2312" w:eastAsia="仿宋_GB2312" w:cs="仿宋_GB2312"/>
          <w:sz w:val="32"/>
          <w:szCs w:val="32"/>
          <w:lang w:val="en-US" w:eastAsia="zh-CN" w:bidi="ar"/>
        </w:rPr>
        <w:t>耕地和</w:t>
      </w:r>
      <w:r>
        <w:rPr>
          <w:rFonts w:hint="eastAsia" w:ascii="仿宋_GB2312" w:hAnsi="仿宋_GB2312" w:eastAsia="仿宋_GB2312" w:cs="仿宋_GB2312"/>
          <w:sz w:val="32"/>
          <w:szCs w:val="32"/>
          <w:lang w:bidi="ar"/>
        </w:rPr>
        <w:t>永久基本农田</w:t>
      </w:r>
      <w:r>
        <w:rPr>
          <w:rFonts w:hint="eastAsia" w:ascii="仿宋_GB2312" w:hAnsi="仿宋_GB2312" w:eastAsia="仿宋_GB2312" w:cs="仿宋_GB2312"/>
          <w:sz w:val="32"/>
          <w:szCs w:val="32"/>
          <w:lang w:val="en-US" w:eastAsia="zh-CN" w:bidi="ar"/>
        </w:rPr>
        <w:t>保护红线</w:t>
      </w:r>
      <w:r>
        <w:rPr>
          <w:rFonts w:hint="eastAsia" w:ascii="仿宋_GB2312" w:hAnsi="仿宋_GB2312" w:eastAsia="仿宋_GB2312" w:cs="仿宋_GB2312"/>
          <w:sz w:val="32"/>
          <w:szCs w:val="32"/>
          <w:lang w:bidi="ar"/>
        </w:rPr>
        <w:t>，科学划定沙珠玉乡农业、生态、建设三类空间</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统筹“山水林田湖草沙”一体化保护</w:t>
      </w:r>
      <w:r>
        <w:rPr>
          <w:rFonts w:hint="eastAsia" w:ascii="仿宋_GB2312" w:hAnsi="仿宋_GB2312" w:eastAsia="仿宋_GB2312" w:cs="仿宋_GB2312"/>
          <w:sz w:val="32"/>
          <w:szCs w:val="32"/>
          <w:lang w:bidi="ar"/>
        </w:rPr>
        <w:t>，构建沙珠玉乡国土空间开发保护总体格局</w:t>
      </w:r>
      <w:r>
        <w:rPr>
          <w:rFonts w:hint="eastAsia" w:ascii="仿宋_GB2312" w:hAnsi="仿宋_GB2312" w:eastAsia="仿宋_GB2312" w:cs="仿宋_GB2312"/>
          <w:sz w:val="32"/>
          <w:szCs w:val="32"/>
          <w:lang w:eastAsia="zh-CN" w:bidi="ar"/>
        </w:rPr>
        <w:t>。</w:t>
      </w:r>
    </w:p>
    <w:p w14:paraId="1B6A43EA">
      <w:pPr>
        <w:tabs>
          <w:tab w:val="left" w:pos="353"/>
        </w:tabs>
        <w:spacing w:line="600" w:lineRule="exact"/>
        <w:ind w:firstLine="640"/>
        <w:rPr>
          <w:rFonts w:hint="eastAsia" w:ascii="仿宋_GB2312" w:hAnsi="仿宋_GB2312" w:eastAsia="仿宋_GB2312" w:cs="仿宋_GB2312"/>
          <w:sz w:val="36"/>
          <w:szCs w:val="36"/>
          <w:lang w:val="en-US" w:eastAsia="zh-CN" w:bidi="ar"/>
        </w:rPr>
      </w:pPr>
      <w:r>
        <w:rPr>
          <w:rFonts w:hint="eastAsia" w:ascii="仿宋_GB2312" w:hAnsi="仿宋_GB2312" w:eastAsia="仿宋_GB2312" w:cs="仿宋_GB2312"/>
          <w:sz w:val="32"/>
          <w:szCs w:val="32"/>
          <w:lang w:bidi="ar"/>
        </w:rPr>
        <w:t>沙珠玉乡</w:t>
      </w:r>
      <w:r>
        <w:rPr>
          <w:rFonts w:hint="eastAsia" w:ascii="仿宋_GB2312" w:hAnsi="仿宋_GB2312" w:eastAsia="仿宋_GB2312" w:cs="仿宋_GB2312"/>
          <w:sz w:val="32"/>
          <w:szCs w:val="32"/>
          <w:lang w:val="en-US" w:eastAsia="zh-CN" w:bidi="ar"/>
        </w:rPr>
        <w:t>规划形成“一轴引领，一心四区”的国土空间开发保护总体格局。</w:t>
      </w:r>
    </w:p>
    <w:p w14:paraId="4F3CF4A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一轴，</w:t>
      </w:r>
      <w:r>
        <w:rPr>
          <w:rFonts w:hint="eastAsia" w:ascii="仿宋_GB2312" w:hAnsi="仿宋_GB2312" w:eastAsia="仿宋_GB2312" w:cs="仿宋_GB2312"/>
          <w:sz w:val="32"/>
          <w:szCs w:val="32"/>
          <w:lang w:val="en-US" w:eastAsia="zh-CN"/>
        </w:rPr>
        <w:t>即以恰沙公路和沙扎公路为基础，</w:t>
      </w:r>
      <w:r>
        <w:rPr>
          <w:rFonts w:hint="eastAsia" w:ascii="仿宋_GB2312" w:hAnsi="仿宋_GB2312" w:eastAsia="仿宋_GB2312" w:cs="仿宋_GB2312"/>
          <w:sz w:val="32"/>
          <w:szCs w:val="32"/>
        </w:rPr>
        <w:t>打造东西向</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镇村</w:t>
      </w:r>
      <w:r>
        <w:rPr>
          <w:rFonts w:hint="eastAsia" w:ascii="仿宋_GB2312" w:hAnsi="仿宋_GB2312" w:eastAsia="仿宋_GB2312" w:cs="仿宋_GB2312"/>
          <w:sz w:val="32"/>
          <w:szCs w:val="32"/>
          <w:lang w:val="en-US" w:eastAsia="zh-CN"/>
        </w:rPr>
        <w:t>联动</w:t>
      </w:r>
      <w:r>
        <w:rPr>
          <w:rFonts w:hint="eastAsia" w:ascii="仿宋_GB2312" w:hAnsi="仿宋_GB2312" w:eastAsia="仿宋_GB2312" w:cs="仿宋_GB2312"/>
          <w:sz w:val="32"/>
          <w:szCs w:val="32"/>
        </w:rPr>
        <w:t>发展轴</w:t>
      </w:r>
      <w:r>
        <w:rPr>
          <w:rFonts w:hint="eastAsia" w:ascii="仿宋_GB2312" w:hAnsi="仿宋_GB2312" w:eastAsia="仿宋_GB2312" w:cs="仿宋_GB2312"/>
          <w:sz w:val="32"/>
          <w:szCs w:val="32"/>
          <w:lang w:eastAsia="zh-CN"/>
        </w:rPr>
        <w:t>。</w:t>
      </w:r>
    </w:p>
    <w:p w14:paraId="6C5AC93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一心，</w:t>
      </w:r>
      <w:r>
        <w:rPr>
          <w:rFonts w:hint="eastAsia" w:ascii="仿宋_GB2312" w:hAnsi="仿宋_GB2312" w:eastAsia="仿宋_GB2312" w:cs="仿宋_GB2312"/>
          <w:sz w:val="32"/>
          <w:szCs w:val="32"/>
          <w:lang w:val="en-US" w:eastAsia="zh-CN"/>
        </w:rPr>
        <w:t>即以</w:t>
      </w:r>
      <w:r>
        <w:rPr>
          <w:rFonts w:hint="eastAsia" w:ascii="仿宋_GB2312" w:hAnsi="仿宋_GB2312" w:eastAsia="仿宋_GB2312" w:cs="仿宋_GB2312"/>
          <w:sz w:val="32"/>
          <w:szCs w:val="32"/>
        </w:rPr>
        <w:t>乡政府驻地</w:t>
      </w:r>
      <w:r>
        <w:rPr>
          <w:rFonts w:hint="eastAsia" w:ascii="仿宋_GB2312" w:hAnsi="仿宋_GB2312" w:eastAsia="仿宋_GB2312" w:cs="仿宋_GB2312"/>
          <w:sz w:val="32"/>
          <w:szCs w:val="32"/>
          <w:lang w:eastAsia="zh-CN"/>
        </w:rPr>
        <w:t>为</w:t>
      </w:r>
      <w:r>
        <w:rPr>
          <w:rFonts w:hint="eastAsia" w:ascii="仿宋_GB2312" w:hAnsi="仿宋_GB2312" w:eastAsia="仿宋_GB2312" w:cs="仿宋_GB2312"/>
          <w:sz w:val="32"/>
          <w:szCs w:val="32"/>
        </w:rPr>
        <w:t>乡域发展的综合服务核心，辐射带动周边村庄经济产业发展。</w:t>
      </w:r>
    </w:p>
    <w:p w14:paraId="3EC9401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四区，</w:t>
      </w:r>
      <w:r>
        <w:rPr>
          <w:rFonts w:hint="eastAsia" w:ascii="仿宋_GB2312" w:hAnsi="仿宋_GB2312" w:eastAsia="仿宋_GB2312" w:cs="仿宋_GB2312"/>
          <w:sz w:val="32"/>
          <w:szCs w:val="32"/>
          <w:lang w:val="en-US" w:eastAsia="zh-CN"/>
        </w:rPr>
        <w:t>即</w:t>
      </w:r>
      <w:r>
        <w:rPr>
          <w:rFonts w:hint="eastAsia" w:ascii="仿宋_GB2312" w:hAnsi="仿宋_GB2312" w:eastAsia="仿宋_GB2312" w:cs="仿宋_GB2312"/>
          <w:sz w:val="32"/>
          <w:szCs w:val="32"/>
        </w:rPr>
        <w:t>依资源要素分布划分的四大</w:t>
      </w:r>
      <w:r>
        <w:rPr>
          <w:rFonts w:hint="eastAsia" w:ascii="仿宋_GB2312" w:hAnsi="仿宋_GB2312" w:eastAsia="仿宋_GB2312" w:cs="仿宋_GB2312"/>
          <w:sz w:val="32"/>
          <w:szCs w:val="32"/>
          <w:lang w:bidi="ar"/>
        </w:rPr>
        <w:t>片区</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中部村落集中地带，耕地较多，经济发展迅速，作为乡村集聚发展区；村庄北部牧草资源丰富，作为生态农牧发展区；村庄南部沙漠资源集中，作为沙漠观光与清洁能源发展区；西北部与南部大片天然牧草地为禁牧草场，发展产业较为困难，作为生态草场修复区。</w:t>
      </w:r>
    </w:p>
    <w:p w14:paraId="61A87284">
      <w:pPr>
        <w:pStyle w:val="6"/>
        <w:keepNext/>
        <w:keepLines/>
        <w:pageBreakBefore w:val="0"/>
        <w:widowControl w:val="0"/>
        <w:numPr>
          <w:ilvl w:val="1"/>
          <w:numId w:val="6"/>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34" w:name="_Toc25763"/>
      <w:r>
        <w:rPr>
          <w:rFonts w:hint="eastAsia" w:ascii="Arial" w:hAnsi="Arial" w:eastAsia="黑体" w:cs="Times New Roman"/>
          <w:b w:val="0"/>
          <w:lang w:val="zh-CN"/>
        </w:rPr>
        <w:t>规划分区</w:t>
      </w:r>
      <w:bookmarkEnd w:id="34"/>
    </w:p>
    <w:p w14:paraId="5A994A17">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生态控制区</w:t>
      </w:r>
    </w:p>
    <w:p w14:paraId="395D120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生态控制区是生态保护</w:t>
      </w:r>
      <w:r>
        <w:rPr>
          <w:rFonts w:hint="eastAsia" w:ascii="仿宋_GB2312" w:hAnsi="仿宋_GB2312" w:eastAsia="仿宋_GB2312" w:cs="仿宋_GB2312"/>
          <w:sz w:val="32"/>
          <w:szCs w:val="32"/>
          <w:lang w:val="en-US" w:eastAsia="zh-CN"/>
        </w:rPr>
        <w:t>红线</w:t>
      </w:r>
      <w:r>
        <w:rPr>
          <w:rFonts w:hint="eastAsia" w:ascii="仿宋_GB2312" w:hAnsi="仿宋_GB2312" w:eastAsia="仿宋_GB2312" w:cs="仿宋_GB2312"/>
          <w:sz w:val="32"/>
          <w:szCs w:val="32"/>
        </w:rPr>
        <w:t>之外，具有特殊重要生态功能或生态敏感脆弱，需要予以保留原貌、强化生态保育和生态建设、限制开发建设的自然区域，规划划定生态控制区</w:t>
      </w:r>
      <w:r>
        <w:rPr>
          <w:rFonts w:hint="eastAsia" w:ascii="仿宋_GB2312" w:hAnsi="仿宋_GB2312" w:eastAsia="仿宋_GB2312" w:cs="仿宋_GB2312"/>
          <w:sz w:val="32"/>
          <w:szCs w:val="32"/>
          <w:lang w:val="en-US" w:eastAsia="zh-CN"/>
        </w:rPr>
        <w:t>6.50</w:t>
      </w:r>
      <w:r>
        <w:rPr>
          <w:rFonts w:hint="eastAsia" w:ascii="仿宋_GB2312" w:hAnsi="仿宋_GB2312" w:eastAsia="仿宋_GB2312" w:cs="仿宋_GB2312"/>
          <w:sz w:val="32"/>
          <w:szCs w:val="32"/>
        </w:rPr>
        <w:t>平方千米，</w:t>
      </w:r>
      <w:r>
        <w:rPr>
          <w:rFonts w:hint="eastAsia" w:ascii="仿宋_GB2312" w:hAnsi="仿宋_GB2312" w:eastAsia="仿宋_GB2312" w:cs="仿宋_GB2312"/>
          <w:sz w:val="32"/>
          <w:szCs w:val="32"/>
          <w:lang w:val="en-US" w:eastAsia="zh-CN"/>
        </w:rPr>
        <w:t>主要分布在河流、沟谷及水源保护地区</w:t>
      </w:r>
      <w:r>
        <w:rPr>
          <w:rFonts w:hint="eastAsia" w:ascii="仿宋_GB2312" w:hAnsi="仿宋_GB2312" w:eastAsia="仿宋_GB2312" w:cs="仿宋_GB2312"/>
          <w:sz w:val="32"/>
          <w:szCs w:val="32"/>
        </w:rPr>
        <w:t>。</w:t>
      </w:r>
    </w:p>
    <w:p w14:paraId="26B81F87">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农田保护区</w:t>
      </w:r>
    </w:p>
    <w:p w14:paraId="3F6F3068">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val="en-US" w:eastAsia="zh-CN"/>
        </w:rPr>
        <w:t>县级国土空间规划</w:t>
      </w:r>
      <w:r>
        <w:rPr>
          <w:rFonts w:hint="eastAsia" w:ascii="仿宋_GB2312" w:hAnsi="仿宋_GB2312" w:eastAsia="仿宋_GB2312" w:cs="仿宋_GB2312"/>
          <w:sz w:val="32"/>
          <w:szCs w:val="32"/>
        </w:rPr>
        <w:t>“三区三线”划定成果，将相对集中需严格保护的永久基本农田纳入农田保护区，规划划定农田保护区16.5</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平方千米</w:t>
      </w:r>
      <w:r>
        <w:rPr>
          <w:rFonts w:hint="eastAsia" w:ascii="仿宋_GB2312" w:hAnsi="仿宋_GB2312" w:eastAsia="仿宋_GB2312" w:cs="仿宋_GB2312"/>
          <w:sz w:val="32"/>
          <w:szCs w:val="32"/>
          <w:lang w:val="en-US" w:eastAsia="zh-CN"/>
        </w:rPr>
        <w:t>，主要分布在乡域中部村庄周边。</w:t>
      </w:r>
    </w:p>
    <w:p w14:paraId="14A5CBE5">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乡村发展区</w:t>
      </w:r>
    </w:p>
    <w:p w14:paraId="1CFE02F8">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将永久基本农田保护区外的一般耕地、部分林地、村庄用地等以农业生产、林地保育、乡村发展为主的区域划定为乡村发展区。</w:t>
      </w:r>
    </w:p>
    <w:p w14:paraId="38E57AFC">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规划乡村发展区</w:t>
      </w:r>
      <w:r>
        <w:rPr>
          <w:rFonts w:hint="eastAsia" w:ascii="仿宋_GB2312" w:hAnsi="仿宋_GB2312" w:eastAsia="仿宋_GB2312" w:cs="仿宋_GB2312"/>
          <w:sz w:val="32"/>
          <w:szCs w:val="32"/>
          <w:lang w:val="en-US" w:eastAsia="zh-CN"/>
        </w:rPr>
        <w:t>520.09</w:t>
      </w:r>
      <w:r>
        <w:rPr>
          <w:rFonts w:hint="eastAsia" w:ascii="仿宋_GB2312" w:hAnsi="仿宋_GB2312" w:eastAsia="仿宋_GB2312" w:cs="仿宋_GB2312"/>
          <w:sz w:val="32"/>
          <w:szCs w:val="32"/>
        </w:rPr>
        <w:t>平方千米</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其中村庄建设区</w:t>
      </w:r>
      <w:r>
        <w:rPr>
          <w:rFonts w:hint="eastAsia" w:ascii="仿宋_GB2312" w:hAnsi="仿宋_GB2312" w:eastAsia="仿宋_GB2312" w:cs="仿宋_GB2312"/>
          <w:sz w:val="32"/>
          <w:szCs w:val="32"/>
          <w:lang w:val="en-US" w:eastAsia="zh-CN"/>
        </w:rPr>
        <w:t>4.07</w:t>
      </w:r>
      <w:r>
        <w:rPr>
          <w:rFonts w:hint="eastAsia" w:ascii="仿宋_GB2312" w:hAnsi="仿宋_GB2312" w:eastAsia="仿宋_GB2312" w:cs="仿宋_GB2312"/>
          <w:sz w:val="32"/>
          <w:szCs w:val="32"/>
        </w:rPr>
        <w:t>平方千米</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一般农业区</w:t>
      </w:r>
      <w:r>
        <w:rPr>
          <w:rFonts w:hint="eastAsia" w:ascii="仿宋_GB2312" w:hAnsi="仿宋_GB2312" w:eastAsia="仿宋_GB2312" w:cs="仿宋_GB2312"/>
          <w:sz w:val="32"/>
          <w:szCs w:val="32"/>
          <w:lang w:val="en-US" w:eastAsia="zh-CN"/>
        </w:rPr>
        <w:t>164.20</w:t>
      </w:r>
      <w:r>
        <w:rPr>
          <w:rFonts w:hint="eastAsia" w:ascii="仿宋_GB2312" w:hAnsi="仿宋_GB2312" w:eastAsia="仿宋_GB2312" w:cs="仿宋_GB2312"/>
          <w:sz w:val="32"/>
          <w:szCs w:val="32"/>
        </w:rPr>
        <w:t>平方千米</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林业发展区</w:t>
      </w:r>
      <w:r>
        <w:rPr>
          <w:rFonts w:hint="eastAsia" w:ascii="仿宋_GB2312" w:hAnsi="仿宋_GB2312" w:eastAsia="仿宋_GB2312" w:cs="仿宋_GB2312"/>
          <w:sz w:val="32"/>
          <w:szCs w:val="32"/>
          <w:lang w:val="en-US" w:eastAsia="zh-CN"/>
        </w:rPr>
        <w:t>23.15</w:t>
      </w:r>
      <w:r>
        <w:rPr>
          <w:rFonts w:hint="eastAsia" w:ascii="仿宋_GB2312" w:hAnsi="仿宋_GB2312" w:eastAsia="仿宋_GB2312" w:cs="仿宋_GB2312"/>
          <w:sz w:val="32"/>
          <w:szCs w:val="32"/>
        </w:rPr>
        <w:t>平方千米</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牧业发展区</w:t>
      </w:r>
      <w:r>
        <w:rPr>
          <w:rFonts w:hint="eastAsia" w:ascii="仿宋_GB2312" w:hAnsi="仿宋_GB2312" w:eastAsia="仿宋_GB2312" w:cs="仿宋_GB2312"/>
          <w:sz w:val="32"/>
          <w:szCs w:val="32"/>
          <w:lang w:val="en-US" w:eastAsia="zh-CN"/>
        </w:rPr>
        <w:t>328.66</w:t>
      </w:r>
      <w:r>
        <w:rPr>
          <w:rFonts w:hint="eastAsia" w:ascii="仿宋_GB2312" w:hAnsi="仿宋_GB2312" w:eastAsia="仿宋_GB2312" w:cs="仿宋_GB2312"/>
          <w:sz w:val="32"/>
          <w:szCs w:val="32"/>
        </w:rPr>
        <w:t>平方千米。</w:t>
      </w:r>
    </w:p>
    <w:p w14:paraId="0C70354A">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乡村发展区重点优化农业产业结构，合理确定村庄建设边界，控制村庄建设用地总量，科学划定宅基地范围，优化宅基地布局，按一户一宅要求保障合理的宅基地需求，有序推进村庄用地更新改造，提升农村人居环境。</w:t>
      </w:r>
    </w:p>
    <w:p w14:paraId="7E91C5B2">
      <w:pPr>
        <w:pStyle w:val="2"/>
        <w:rPr>
          <w:rFonts w:hint="eastAsia" w:ascii="仿宋_GB2312" w:hAnsi="仿宋_GB2312" w:eastAsia="仿宋_GB2312" w:cs="仿宋_GB2312"/>
          <w:sz w:val="32"/>
          <w:szCs w:val="32"/>
        </w:rPr>
      </w:pPr>
    </w:p>
    <w:p w14:paraId="3C73B50B">
      <w:pPr>
        <w:pStyle w:val="4"/>
        <w:rPr>
          <w:rFonts w:hint="eastAsia"/>
        </w:rPr>
      </w:pPr>
    </w:p>
    <w:p w14:paraId="727572EE">
      <w:pPr>
        <w:pStyle w:val="6"/>
        <w:keepNext/>
        <w:keepLines/>
        <w:pageBreakBefore w:val="0"/>
        <w:widowControl w:val="0"/>
        <w:numPr>
          <w:ilvl w:val="1"/>
          <w:numId w:val="6"/>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default" w:ascii="Arial" w:hAnsi="Arial" w:eastAsia="黑体" w:cs="Times New Roman"/>
          <w:b w:val="0"/>
          <w:lang w:val="en-US" w:eastAsia="zh-CN"/>
        </w:rPr>
      </w:pPr>
      <w:bookmarkStart w:id="35" w:name="_Toc4250"/>
      <w:r>
        <w:rPr>
          <w:rFonts w:hint="eastAsia" w:ascii="Arial" w:hAnsi="Arial" w:eastAsia="黑体" w:cs="Times New Roman"/>
          <w:b w:val="0"/>
          <w:lang w:val="en-US" w:eastAsia="zh-CN"/>
        </w:rPr>
        <w:t>用途结构调整</w:t>
      </w:r>
      <w:bookmarkEnd w:id="35"/>
    </w:p>
    <w:p w14:paraId="506E4B25">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36" w:name="_Toc83629297"/>
      <w:bookmarkStart w:id="37" w:name="_Toc83629097"/>
      <w:bookmarkStart w:id="38" w:name="_Toc79668930"/>
      <w:r>
        <w:rPr>
          <w:rFonts w:hint="eastAsia" w:ascii="楷体_GB2312" w:hAnsi="Times New Roman" w:eastAsia="楷体_GB2312" w:cs="Times New Roman"/>
          <w:bCs/>
          <w:sz w:val="32"/>
          <w:szCs w:val="32"/>
        </w:rPr>
        <w:t>国土空间结构调整原则</w:t>
      </w:r>
    </w:p>
    <w:p w14:paraId="6CC893CE">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底线约束，保护优先。</w:t>
      </w:r>
      <w:r>
        <w:rPr>
          <w:rFonts w:hint="eastAsia" w:ascii="仿宋_GB2312" w:hAnsi="仿宋_GB2312" w:eastAsia="仿宋_GB2312" w:cs="仿宋_GB2312"/>
          <w:sz w:val="32"/>
          <w:szCs w:val="32"/>
        </w:rPr>
        <w:t>以永久基本农田为底线，切实加强优质耕地和永久基本农田保护，强化河流、湿地、森林、自然保护地等主要生态用地保护。</w:t>
      </w:r>
    </w:p>
    <w:p w14:paraId="37C8BF0D">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节约集约，统筹兼顾。</w:t>
      </w:r>
      <w:r>
        <w:rPr>
          <w:rFonts w:hint="eastAsia" w:ascii="仿宋_GB2312" w:hAnsi="仿宋_GB2312" w:eastAsia="仿宋_GB2312" w:cs="仿宋_GB2312"/>
          <w:sz w:val="32"/>
          <w:szCs w:val="32"/>
        </w:rPr>
        <w:t>坚持节约集约利用土地，统筹安排农业、居住生活、基础设施、公共服务、产业发展、生态环境保护等各类建设用地。</w:t>
      </w:r>
    </w:p>
    <w:p w14:paraId="2D74E384">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因地制宜，合理布局。</w:t>
      </w:r>
      <w:r>
        <w:rPr>
          <w:rFonts w:hint="eastAsia" w:ascii="仿宋_GB2312" w:hAnsi="仿宋_GB2312" w:eastAsia="仿宋_GB2312" w:cs="仿宋_GB2312"/>
          <w:sz w:val="32"/>
          <w:szCs w:val="32"/>
        </w:rPr>
        <w:t>根据资源禀赋、自然条件、经济社会发展水平，因地制宜，合理调整用地结构和布局。</w:t>
      </w:r>
    </w:p>
    <w:bookmarkEnd w:id="36"/>
    <w:bookmarkEnd w:id="37"/>
    <w:bookmarkEnd w:id="38"/>
    <w:p w14:paraId="24860D6D">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39" w:name="_Hlk148272052"/>
      <w:r>
        <w:rPr>
          <w:rFonts w:hint="eastAsia" w:ascii="楷体_GB2312" w:hAnsi="Times New Roman" w:eastAsia="楷体_GB2312" w:cs="Times New Roman"/>
          <w:bCs/>
          <w:sz w:val="32"/>
          <w:szCs w:val="32"/>
        </w:rPr>
        <w:t>国土空间用途结构调整</w:t>
      </w:r>
    </w:p>
    <w:bookmarkEnd w:id="39"/>
    <w:p w14:paraId="22B802CD">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bookmarkStart w:id="40" w:name="_Hlk148271994"/>
      <w:r>
        <w:rPr>
          <w:rFonts w:hint="eastAsia" w:ascii="楷体_GB2312" w:hAnsi="楷体_GB2312" w:eastAsia="楷体_GB2312" w:cs="楷体_GB2312"/>
          <w:sz w:val="32"/>
          <w:szCs w:val="32"/>
          <w:lang w:val="en-US" w:eastAsia="zh-CN"/>
        </w:rPr>
        <w:t>耕地。</w:t>
      </w:r>
      <w:r>
        <w:rPr>
          <w:rFonts w:hint="eastAsia" w:ascii="仿宋_GB2312" w:hAnsi="仿宋_GB2312" w:eastAsia="仿宋_GB2312" w:cs="仿宋_GB2312"/>
          <w:sz w:val="32"/>
          <w:szCs w:val="32"/>
        </w:rPr>
        <w:t>着力保护耕地资源，优化耕地布局，提升耕地质量，充分保障优质粮食与特色农产品生产。严格控制非农建设占用耕地，切实加强耕地生态保护与建设。规划至2035年，</w:t>
      </w:r>
      <w:r>
        <w:rPr>
          <w:rFonts w:hint="eastAsia" w:ascii="仿宋_GB2312" w:hAnsi="仿宋_GB2312" w:eastAsia="仿宋_GB2312" w:cs="仿宋_GB2312"/>
          <w:sz w:val="32"/>
          <w:szCs w:val="32"/>
          <w:lang w:val="en-US" w:eastAsia="zh-CN"/>
        </w:rPr>
        <w:t>全乡耕地面积17.51平方公里</w:t>
      </w:r>
      <w:r>
        <w:rPr>
          <w:rFonts w:hint="eastAsia" w:ascii="仿宋_GB2312" w:hAnsi="仿宋_GB2312" w:eastAsia="仿宋_GB2312" w:cs="仿宋_GB2312"/>
          <w:sz w:val="32"/>
          <w:szCs w:val="32"/>
        </w:rPr>
        <w:t>。</w:t>
      </w:r>
    </w:p>
    <w:p w14:paraId="58077577">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园地。</w:t>
      </w:r>
      <w:r>
        <w:rPr>
          <w:rFonts w:hint="eastAsia" w:ascii="仿宋_GB2312" w:hAnsi="仿宋_GB2312" w:eastAsia="仿宋_GB2312" w:cs="仿宋_GB2312"/>
          <w:sz w:val="32"/>
          <w:szCs w:val="32"/>
        </w:rPr>
        <w:t>合理调整园地布局，引导园地集约高效利用，提高园地综合生产能力和经济效益。规划至2035年，</w:t>
      </w:r>
      <w:r>
        <w:rPr>
          <w:rFonts w:hint="eastAsia" w:ascii="仿宋_GB2312" w:hAnsi="仿宋_GB2312" w:eastAsia="仿宋_GB2312" w:cs="仿宋_GB2312"/>
          <w:sz w:val="32"/>
          <w:szCs w:val="32"/>
          <w:lang w:val="en-US" w:eastAsia="zh-CN"/>
        </w:rPr>
        <w:t>全乡</w:t>
      </w:r>
      <w:r>
        <w:rPr>
          <w:rFonts w:hint="eastAsia" w:ascii="仿宋_GB2312" w:hAnsi="仿宋_GB2312" w:eastAsia="仿宋_GB2312" w:cs="仿宋_GB2312"/>
          <w:sz w:val="32"/>
          <w:szCs w:val="32"/>
        </w:rPr>
        <w:t>园地面积</w:t>
      </w:r>
      <w:r>
        <w:rPr>
          <w:rFonts w:hint="eastAsia" w:ascii="仿宋_GB2312" w:hAnsi="仿宋_GB2312" w:eastAsia="仿宋_GB2312" w:cs="仿宋_GB2312"/>
          <w:sz w:val="32"/>
          <w:szCs w:val="32"/>
          <w:lang w:val="en-US" w:eastAsia="zh-CN"/>
        </w:rPr>
        <w:t>3.30平方公里</w:t>
      </w:r>
      <w:r>
        <w:rPr>
          <w:rFonts w:hint="eastAsia" w:ascii="仿宋_GB2312" w:hAnsi="仿宋_GB2312" w:eastAsia="仿宋_GB2312" w:cs="仿宋_GB2312"/>
          <w:sz w:val="32"/>
          <w:szCs w:val="32"/>
        </w:rPr>
        <w:t>。</w:t>
      </w:r>
    </w:p>
    <w:p w14:paraId="2923A4B1">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林地。</w:t>
      </w:r>
      <w:r>
        <w:rPr>
          <w:rFonts w:hint="eastAsia" w:ascii="仿宋_GB2312" w:hAnsi="仿宋_GB2312" w:eastAsia="仿宋_GB2312" w:cs="仿宋_GB2312"/>
          <w:sz w:val="32"/>
          <w:szCs w:val="32"/>
        </w:rPr>
        <w:t>有效保护与合理配置林地资源，积极营造绿色生态空间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规划至2035年，</w:t>
      </w:r>
      <w:r>
        <w:rPr>
          <w:rFonts w:hint="eastAsia" w:ascii="仿宋_GB2312" w:hAnsi="仿宋_GB2312" w:eastAsia="仿宋_GB2312" w:cs="仿宋_GB2312"/>
          <w:sz w:val="32"/>
          <w:szCs w:val="32"/>
          <w:lang w:eastAsia="zh-CN"/>
        </w:rPr>
        <w:t>全乡</w:t>
      </w:r>
      <w:r>
        <w:rPr>
          <w:rFonts w:hint="eastAsia" w:ascii="仿宋_GB2312" w:hAnsi="仿宋_GB2312" w:eastAsia="仿宋_GB2312" w:cs="仿宋_GB2312"/>
          <w:sz w:val="32"/>
          <w:szCs w:val="32"/>
        </w:rPr>
        <w:t>林地面积</w:t>
      </w:r>
      <w:r>
        <w:rPr>
          <w:rFonts w:hint="eastAsia" w:ascii="仿宋_GB2312" w:hAnsi="仿宋_GB2312" w:eastAsia="仿宋_GB2312" w:cs="仿宋_GB2312"/>
          <w:sz w:val="32"/>
          <w:szCs w:val="32"/>
          <w:lang w:val="en-US" w:eastAsia="zh-CN"/>
        </w:rPr>
        <w:t>25.20平方公里</w:t>
      </w:r>
      <w:r>
        <w:rPr>
          <w:rFonts w:hint="eastAsia" w:ascii="仿宋_GB2312" w:hAnsi="仿宋_GB2312" w:eastAsia="仿宋_GB2312" w:cs="仿宋_GB2312"/>
          <w:sz w:val="32"/>
          <w:szCs w:val="32"/>
        </w:rPr>
        <w:t>。</w:t>
      </w:r>
    </w:p>
    <w:p w14:paraId="73A5F2CA">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草地。</w:t>
      </w:r>
      <w:r>
        <w:rPr>
          <w:rFonts w:hint="eastAsia" w:ascii="仿宋_GB2312" w:hAnsi="仿宋_GB2312" w:eastAsia="仿宋_GB2312" w:cs="仿宋_GB2312"/>
          <w:sz w:val="32"/>
          <w:szCs w:val="32"/>
        </w:rPr>
        <w:t>合理</w:t>
      </w:r>
      <w:r>
        <w:rPr>
          <w:rFonts w:hint="eastAsia" w:ascii="仿宋_GB2312" w:hAnsi="仿宋_GB2312" w:eastAsia="仿宋_GB2312" w:cs="仿宋_GB2312"/>
          <w:sz w:val="32"/>
          <w:szCs w:val="32"/>
          <w:lang w:val="en-US" w:eastAsia="zh-CN"/>
        </w:rPr>
        <w:t>优化</w:t>
      </w:r>
      <w:r>
        <w:rPr>
          <w:rFonts w:hint="eastAsia" w:ascii="仿宋_GB2312" w:hAnsi="仿宋_GB2312" w:eastAsia="仿宋_GB2312" w:cs="仿宋_GB2312"/>
          <w:sz w:val="32"/>
          <w:szCs w:val="32"/>
        </w:rPr>
        <w:t>调整草地布局，</w:t>
      </w:r>
      <w:r>
        <w:rPr>
          <w:rFonts w:hint="eastAsia" w:ascii="仿宋_GB2312" w:hAnsi="仿宋_GB2312" w:eastAsia="仿宋_GB2312" w:cs="仿宋_GB2312"/>
          <w:sz w:val="32"/>
          <w:szCs w:val="32"/>
          <w:lang w:val="en-US" w:eastAsia="zh-CN"/>
        </w:rPr>
        <w:t>保障山地草原观光空间。</w:t>
      </w:r>
      <w:r>
        <w:rPr>
          <w:rFonts w:hint="eastAsia" w:ascii="仿宋_GB2312" w:hAnsi="仿宋_GB2312" w:eastAsia="仿宋_GB2312" w:cs="仿宋_GB2312"/>
          <w:sz w:val="32"/>
          <w:szCs w:val="32"/>
        </w:rPr>
        <w:t>规划至2035年，</w:t>
      </w:r>
      <w:r>
        <w:rPr>
          <w:rFonts w:hint="eastAsia" w:ascii="仿宋_GB2312" w:hAnsi="仿宋_GB2312" w:eastAsia="仿宋_GB2312" w:cs="仿宋_GB2312"/>
          <w:sz w:val="32"/>
          <w:szCs w:val="32"/>
          <w:lang w:eastAsia="zh-CN"/>
        </w:rPr>
        <w:t>全乡</w:t>
      </w:r>
      <w:r>
        <w:rPr>
          <w:rFonts w:hint="eastAsia" w:ascii="仿宋_GB2312" w:hAnsi="仿宋_GB2312" w:eastAsia="仿宋_GB2312" w:cs="仿宋_GB2312"/>
          <w:sz w:val="32"/>
          <w:szCs w:val="32"/>
        </w:rPr>
        <w:t>草地面积</w:t>
      </w:r>
      <w:r>
        <w:rPr>
          <w:rFonts w:hint="eastAsia" w:ascii="仿宋_GB2312" w:hAnsi="仿宋_GB2312" w:eastAsia="仿宋_GB2312" w:cs="仿宋_GB2312"/>
          <w:sz w:val="32"/>
          <w:szCs w:val="32"/>
          <w:lang w:val="en-US" w:eastAsia="zh-CN"/>
        </w:rPr>
        <w:t>331.42平方公里</w:t>
      </w:r>
      <w:r>
        <w:rPr>
          <w:rFonts w:hint="eastAsia" w:ascii="仿宋_GB2312" w:hAnsi="仿宋_GB2312" w:eastAsia="仿宋_GB2312" w:cs="仿宋_GB2312"/>
          <w:sz w:val="32"/>
          <w:szCs w:val="32"/>
        </w:rPr>
        <w:t>。</w:t>
      </w:r>
    </w:p>
    <w:p w14:paraId="3CD04285">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湿地。</w:t>
      </w:r>
      <w:r>
        <w:rPr>
          <w:rFonts w:hint="eastAsia" w:ascii="仿宋_GB2312" w:hAnsi="仿宋_GB2312" w:eastAsia="仿宋_GB2312" w:cs="仿宋_GB2312"/>
          <w:sz w:val="32"/>
          <w:szCs w:val="32"/>
          <w:lang w:val="en-US" w:eastAsia="zh-CN"/>
        </w:rPr>
        <w:t>加强湿地保护，保持既有空间不减少，并通过生态修复逐步修复湿地空间。</w:t>
      </w:r>
      <w:r>
        <w:rPr>
          <w:rFonts w:hint="eastAsia" w:ascii="仿宋_GB2312" w:hAnsi="仿宋_GB2312" w:eastAsia="仿宋_GB2312" w:cs="仿宋_GB2312"/>
          <w:sz w:val="32"/>
          <w:szCs w:val="32"/>
        </w:rPr>
        <w:t>规划至2035年，</w:t>
      </w:r>
      <w:r>
        <w:rPr>
          <w:rFonts w:hint="eastAsia" w:ascii="仿宋_GB2312" w:hAnsi="仿宋_GB2312" w:eastAsia="仿宋_GB2312" w:cs="仿宋_GB2312"/>
          <w:sz w:val="32"/>
          <w:szCs w:val="32"/>
          <w:lang w:eastAsia="zh-CN"/>
        </w:rPr>
        <w:t>全乡</w:t>
      </w:r>
      <w:r>
        <w:rPr>
          <w:rFonts w:hint="eastAsia" w:ascii="仿宋_GB2312" w:hAnsi="仿宋_GB2312" w:eastAsia="仿宋_GB2312" w:cs="仿宋_GB2312"/>
          <w:sz w:val="32"/>
          <w:szCs w:val="32"/>
          <w:lang w:val="en-US" w:eastAsia="zh-CN"/>
        </w:rPr>
        <w:t>湿地</w:t>
      </w:r>
      <w:r>
        <w:rPr>
          <w:rFonts w:hint="eastAsia" w:ascii="仿宋_GB2312" w:hAnsi="仿宋_GB2312" w:eastAsia="仿宋_GB2312" w:cs="仿宋_GB2312"/>
          <w:sz w:val="32"/>
          <w:szCs w:val="32"/>
        </w:rPr>
        <w:t>面积</w:t>
      </w:r>
      <w:r>
        <w:rPr>
          <w:rFonts w:hint="eastAsia" w:ascii="仿宋_GB2312" w:hAnsi="仿宋_GB2312" w:eastAsia="仿宋_GB2312" w:cs="仿宋_GB2312"/>
          <w:sz w:val="32"/>
          <w:szCs w:val="32"/>
          <w:lang w:val="en-US" w:eastAsia="zh-CN"/>
        </w:rPr>
        <w:t>1.37平方公里</w:t>
      </w:r>
      <w:r>
        <w:rPr>
          <w:rFonts w:hint="eastAsia" w:ascii="仿宋_GB2312" w:hAnsi="仿宋_GB2312" w:eastAsia="仿宋_GB2312" w:cs="仿宋_GB2312"/>
          <w:sz w:val="32"/>
          <w:szCs w:val="32"/>
        </w:rPr>
        <w:t>。</w:t>
      </w:r>
    </w:p>
    <w:p w14:paraId="67F2DDA0">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农业设施建设用地。</w:t>
      </w:r>
      <w:r>
        <w:rPr>
          <w:rFonts w:hint="eastAsia" w:ascii="仿宋_GB2312" w:hAnsi="仿宋_GB2312" w:eastAsia="仿宋_GB2312" w:cs="仿宋_GB2312"/>
          <w:sz w:val="32"/>
          <w:szCs w:val="32"/>
          <w:lang w:val="en-US" w:eastAsia="zh-CN"/>
        </w:rPr>
        <w:t>保障农业生产空间，合理布局养殖设施建设用地，增加村组联通道路。</w:t>
      </w:r>
      <w:r>
        <w:rPr>
          <w:rFonts w:hint="eastAsia" w:ascii="仿宋_GB2312" w:hAnsi="仿宋_GB2312" w:eastAsia="仿宋_GB2312" w:cs="仿宋_GB2312"/>
          <w:sz w:val="32"/>
          <w:szCs w:val="32"/>
        </w:rPr>
        <w:t>规划重点增加养殖合作社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养殖生产及其直接关联的畜禽粪污处理、检验检疫、清洗消毒、病死畜禽无害化处理</w:t>
      </w:r>
      <w:r>
        <w:rPr>
          <w:rFonts w:hint="eastAsia" w:ascii="仿宋_GB2312" w:hAnsi="仿宋_GB2312" w:eastAsia="仿宋_GB2312" w:cs="仿宋_GB2312"/>
          <w:sz w:val="32"/>
          <w:szCs w:val="32"/>
        </w:rPr>
        <w:t>等畜禽养殖设施建设用地，规划期末农业设施建设用地面积为1.8</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平方公里，增加0.0</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平方公里。</w:t>
      </w:r>
    </w:p>
    <w:p w14:paraId="6C85EBBE">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村庄用地。</w:t>
      </w:r>
      <w:r>
        <w:rPr>
          <w:rFonts w:hint="eastAsia" w:ascii="仿宋_GB2312" w:hAnsi="仿宋_GB2312" w:eastAsia="仿宋_GB2312" w:cs="仿宋_GB2312"/>
          <w:sz w:val="32"/>
          <w:szCs w:val="32"/>
        </w:rPr>
        <w:t>坚持底线思维，科学管控</w:t>
      </w:r>
      <w:r>
        <w:rPr>
          <w:rFonts w:hint="eastAsia" w:ascii="仿宋_GB2312" w:hAnsi="仿宋_GB2312" w:eastAsia="仿宋_GB2312" w:cs="仿宋_GB2312"/>
          <w:sz w:val="32"/>
          <w:szCs w:val="32"/>
          <w:lang w:val="en-US" w:eastAsia="zh-CN"/>
        </w:rPr>
        <w:t>村庄</w:t>
      </w:r>
      <w:r>
        <w:rPr>
          <w:rFonts w:hint="eastAsia" w:ascii="仿宋_GB2312" w:hAnsi="仿宋_GB2312" w:eastAsia="仿宋_GB2312" w:cs="仿宋_GB2312"/>
          <w:sz w:val="32"/>
          <w:szCs w:val="32"/>
        </w:rPr>
        <w:t>建设用地，提高集约节约利用水平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规划重点增加乡政府驻地各类公共服务设施、产业用地及居住用地，规划期末村庄用地面积为</w:t>
      </w:r>
      <w:r>
        <w:rPr>
          <w:rFonts w:hint="eastAsia" w:ascii="仿宋_GB2312" w:hAnsi="仿宋_GB2312" w:eastAsia="仿宋_GB2312" w:cs="仿宋_GB2312"/>
          <w:sz w:val="32"/>
          <w:szCs w:val="32"/>
          <w:lang w:val="en-US" w:eastAsia="zh-CN"/>
        </w:rPr>
        <w:t>3.01</w:t>
      </w:r>
      <w:r>
        <w:rPr>
          <w:rFonts w:hint="eastAsia" w:ascii="仿宋_GB2312" w:hAnsi="仿宋_GB2312" w:eastAsia="仿宋_GB2312" w:cs="仿宋_GB2312"/>
          <w:sz w:val="32"/>
          <w:szCs w:val="32"/>
        </w:rPr>
        <w:t>平方公里，增加0</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平方公里。</w:t>
      </w:r>
    </w:p>
    <w:p w14:paraId="7205A604">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其他土地。</w:t>
      </w:r>
      <w:r>
        <w:rPr>
          <w:rFonts w:hint="eastAsia" w:ascii="仿宋_GB2312" w:hAnsi="仿宋_GB2312" w:eastAsia="仿宋_GB2312" w:cs="仿宋_GB2312"/>
          <w:sz w:val="32"/>
          <w:szCs w:val="32"/>
        </w:rPr>
        <w:t>沙珠玉乡其他土地主要为沙地。通过沙区林草植被恢复工程、沙化土地治理</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工程，规划期末其他土地面积为157.</w:t>
      </w:r>
      <w:r>
        <w:rPr>
          <w:rFonts w:hint="eastAsia" w:ascii="仿宋_GB2312" w:hAnsi="仿宋_GB2312" w:eastAsia="仿宋_GB2312" w:cs="仿宋_GB2312"/>
          <w:sz w:val="32"/>
          <w:szCs w:val="32"/>
          <w:lang w:val="en-US" w:eastAsia="zh-CN"/>
        </w:rPr>
        <w:t>09</w:t>
      </w:r>
      <w:r>
        <w:rPr>
          <w:rFonts w:hint="eastAsia" w:ascii="仿宋_GB2312" w:hAnsi="仿宋_GB2312" w:eastAsia="仿宋_GB2312" w:cs="仿宋_GB2312"/>
          <w:sz w:val="32"/>
          <w:szCs w:val="32"/>
        </w:rPr>
        <w:t>平方公里，减少0.</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平方公里</w:t>
      </w:r>
      <w:bookmarkEnd w:id="40"/>
      <w:r>
        <w:rPr>
          <w:rFonts w:hint="eastAsia" w:ascii="仿宋_GB2312" w:hAnsi="仿宋_GB2312" w:eastAsia="仿宋_GB2312" w:cs="仿宋_GB2312"/>
          <w:sz w:val="32"/>
          <w:szCs w:val="32"/>
        </w:rPr>
        <w:t>。</w:t>
      </w:r>
    </w:p>
    <w:p w14:paraId="6355D9FE">
      <w:pPr>
        <w:rPr>
          <w:rFonts w:hint="eastAsia" w:ascii="Times New Roman" w:hAnsi="Times New Roman" w:eastAsia="方正小标宋简体" w:cs="Times New Roman"/>
          <w:b w:val="0"/>
          <w:bCs w:val="0"/>
          <w:sz w:val="36"/>
          <w:szCs w:val="36"/>
        </w:rPr>
      </w:pPr>
      <w:r>
        <w:rPr>
          <w:rFonts w:hint="eastAsia" w:ascii="Times New Roman" w:hAnsi="Times New Roman" w:eastAsia="方正小标宋简体" w:cs="Times New Roman"/>
          <w:b w:val="0"/>
          <w:bCs w:val="0"/>
          <w:sz w:val="36"/>
          <w:szCs w:val="36"/>
        </w:rPr>
        <w:br w:type="page"/>
      </w:r>
    </w:p>
    <w:p w14:paraId="2B48735F">
      <w:pPr>
        <w:pStyle w:val="5"/>
        <w:keepNext/>
        <w:keepLines/>
        <w:pageBreakBefore w:val="0"/>
        <w:widowControl w:val="0"/>
        <w:numPr>
          <w:ilvl w:val="0"/>
          <w:numId w:val="2"/>
        </w:numPr>
        <w:kinsoku/>
        <w:wordWrap/>
        <w:overflowPunct/>
        <w:topLinePunct w:val="0"/>
        <w:autoSpaceDE/>
        <w:autoSpaceDN/>
        <w:bidi w:val="0"/>
        <w:adjustRightInd/>
        <w:snapToGrid/>
        <w:spacing w:before="313" w:beforeLines="100" w:after="313" w:afterLines="100" w:line="520" w:lineRule="exact"/>
        <w:ind w:left="0" w:leftChars="0" w:firstLine="0" w:firstLineChars="0"/>
        <w:jc w:val="center"/>
        <w:textAlignment w:val="auto"/>
        <w:rPr>
          <w:rFonts w:hint="eastAsia" w:ascii="Times New Roman" w:hAnsi="Times New Roman" w:eastAsia="方正小标宋简体" w:cs="Times New Roman"/>
          <w:b w:val="0"/>
          <w:bCs w:val="0"/>
          <w:sz w:val="36"/>
          <w:szCs w:val="36"/>
        </w:rPr>
      </w:pPr>
      <w:bookmarkStart w:id="41" w:name="_Toc11345"/>
      <w:r>
        <w:rPr>
          <w:rFonts w:hint="eastAsia" w:ascii="Times New Roman" w:hAnsi="Times New Roman" w:eastAsia="方正小标宋简体" w:cs="Times New Roman"/>
          <w:b w:val="0"/>
          <w:bCs w:val="0"/>
          <w:sz w:val="36"/>
          <w:szCs w:val="36"/>
        </w:rPr>
        <w:t>保护生态空间，筑牢生态安全屏障</w:t>
      </w:r>
      <w:bookmarkEnd w:id="41"/>
    </w:p>
    <w:p w14:paraId="7ADA061B">
      <w:pPr>
        <w:pStyle w:val="6"/>
        <w:keepNext/>
        <w:keepLines/>
        <w:pageBreakBefore w:val="0"/>
        <w:widowControl w:val="0"/>
        <w:numPr>
          <w:ilvl w:val="1"/>
          <w:numId w:val="7"/>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42" w:name="_Toc31239"/>
      <w:r>
        <w:rPr>
          <w:rFonts w:hint="eastAsia" w:ascii="Arial" w:hAnsi="Arial" w:eastAsia="黑体" w:cs="Times New Roman"/>
          <w:b w:val="0"/>
          <w:lang w:val="en-US" w:eastAsia="zh-CN"/>
        </w:rPr>
        <w:t>构建生态保护空间</w:t>
      </w:r>
      <w:bookmarkEnd w:id="42"/>
    </w:p>
    <w:p w14:paraId="4CE9BDAD">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加强生态空间保护</w:t>
      </w:r>
    </w:p>
    <w:p w14:paraId="635E841B">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牢固树立和践行绿水青山就是金山银山的理念，严格保护河流、湿地、森林、草原等具有碳汇功能的自然资源和生态空间。划定禁牧区，科学推进退化草地治理修复，对国家二级公益林实行保护和修复，以自然恢复为主、人工促进为辅，或通过其他复合措施进行生态修复。</w:t>
      </w:r>
    </w:p>
    <w:p w14:paraId="7A8C88C2">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沙珠玉乡不涉及生态保护红线。规划期末，生态空间包括林地、湿地、河流水面、沙地等，总面积为186.44平方千米。</w:t>
      </w:r>
    </w:p>
    <w:p w14:paraId="6F100F93">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推进生物多样性保护</w:t>
      </w:r>
    </w:p>
    <w:p w14:paraId="2CEF4BDC">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依托河湖、森林、湿地、草原等生态空间，按照维护自然生态系统完整性、原真性的要求，推进生物多样性建设，提高自然生态系统的稳定性。</w:t>
      </w:r>
    </w:p>
    <w:p w14:paraId="4AB1F1F8">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开展生物多样性调查、监测与评估工作，完善生物多样性监测网络体系和救治体系，保护野生动植物及栖息地，构建生态廊道和生物多样性保护网络，确保河流得到休养生息，精准提升林地质量，保持生态系统稳定营造适宜野生动物栖息的环境。</w:t>
      </w:r>
    </w:p>
    <w:p w14:paraId="5D394732">
      <w:pPr>
        <w:pStyle w:val="6"/>
        <w:keepNext/>
        <w:keepLines/>
        <w:pageBreakBefore w:val="0"/>
        <w:widowControl w:val="0"/>
        <w:numPr>
          <w:ilvl w:val="1"/>
          <w:numId w:val="7"/>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43" w:name="_Toc28483"/>
      <w:r>
        <w:rPr>
          <w:rFonts w:hint="eastAsia" w:ascii="Arial" w:hAnsi="Arial" w:eastAsia="黑体" w:cs="Times New Roman"/>
          <w:b w:val="0"/>
          <w:lang w:val="zh-CN"/>
        </w:rPr>
        <w:t>增强水资源刚性约束和管控</w:t>
      </w:r>
      <w:bookmarkEnd w:id="43"/>
    </w:p>
    <w:p w14:paraId="21EA8D0E">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严格水资源刚性约束</w:t>
      </w:r>
    </w:p>
    <w:p w14:paraId="4F83F3EB">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lang w:val="en-US" w:eastAsia="zh-CN"/>
        </w:rPr>
        <w:t>坚持以水定地、以水定产、以水定城、以水定人，严格落实用水总量、用水效率和水环境功能区限制纳污“三条红线”，落实水资源消耗总量和强度双控制，以水资源最大刚性约束抑制不合理用水需求，促进发展规模、产业布局与水资源承载能力相协调。</w:t>
      </w:r>
      <w:r>
        <w:rPr>
          <w:rFonts w:hint="eastAsia" w:ascii="仿宋_GB2312" w:hAnsi="仿宋_GB2312" w:eastAsia="仿宋_GB2312" w:cs="仿宋_GB2312"/>
          <w:sz w:val="32"/>
          <w:szCs w:val="32"/>
          <w:u w:val="single"/>
          <w:lang w:val="en-US" w:eastAsia="zh-CN"/>
        </w:rPr>
        <w:t>2035年，沙珠玉乡用水总量控制在县级下达指标内。</w:t>
      </w:r>
    </w:p>
    <w:p w14:paraId="58BFF4DE">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强化水资源节约利用</w:t>
      </w:r>
    </w:p>
    <w:p w14:paraId="3C96782E">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保障粮食安全，提高农业节水水平支撑灌面增长，逐步降低农业用水占比，筑牢生态屏障，推进沙化土地治理，预留生态环境用水，坚持底线约束，提高用水效率，保障城乡生活用水，提高生活节水水平，推进沙珠玉乡节水型社会建设。</w:t>
      </w:r>
    </w:p>
    <w:p w14:paraId="34D41E98">
      <w:pPr>
        <w:keepNext/>
        <w:keepLines/>
        <w:numPr>
          <w:ilvl w:val="0"/>
          <w:numId w:val="4"/>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加强水域空间管控</w:t>
      </w:r>
    </w:p>
    <w:p w14:paraId="02CC2BDF">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落实上位规划确定的饮用水水源保护区、水源涵养、河湖水域及其岸线、水土流失重点防治区等水生态保护区，落实沙珠玉河的河湖管理范围线。严格水域岸线空间管控，有效保护岸线资源，明确岸线功能分区、优化岸线空间布局、规范岸线开发利用活动。至2035年，沙珠玉河水域岸线监管率达到100%。</w:t>
      </w:r>
    </w:p>
    <w:p w14:paraId="389510BE">
      <w:pPr>
        <w:keepNext/>
        <w:keepLines/>
        <w:numPr>
          <w:ilvl w:val="0"/>
          <w:numId w:val="4"/>
        </w:numPr>
        <w:tabs>
          <w:tab w:val="left" w:pos="851"/>
        </w:tabs>
        <w:spacing w:before="300" w:line="420" w:lineRule="exact"/>
        <w:ind w:left="0" w:firstLine="640"/>
        <w:jc w:val="left"/>
        <w:outlineLvl w:val="2"/>
        <w:rPr>
          <w:rFonts w:ascii="楷体_GB2312" w:eastAsia="楷体_GB2312"/>
          <w:bCs/>
          <w:sz w:val="32"/>
          <w:szCs w:val="32"/>
        </w:rPr>
      </w:pPr>
      <w:r>
        <w:rPr>
          <w:rFonts w:hint="eastAsia" w:ascii="楷体_GB2312" w:eastAsia="楷体_GB2312"/>
          <w:bCs/>
          <w:sz w:val="32"/>
          <w:szCs w:val="32"/>
        </w:rPr>
        <w:t>加强河流生态流量管控</w:t>
      </w:r>
    </w:p>
    <w:p w14:paraId="49B01107">
      <w:pPr>
        <w:pStyle w:val="11"/>
        <w:ind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落实沙珠玉河流域生态流量保障方案，严格流域区域取用水总量控制，强化流域水资源统一调度，将沙珠玉河流域生态流量保障目标落实情况纳入最严格水资源管理制度考核，重点保障枯水期生态基流，维持河道生态系统稳定。</w:t>
      </w:r>
    </w:p>
    <w:p w14:paraId="7996BF08">
      <w:pPr>
        <w:pStyle w:val="6"/>
        <w:keepNext/>
        <w:keepLines/>
        <w:pageBreakBefore w:val="0"/>
        <w:widowControl w:val="0"/>
        <w:numPr>
          <w:ilvl w:val="1"/>
          <w:numId w:val="7"/>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44" w:name="_Toc29095"/>
      <w:r>
        <w:rPr>
          <w:rFonts w:hint="eastAsia" w:ascii="Arial" w:hAnsi="Arial" w:eastAsia="黑体" w:cs="Times New Roman"/>
          <w:b w:val="0"/>
          <w:lang w:val="zh-CN"/>
        </w:rPr>
        <w:t>加强生态资源保护与利用</w:t>
      </w:r>
      <w:bookmarkEnd w:id="44"/>
    </w:p>
    <w:p w14:paraId="360B7F4F">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森林资源保护与利用</w:t>
      </w:r>
    </w:p>
    <w:p w14:paraId="190BA31C">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建立以水土保持林、水源涵养林为主体的森林生态体系，加大重点地区生态治理力度，有效遏制水土流失，改善生态环境；继续深化集体林权制度改革，实施森林经营、低效林改造，充分发挥林地生产潜力，提高林地质量；规范林地、林木流转制度；</w:t>
      </w:r>
      <w:bookmarkStart w:id="45" w:name="_Hlk149991856"/>
      <w:r>
        <w:rPr>
          <w:rFonts w:hint="eastAsia" w:ascii="仿宋_GB2312" w:hAnsi="仿宋_GB2312" w:eastAsia="仿宋_GB2312" w:cs="仿宋_GB2312"/>
          <w:sz w:val="32"/>
          <w:szCs w:val="32"/>
          <w:lang w:val="en-US" w:eastAsia="zh-CN"/>
        </w:rPr>
        <w:t>促进发展林下产业，推进体制机制创新。</w:t>
      </w:r>
      <w:bookmarkEnd w:id="45"/>
    </w:p>
    <w:p w14:paraId="376EA975">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重点加强天然公益林、生态林的保护，严格控制天然林地转为其他用途，除国防建设、国家重大工程项目建设特殊需要外，禁止占用保护重点区域的天然林地，林地保有量保持稳定。到2025年，全乡森林覆盖率不低于4.58%。2035年全乡森林覆盖率依据上级下达指标确定。</w:t>
      </w:r>
    </w:p>
    <w:p w14:paraId="019D71AA">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草地资源保护与利用</w:t>
      </w:r>
    </w:p>
    <w:p w14:paraId="5DC4DEE7">
      <w:pPr>
        <w:widowControl/>
        <w:ind w:firstLine="56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落实上位规划划定的禁牧区和草畜平衡区，采取禁牧、轮牧、植物检疫、抗病虫育种、禁采草原地下水、开展化学物理防治等措施，加强牧草地资源保护。针对草原建设过程中存在的问题，通过实施退化草地、沙化草地综合治理，废弃定居点治理和修复，退化草场补播改良等项目，促进退化草原植被恢复，全面提升草原生态系统功能。保护草地生物多样性，建立草地外来入侵生物监测预警体系，加强生态脆弱地区生态建设。</w:t>
      </w:r>
    </w:p>
    <w:p w14:paraId="089856EB">
      <w:pPr>
        <w:widowControl/>
        <w:ind w:firstLine="56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一步建立健全草原生态保护补奖资金与禁牧减畜、草畜平衡管理挂钩的有效机制。转变传统草原畜牧业生产方式，全力实行以草定畜、草畜平衡和休牧、轮牧、禁牧制度，减轻天然草原放牧压力，促进草原休养生息。实施沙区林草植被恢复等工程，促进草原生态系统修复。</w:t>
      </w:r>
    </w:p>
    <w:p w14:paraId="7CB949C6">
      <w:pPr>
        <w:widowControl/>
        <w:ind w:firstLine="56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规划期末，草原生态环境持续向好，综合服务功能显著提升，草原综合植被盖度不低于56.03%。</w:t>
      </w:r>
    </w:p>
    <w:p w14:paraId="4EB35103">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湿地资源保护与利用</w:t>
      </w:r>
    </w:p>
    <w:p w14:paraId="61AECA6C">
      <w:pPr>
        <w:widowControl/>
        <w:ind w:firstLine="56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保护优先、严格管理、系统治理、科学修复、合理利用的原则，加强湿地保护，保持既有空间不减少，并通过生态修复逐步恢复增加湿地面积，健全湿地保护体系，维护湿地生态功能及生物多样性。依托生态本底优势，扎实推进山水林田湖草沙生态保护和修复，开展退化湿地修复、湿地植被修复，提升水源涵养和水土保持功能。</w:t>
      </w:r>
    </w:p>
    <w:p w14:paraId="44FE19FC">
      <w:pPr>
        <w:widowControl/>
        <w:ind w:firstLine="56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规划期末，沙珠玉乡湿地面积为1.37平方千米，主要为沿河流两侧的内陆滩涂，不属于通过国家公园、自然保护区、湿地公园等形式保护的湿地，不涉及湿地保护率指标。</w:t>
      </w:r>
    </w:p>
    <w:p w14:paraId="76B01A52">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荒漠资源保护与利用</w:t>
      </w:r>
    </w:p>
    <w:p w14:paraId="6CC15735">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持续推进沙珠玉盆地沙漠生态系统的复原、保护和利用，维护沙漠生态系统功能，增强沙漠生物多样性。在保护生态系统的前提下，发展沙漠生态观光旅游，打造生态沙漠游憩胜地。推进清洁能源发展与防沙治沙相结合，实现太阳能产业、生态环境保护、生态畜牧业发展有机结合。</w:t>
      </w:r>
    </w:p>
    <w:p w14:paraId="3B6FA9FB">
      <w:pPr>
        <w:pStyle w:val="6"/>
        <w:keepNext/>
        <w:keepLines/>
        <w:pageBreakBefore w:val="0"/>
        <w:widowControl w:val="0"/>
        <w:numPr>
          <w:ilvl w:val="1"/>
          <w:numId w:val="7"/>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46" w:name="_Toc3235"/>
      <w:r>
        <w:rPr>
          <w:rFonts w:hint="eastAsia" w:ascii="Arial" w:hAnsi="Arial" w:eastAsia="黑体" w:cs="Times New Roman"/>
          <w:b w:val="0"/>
          <w:lang w:val="zh-CN"/>
        </w:rPr>
        <w:t>实施山水林田湖草沙一体化保护和系统治理</w:t>
      </w:r>
      <w:bookmarkEnd w:id="46"/>
    </w:p>
    <w:p w14:paraId="1A9B66FC">
      <w:pPr>
        <w:keepNext/>
        <w:keepLines/>
        <w:numPr>
          <w:ilvl w:val="0"/>
          <w:numId w:val="4"/>
        </w:numPr>
        <w:tabs>
          <w:tab w:val="left" w:pos="851"/>
        </w:tabs>
        <w:spacing w:before="300" w:line="420" w:lineRule="exact"/>
        <w:ind w:firstLineChars="0"/>
        <w:jc w:val="left"/>
        <w:outlineLvl w:val="2"/>
        <w:rPr>
          <w:rFonts w:ascii="楷体_GB2312" w:eastAsia="楷体_GB2312"/>
          <w:bCs/>
          <w:sz w:val="32"/>
          <w:szCs w:val="32"/>
        </w:rPr>
      </w:pPr>
      <w:bookmarkStart w:id="47" w:name="_Toc132547398"/>
      <w:r>
        <w:rPr>
          <w:rFonts w:hint="eastAsia" w:ascii="楷体_GB2312" w:eastAsia="楷体_GB2312"/>
          <w:bCs/>
          <w:sz w:val="32"/>
          <w:szCs w:val="32"/>
          <w:lang w:bidi="ar"/>
        </w:rPr>
        <w:t>加强重点生态功能区生态保护修复</w:t>
      </w:r>
      <w:r>
        <w:rPr>
          <w:rFonts w:ascii="宋体" w:hAnsi="宋体" w:cs="宋体"/>
        </w:rPr>
        <w:t xml:space="preserve"> </w:t>
      </w:r>
      <w:bookmarkEnd w:id="47"/>
    </w:p>
    <w:p w14:paraId="066C4705">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坚持山水林田湖草沙生命共同体理念，遵循自然生态系统的整体性、系统性及其内在规律，以自然恢复为主、人工修复为辅，强化自然生态系统原真性与完整性的保护和修复。针对生态脆弱、功能退化的现实问题，因地制宜实施山水林田湖草沙一体化保护和系统治理，提升生态系统稳定性。 </w:t>
      </w:r>
    </w:p>
    <w:p w14:paraId="6D4BF0DE">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实施山水林田湖草沙治理工程</w:t>
      </w:r>
    </w:p>
    <w:p w14:paraId="456797F4">
      <w:pPr>
        <w:pStyle w:val="11"/>
        <w:ind w:firstLine="640"/>
      </w:pPr>
      <w:r>
        <w:rPr>
          <w:rFonts w:hint="eastAsia"/>
        </w:rPr>
        <w:t>推进青海湖地区沙化土地治理工程、沙区林草植被恢复</w:t>
      </w:r>
      <w:r>
        <w:rPr>
          <w:rFonts w:hint="eastAsia"/>
          <w:lang w:eastAsia="zh-CN"/>
        </w:rPr>
        <w:t>等</w:t>
      </w:r>
      <w:r>
        <w:rPr>
          <w:rFonts w:hint="eastAsia"/>
        </w:rPr>
        <w:t>重大工程，提升草原、森林、湿地、河湖、荒漠等自然生态系统自我修复能力，筑牢生态安全格局。统筹协调推进“三北”防护林、天然林保护工程，鼓励乔灌草结合、工程和生物措施相统一的生态修复工程，促进各项生态工程实施相得益彰。强化水生态保护，加大河湖湿地生态系统保护和恢复力度。加强塔拉滩生态修复治理，大力推进荒漠化、水土流失综合治理，加强生态清洁小流域建设，推进绿色小水电改造。实施生物多样性保护工程，加强野生动植物保护。</w:t>
      </w:r>
    </w:p>
    <w:p w14:paraId="5D37185B">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强化水生态保护与水环境治理</w:t>
      </w:r>
    </w:p>
    <w:p w14:paraId="7CBA522C">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eastAsia="仿宋_GB2312" w:asciiTheme="minorHAnsi" w:hAnsiTheme="minorHAnsi" w:cstheme="minorBidi"/>
          <w:kern w:val="2"/>
          <w:sz w:val="32"/>
          <w:szCs w:val="22"/>
          <w:lang w:val="en-US" w:eastAsia="zh-CN" w:bidi="ar-SA"/>
        </w:rPr>
      </w:pPr>
      <w:r>
        <w:rPr>
          <w:rFonts w:hint="eastAsia" w:ascii="楷体_GB2312" w:hAnsi="楷体_GB2312" w:eastAsia="楷体_GB2312" w:cs="楷体_GB2312"/>
          <w:kern w:val="2"/>
          <w:sz w:val="32"/>
          <w:szCs w:val="22"/>
          <w:lang w:val="en-US" w:eastAsia="zh-CN" w:bidi="ar-SA"/>
        </w:rPr>
        <w:t>强化水生态保护与修复。</w:t>
      </w:r>
      <w:r>
        <w:rPr>
          <w:rFonts w:hint="eastAsia" w:eastAsia="仿宋_GB2312" w:asciiTheme="minorHAnsi" w:hAnsiTheme="minorHAnsi" w:cstheme="minorBidi"/>
          <w:kern w:val="2"/>
          <w:sz w:val="32"/>
          <w:szCs w:val="22"/>
          <w:lang w:val="en-US" w:eastAsia="zh-CN" w:bidi="ar-SA"/>
        </w:rPr>
        <w:t>构建流域尺度的生态保护与修复单元，统筹实施水生态保护与修复工程。推进沙珠玉乡小流域生态综合治理，实施曲沟流域水生态修复、浪什干沟治理、沙珠玉河河道治理等项目，恢复和提升水源涵养、调节气候、保护生物多样性等水体生态功能，实现水生态保护与修复精细化管理，系统推进沙珠玉河流域水环境保护、水生态修复、水污染防治和水资源管理。</w:t>
      </w:r>
    </w:p>
    <w:p w14:paraId="737F00C1">
      <w:pPr>
        <w:pStyle w:val="11"/>
        <w:ind w:firstLine="640"/>
        <w:rPr>
          <w:bCs/>
        </w:rPr>
      </w:pPr>
      <w:r>
        <w:rPr>
          <w:rFonts w:hint="eastAsia" w:ascii="楷体_GB2312" w:hAnsi="楷体_GB2312" w:eastAsia="楷体_GB2312" w:cs="楷体_GB2312"/>
        </w:rPr>
        <w:t>加大水环境污染防治。</w:t>
      </w:r>
      <w:r>
        <w:rPr>
          <w:rFonts w:hint="eastAsia"/>
        </w:rPr>
        <w:t>从严核定水环境功能区纳污能力，严格控制入河湖排污总量，加强水污染防治和污染减排。持续推进水环境污染综合治理。推进</w:t>
      </w:r>
      <w:r>
        <w:rPr>
          <w:rFonts w:hint="eastAsia"/>
          <w:lang w:val="en-US" w:eastAsia="zh-CN"/>
        </w:rPr>
        <w:t>沙珠玉河</w:t>
      </w:r>
      <w:r>
        <w:rPr>
          <w:rFonts w:hint="eastAsia"/>
        </w:rPr>
        <w:t>治理，</w:t>
      </w:r>
      <w:r>
        <w:rPr>
          <w:rFonts w:hint="eastAsia"/>
          <w:lang w:val="en-US" w:eastAsia="zh-CN"/>
        </w:rPr>
        <w:t>以沙珠玉</w:t>
      </w:r>
      <w:r>
        <w:rPr>
          <w:rFonts w:hint="eastAsia"/>
          <w:bCs/>
        </w:rPr>
        <w:t>周边小流域为重点，</w:t>
      </w:r>
      <w:r>
        <w:rPr>
          <w:rFonts w:hint="eastAsia"/>
        </w:rPr>
        <w:t>开展生态清洁小流域建设。</w:t>
      </w:r>
      <w:r>
        <w:rPr>
          <w:rFonts w:hint="eastAsia"/>
          <w:bCs/>
        </w:rPr>
        <w:t>沙珠玉河水环境功能区水质</w:t>
      </w:r>
      <w:r>
        <w:rPr>
          <w:rFonts w:hint="eastAsia"/>
        </w:rPr>
        <w:t>目标为Ⅲ类</w:t>
      </w:r>
      <w:r>
        <w:rPr>
          <w:rFonts w:hint="eastAsia"/>
          <w:lang w:eastAsia="zh-CN"/>
        </w:rPr>
        <w:t>，</w:t>
      </w:r>
      <w:r>
        <w:rPr>
          <w:rFonts w:hint="eastAsia"/>
        </w:rPr>
        <w:t>至</w:t>
      </w:r>
      <w:r>
        <w:rPr>
          <w:rFonts w:hint="eastAsia" w:ascii="仿宋_GB2312" w:hAnsi="仿宋_GB2312" w:eastAsia="仿宋_GB2312" w:cs="仿宋_GB2312"/>
        </w:rPr>
        <w:t>2035</w:t>
      </w:r>
      <w:r>
        <w:rPr>
          <w:rFonts w:hint="eastAsia"/>
        </w:rPr>
        <w:t>年，水质达标率达到</w:t>
      </w:r>
      <w:r>
        <w:rPr>
          <w:rFonts w:hint="eastAsia" w:ascii="仿宋_GB2312" w:hAnsi="仿宋_GB2312" w:eastAsia="仿宋_GB2312" w:cs="仿宋_GB2312"/>
        </w:rPr>
        <w:t>100%</w:t>
      </w:r>
      <w:r>
        <w:rPr>
          <w:rFonts w:hint="eastAsia"/>
        </w:rPr>
        <w:t>。</w:t>
      </w:r>
    </w:p>
    <w:p w14:paraId="57EE6B00">
      <w:pPr>
        <w:pStyle w:val="11"/>
        <w:ind w:firstLine="640"/>
        <w:rPr>
          <w:rFonts w:hint="eastAsia"/>
        </w:rPr>
      </w:pPr>
      <w:r>
        <w:rPr>
          <w:rFonts w:hint="eastAsia" w:ascii="楷体_GB2312" w:hAnsi="楷体_GB2312" w:eastAsia="楷体_GB2312" w:cs="楷体_GB2312"/>
        </w:rPr>
        <w:t>严格保护饮用水水源地。</w:t>
      </w:r>
      <w:r>
        <w:rPr>
          <w:rFonts w:hint="eastAsia"/>
        </w:rPr>
        <w:t>加大饮用水源地保护力度，加强饮用水源地及周边环境保护监管，加快地下水超采综合治理。实施水源地生态保护及规范化建设。至</w:t>
      </w:r>
      <w:r>
        <w:rPr>
          <w:rFonts w:hint="eastAsia" w:ascii="仿宋_GB2312" w:hAnsi="仿宋_GB2312" w:eastAsia="仿宋_GB2312" w:cs="仿宋_GB2312"/>
        </w:rPr>
        <w:t>2035</w:t>
      </w:r>
      <w:r>
        <w:rPr>
          <w:rFonts w:hint="eastAsia"/>
        </w:rPr>
        <w:t>年，</w:t>
      </w:r>
      <w:r>
        <w:rPr>
          <w:rFonts w:hint="eastAsia"/>
          <w:lang w:val="en-US" w:eastAsia="zh-CN"/>
        </w:rPr>
        <w:t>沙珠玉乡</w:t>
      </w:r>
      <w:r>
        <w:rPr>
          <w:rFonts w:hint="eastAsia"/>
        </w:rPr>
        <w:t>饮用水水源地水质达标率保持在</w:t>
      </w:r>
      <w:r>
        <w:rPr>
          <w:rFonts w:hint="eastAsia" w:ascii="仿宋_GB2312" w:hAnsi="仿宋_GB2312" w:eastAsia="仿宋_GB2312" w:cs="仿宋_GB2312"/>
        </w:rPr>
        <w:t>100%</w:t>
      </w:r>
      <w:r>
        <w:rPr>
          <w:rFonts w:hint="eastAsia"/>
        </w:rPr>
        <w:t>。</w:t>
      </w:r>
    </w:p>
    <w:p w14:paraId="1D85FE48">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加强水土流失防治</w:t>
      </w:r>
    </w:p>
    <w:p w14:paraId="26A23903">
      <w:pPr>
        <w:pStyle w:val="11"/>
        <w:ind w:firstLine="640"/>
        <w:rPr>
          <w:rFonts w:hint="eastAsia"/>
        </w:rPr>
      </w:pPr>
      <w:r>
        <w:rPr>
          <w:rFonts w:hint="eastAsia" w:ascii="楷体_GB2312" w:hAnsi="楷体_GB2312" w:eastAsia="楷体_GB2312" w:cs="楷体_GB2312"/>
        </w:rPr>
        <w:t>重点加强</w:t>
      </w:r>
      <w:r>
        <w:rPr>
          <w:rFonts w:hint="eastAsia" w:ascii="楷体_GB2312" w:hAnsi="楷体_GB2312" w:eastAsia="楷体_GB2312" w:cs="楷体_GB2312"/>
          <w:lang w:val="en-US" w:eastAsia="zh-CN"/>
        </w:rPr>
        <w:t>沙珠玉盆地</w:t>
      </w:r>
      <w:r>
        <w:rPr>
          <w:rFonts w:hint="eastAsia" w:ascii="楷体_GB2312" w:hAnsi="楷体_GB2312" w:eastAsia="楷体_GB2312" w:cs="楷体_GB2312"/>
        </w:rPr>
        <w:t>水土流失防治</w:t>
      </w:r>
      <w:r>
        <w:rPr>
          <w:rFonts w:hint="eastAsia" w:ascii="楷体_GB2312" w:hAnsi="楷体_GB2312" w:eastAsia="楷体_GB2312" w:cs="楷体_GB2312"/>
          <w:lang w:eastAsia="zh-CN"/>
        </w:rPr>
        <w:t>。</w:t>
      </w:r>
      <w:r>
        <w:rPr>
          <w:rFonts w:hint="eastAsia"/>
        </w:rPr>
        <w:t>以地表植被建设、侵蚀沟道治理为重点，完善流域水土流失预防和治理措施体系，推进生态清洁小流域建设，构建</w:t>
      </w:r>
      <w:r>
        <w:rPr>
          <w:rFonts w:hint="eastAsia"/>
          <w:lang w:val="en-US" w:eastAsia="zh-CN"/>
        </w:rPr>
        <w:t>沙珠玉</w:t>
      </w:r>
      <w:r>
        <w:rPr>
          <w:rFonts w:hint="eastAsia"/>
        </w:rPr>
        <w:t>周边小流域生态优美、生活宜居的生态环境，维护水土资源可持续利用。深化水土保持生态建设，实施水土保持工程，加强</w:t>
      </w:r>
      <w:r>
        <w:rPr>
          <w:rFonts w:hint="eastAsia" w:ascii="仿宋_GB2312" w:hAnsi="仿宋_GB2312"/>
          <w:szCs w:val="32"/>
          <w:lang w:val="en-US" w:eastAsia="zh-CN" w:bidi="ar"/>
        </w:rPr>
        <w:t>沙珠玉</w:t>
      </w:r>
      <w:r>
        <w:rPr>
          <w:rFonts w:hint="eastAsia" w:ascii="仿宋_GB2312" w:hAnsi="仿宋_GB2312"/>
          <w:szCs w:val="32"/>
          <w:lang w:bidi="ar"/>
        </w:rPr>
        <w:t>盆地</w:t>
      </w:r>
      <w:r>
        <w:rPr>
          <w:rFonts w:hint="eastAsia"/>
        </w:rPr>
        <w:t>水土流失治理。到</w:t>
      </w:r>
      <w:r>
        <w:rPr>
          <w:rFonts w:hint="eastAsia" w:ascii="仿宋_GB2312" w:hAnsi="仿宋_GB2312" w:eastAsia="仿宋_GB2312" w:cs="仿宋_GB2312"/>
        </w:rPr>
        <w:t>2035</w:t>
      </w:r>
      <w:r>
        <w:rPr>
          <w:rFonts w:hint="eastAsia"/>
        </w:rPr>
        <w:t>年，严格落实</w:t>
      </w:r>
      <w:r>
        <w:rPr>
          <w:rFonts w:hint="eastAsia"/>
          <w:lang w:val="en-US" w:eastAsia="zh-CN"/>
        </w:rPr>
        <w:t>上</w:t>
      </w:r>
      <w:r>
        <w:rPr>
          <w:rFonts w:hint="eastAsia"/>
        </w:rPr>
        <w:t>级下达的水土流失治理任务。</w:t>
      </w:r>
    </w:p>
    <w:p w14:paraId="1C06DFFA">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实施沙化土地综合治理</w:t>
      </w:r>
    </w:p>
    <w:p w14:paraId="0E6C487F">
      <w:pPr>
        <w:pStyle w:val="11"/>
        <w:ind w:firstLine="640"/>
      </w:pPr>
      <w:r>
        <w:rPr>
          <w:rFonts w:hint="eastAsia" w:ascii="楷体_GB2312" w:hAnsi="楷体_GB2312" w:eastAsia="楷体_GB2312" w:cs="楷体_GB2312"/>
        </w:rPr>
        <w:t>实施</w:t>
      </w:r>
      <w:r>
        <w:rPr>
          <w:rFonts w:hint="eastAsia" w:ascii="楷体_GB2312" w:hAnsi="楷体_GB2312" w:eastAsia="楷体_GB2312" w:cs="楷体_GB2312"/>
          <w:lang w:val="en-US" w:eastAsia="zh-CN"/>
        </w:rPr>
        <w:t>沙珠玉盆地</w:t>
      </w:r>
      <w:r>
        <w:rPr>
          <w:rFonts w:hint="eastAsia" w:ascii="楷体_GB2312" w:hAnsi="楷体_GB2312" w:eastAsia="楷体_GB2312" w:cs="楷体_GB2312"/>
        </w:rPr>
        <w:t>荒漠化土地治理。</w:t>
      </w:r>
      <w:r>
        <w:rPr>
          <w:rFonts w:hint="eastAsia" w:ascii="仿宋_GB2312" w:hAnsi="仿宋_GB2312" w:eastAsia="仿宋_GB2312" w:cs="仿宋_GB2312"/>
        </w:rPr>
        <w:t>对</w:t>
      </w:r>
      <w:r>
        <w:rPr>
          <w:rFonts w:hint="eastAsia" w:ascii="仿宋_GB2312" w:hAnsi="仿宋_GB2312" w:cs="仿宋_GB2312"/>
          <w:lang w:val="en-US" w:eastAsia="zh-CN"/>
        </w:rPr>
        <w:t>沙珠玉乡</w:t>
      </w:r>
      <w:r>
        <w:rPr>
          <w:rFonts w:hint="eastAsia"/>
        </w:rPr>
        <w:t>沙漠化土地实施封沙育林育草工程，遏制沙漠化蔓延。遵循自然规律，自然恢复和人工修复相结合，采取“沙漠+光伏+设施牧草种植”和飞播种草等治沙模式防止土地沙化</w:t>
      </w:r>
      <w:r>
        <w:rPr>
          <w:rFonts w:hint="eastAsia"/>
          <w:lang w:val="en-US" w:eastAsia="zh-CN"/>
        </w:rPr>
        <w:t>，巩固沙珠玉盆地“封沙育草区、固沙造林区、农田防护林网区”三位一体综合防风固沙体系。</w:t>
      </w:r>
    </w:p>
    <w:p w14:paraId="28620F8C">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强化土壤污染防治</w:t>
      </w:r>
    </w:p>
    <w:p w14:paraId="5B2BC2ED">
      <w:pPr>
        <w:pStyle w:val="11"/>
        <w:ind w:firstLine="640"/>
        <w:rPr>
          <w:rFonts w:hint="eastAsia" w:ascii="仿宋_GB2312" w:hAnsi="仿宋_GB2312" w:eastAsia="仿宋_GB2312" w:cs="仿宋_GB2312"/>
        </w:rPr>
      </w:pPr>
      <w:r>
        <w:rPr>
          <w:rFonts w:hint="eastAsia" w:ascii="楷体_GB2312" w:hAnsi="楷体_GB2312" w:eastAsia="楷体_GB2312" w:cs="楷体_GB2312"/>
        </w:rPr>
        <w:t>完成</w:t>
      </w:r>
      <w:r>
        <w:rPr>
          <w:rFonts w:hint="eastAsia" w:ascii="楷体_GB2312" w:hAnsi="楷体_GB2312" w:eastAsia="楷体_GB2312" w:cs="楷体_GB2312"/>
          <w:lang w:val="en-US" w:eastAsia="zh-CN"/>
        </w:rPr>
        <w:t>全乡</w:t>
      </w:r>
      <w:r>
        <w:rPr>
          <w:rFonts w:hint="eastAsia" w:ascii="楷体_GB2312" w:hAnsi="楷体_GB2312" w:eastAsia="楷体_GB2312" w:cs="楷体_GB2312"/>
        </w:rPr>
        <w:t>土壤污染源排查与整治</w:t>
      </w:r>
      <w:r>
        <w:rPr>
          <w:rFonts w:hint="eastAsia" w:ascii="楷体_GB2312" w:hAnsi="楷体_GB2312" w:eastAsia="楷体_GB2312" w:cs="楷体_GB2312"/>
          <w:lang w:eastAsia="zh-CN"/>
        </w:rPr>
        <w:t>。</w:t>
      </w:r>
      <w:r>
        <w:rPr>
          <w:rFonts w:hint="eastAsia" w:ascii="仿宋_GB2312" w:hAnsi="仿宋_GB2312" w:eastAsia="仿宋_GB2312" w:cs="仿宋_GB2312"/>
        </w:rPr>
        <w:t>按照“分区分类”的原则，实施以风险管控为主的治理策略，加强土壤污染源头防控，严格控制新增污染，实施重点污染源综合防控，推动受污染耕地安全利用，加强污染地块风险管控与修复，防控重点区域土壤污染风险。</w:t>
      </w:r>
    </w:p>
    <w:p w14:paraId="1BF0779A">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积极推进国土绿化工程</w:t>
      </w:r>
    </w:p>
    <w:p w14:paraId="63C317CE">
      <w:pPr>
        <w:pStyle w:val="11"/>
        <w:ind w:firstLine="640"/>
        <w:rPr>
          <w:rFonts w:hint="eastAsia" w:ascii="仿宋_GB2312" w:hAnsi="仿宋_GB2312" w:eastAsia="仿宋_GB2312" w:cs="仿宋_GB2312"/>
          <w:lang w:eastAsia="zh-CN"/>
        </w:rPr>
      </w:pPr>
      <w:r>
        <w:rPr>
          <w:rFonts w:hint="eastAsia" w:ascii="仿宋_GB2312" w:hAnsi="仿宋_GB2312" w:eastAsia="仿宋_GB2312" w:cs="仿宋_GB2312"/>
        </w:rPr>
        <w:t>深入开展国土绿化巩固提升行动，增强生态系统功能和生态产品供给能力，提升生态系统碳汇增量，筑牢国土生态安全屏障，增进人民生态福祉。依托三北防护林、天然林保护、防沙治沙等国家重点工程，结合实际情况，按照宜林则林、宜草则草的原则实施人工造林，继续推进国土绿化。不断拓展绿化空间，对重点生态脆弱区、宜林沙化土地、裸土地等实施造林绿化，有序安排年度绿化任务。到2035年，森林覆盖率不低于3.72%。规划造林绿化空间</w:t>
      </w:r>
      <w:r>
        <w:rPr>
          <w:rFonts w:hint="eastAsia" w:ascii="仿宋_GB2312" w:hAnsi="仿宋_GB2312" w:cs="仿宋_GB2312"/>
          <w:lang w:val="en-US" w:eastAsia="zh-CN"/>
        </w:rPr>
        <w:t>15385.95公顷</w:t>
      </w:r>
      <w:r>
        <w:rPr>
          <w:rFonts w:hint="eastAsia" w:ascii="仿宋_GB2312" w:hAnsi="仿宋_GB2312" w:eastAsia="仿宋_GB2312" w:cs="仿宋_GB2312"/>
        </w:rPr>
        <w:t>，主要分布在</w:t>
      </w:r>
      <w:r>
        <w:rPr>
          <w:rFonts w:hint="eastAsia" w:ascii="仿宋_GB2312" w:hAnsi="仿宋_GB2312" w:cs="仿宋_GB2312"/>
          <w:lang w:val="en-US" w:eastAsia="zh-CN"/>
        </w:rPr>
        <w:t>乡域中南部</w:t>
      </w:r>
      <w:r>
        <w:rPr>
          <w:rFonts w:hint="eastAsia" w:ascii="仿宋_GB2312" w:hAnsi="仿宋_GB2312" w:eastAsia="仿宋_GB2312" w:cs="仿宋_GB2312"/>
        </w:rPr>
        <w:t>沙漠地区。</w:t>
      </w:r>
      <w:r>
        <w:rPr>
          <w:rFonts w:hint="eastAsia"/>
          <w:bCs/>
        </w:rPr>
        <w:t>已明确的规划造林空间，作为带位置安排造林绿化任务的主要依据。对照规划期内森林覆盖率目标，有序安排年度造林绿化任务</w:t>
      </w:r>
      <w:r>
        <w:rPr>
          <w:rFonts w:hint="eastAsia"/>
          <w:bCs/>
          <w:lang w:eastAsia="zh-CN"/>
        </w:rPr>
        <w:t>。</w:t>
      </w:r>
    </w:p>
    <w:p w14:paraId="72A99DA8">
      <w:pPr>
        <w:rPr>
          <w:rFonts w:hint="eastAsia" w:ascii="仿宋_GB2312" w:hAnsi="仿宋_GB2312" w:eastAsia="仿宋_GB2312" w:cs="仿宋_GB2312"/>
        </w:rPr>
      </w:pPr>
      <w:r>
        <w:rPr>
          <w:rFonts w:hint="eastAsia" w:ascii="仿宋_GB2312" w:hAnsi="仿宋_GB2312" w:eastAsia="仿宋_GB2312" w:cs="仿宋_GB2312"/>
        </w:rPr>
        <w:br w:type="page"/>
      </w:r>
    </w:p>
    <w:p w14:paraId="61DDFC0A">
      <w:pPr>
        <w:pStyle w:val="5"/>
        <w:keepNext/>
        <w:keepLines/>
        <w:pageBreakBefore w:val="0"/>
        <w:widowControl w:val="0"/>
        <w:numPr>
          <w:ilvl w:val="0"/>
          <w:numId w:val="2"/>
        </w:numPr>
        <w:kinsoku/>
        <w:wordWrap/>
        <w:overflowPunct/>
        <w:topLinePunct w:val="0"/>
        <w:autoSpaceDE/>
        <w:autoSpaceDN/>
        <w:bidi w:val="0"/>
        <w:adjustRightInd/>
        <w:snapToGrid/>
        <w:spacing w:before="313" w:beforeLines="100" w:after="313" w:afterLines="100" w:line="520" w:lineRule="exact"/>
        <w:ind w:left="0" w:leftChars="0" w:firstLine="0" w:firstLineChars="0"/>
        <w:jc w:val="center"/>
        <w:textAlignment w:val="auto"/>
        <w:rPr>
          <w:rFonts w:hint="eastAsia" w:ascii="Times New Roman" w:hAnsi="Times New Roman" w:eastAsia="方正小标宋简体" w:cs="Times New Roman"/>
          <w:b w:val="0"/>
          <w:bCs w:val="0"/>
          <w:sz w:val="36"/>
          <w:szCs w:val="36"/>
        </w:rPr>
      </w:pPr>
      <w:bookmarkStart w:id="48" w:name="_Toc15331"/>
      <w:r>
        <w:rPr>
          <w:rFonts w:hint="eastAsia" w:ascii="Times New Roman" w:hAnsi="Times New Roman" w:eastAsia="方正小标宋简体" w:cs="Times New Roman"/>
          <w:b w:val="0"/>
          <w:bCs w:val="0"/>
          <w:sz w:val="36"/>
          <w:szCs w:val="36"/>
        </w:rPr>
        <w:t>巩固农业空间，</w:t>
      </w:r>
      <w:r>
        <w:rPr>
          <w:rFonts w:hint="eastAsia" w:ascii="Times New Roman" w:hAnsi="Times New Roman" w:eastAsia="方正小标宋简体" w:cs="Times New Roman"/>
          <w:b w:val="0"/>
          <w:bCs w:val="0"/>
          <w:sz w:val="36"/>
          <w:szCs w:val="36"/>
          <w:lang w:val="en-US" w:eastAsia="zh-CN"/>
        </w:rPr>
        <w:t>提升农牧</w:t>
      </w:r>
      <w:r>
        <w:rPr>
          <w:rFonts w:hint="eastAsia" w:ascii="Times New Roman" w:hAnsi="Times New Roman" w:eastAsia="方正小标宋简体" w:cs="Times New Roman"/>
          <w:b w:val="0"/>
          <w:bCs w:val="0"/>
          <w:sz w:val="36"/>
          <w:szCs w:val="36"/>
        </w:rPr>
        <w:t>产品</w:t>
      </w:r>
      <w:r>
        <w:rPr>
          <w:rFonts w:hint="eastAsia" w:ascii="Times New Roman" w:hAnsi="Times New Roman" w:eastAsia="方正小标宋简体" w:cs="Times New Roman"/>
          <w:b w:val="0"/>
          <w:bCs w:val="0"/>
          <w:sz w:val="36"/>
          <w:szCs w:val="36"/>
          <w:lang w:val="en-US" w:eastAsia="zh-CN"/>
        </w:rPr>
        <w:t>质量</w:t>
      </w:r>
      <w:bookmarkEnd w:id="48"/>
    </w:p>
    <w:p w14:paraId="03CCD814">
      <w:pPr>
        <w:pStyle w:val="6"/>
        <w:keepNext/>
        <w:keepLines/>
        <w:pageBreakBefore w:val="0"/>
        <w:widowControl w:val="0"/>
        <w:numPr>
          <w:ilvl w:val="1"/>
          <w:numId w:val="8"/>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highlight w:val="none"/>
          <w:lang w:val="zh-CN"/>
        </w:rPr>
      </w:pPr>
      <w:bookmarkStart w:id="49" w:name="_Toc14717"/>
      <w:r>
        <w:rPr>
          <w:rFonts w:hint="eastAsia" w:ascii="Arial" w:hAnsi="Arial" w:eastAsia="黑体" w:cs="Times New Roman"/>
          <w:b w:val="0"/>
          <w:highlight w:val="none"/>
          <w:lang w:val="zh-CN"/>
        </w:rPr>
        <w:t>实施耕地数量、质量、生态“三位一体”保护</w:t>
      </w:r>
      <w:bookmarkEnd w:id="49"/>
    </w:p>
    <w:p w14:paraId="210BE412">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实行</w:t>
      </w:r>
      <w:r>
        <w:rPr>
          <w:rFonts w:hint="eastAsia" w:ascii="楷体_GB2312" w:hAnsi="Times New Roman" w:eastAsia="楷体_GB2312" w:cs="Times New Roman"/>
          <w:bCs/>
          <w:sz w:val="32"/>
          <w:szCs w:val="32"/>
        </w:rPr>
        <w:t>最严格的耕地保护制度</w:t>
      </w:r>
    </w:p>
    <w:p w14:paraId="6F0832CF">
      <w:pPr>
        <w:pStyle w:val="11"/>
        <w:ind w:firstLine="640"/>
        <w:rPr>
          <w:rFonts w:hint="eastAsia" w:ascii="仿宋_GB2312" w:hAnsi="仿宋_GB2312" w:eastAsia="仿宋_GB2312" w:cs="仿宋_GB2312"/>
          <w:u w:val="single"/>
        </w:rPr>
      </w:pPr>
      <w:r>
        <w:rPr>
          <w:rFonts w:hint="eastAsia" w:ascii="楷体_GB2312" w:hAnsi="楷体_GB2312" w:eastAsia="楷体_GB2312" w:cs="楷体_GB2312"/>
        </w:rPr>
        <w:t>严守耕地保护红线，</w:t>
      </w:r>
      <w:r>
        <w:rPr>
          <w:rFonts w:hint="eastAsia" w:ascii="仿宋_GB2312" w:hAnsi="仿宋_GB2312" w:eastAsia="仿宋_GB2312" w:cs="仿宋_GB2312"/>
        </w:rPr>
        <w:t>突出耕地数量、质量、生态“三位一体”保护和管控，落实最严格的耕地保护制度和永久基本农田特殊保护制度。</w:t>
      </w:r>
      <w:r>
        <w:rPr>
          <w:rFonts w:hint="eastAsia" w:ascii="仿宋_GB2312" w:hAnsi="仿宋_GB2312" w:eastAsia="仿宋_GB2312" w:cs="仿宋_GB2312"/>
          <w:u w:val="single"/>
          <w:lang w:val="en-US" w:eastAsia="zh-CN"/>
        </w:rPr>
        <w:t>规划期末，</w:t>
      </w:r>
      <w:r>
        <w:rPr>
          <w:rFonts w:hint="eastAsia" w:ascii="仿宋_GB2312" w:hAnsi="仿宋_GB2312" w:eastAsia="仿宋_GB2312" w:cs="仿宋_GB2312"/>
          <w:u w:val="single"/>
        </w:rPr>
        <w:t>沙珠玉乡耕地</w:t>
      </w:r>
      <w:r>
        <w:rPr>
          <w:rFonts w:hint="eastAsia" w:ascii="仿宋_GB2312" w:hAnsi="仿宋_GB2312" w:eastAsia="仿宋_GB2312" w:cs="仿宋_GB2312"/>
          <w:u w:val="single"/>
          <w:lang w:val="en-US" w:eastAsia="zh-CN"/>
        </w:rPr>
        <w:t>保护目标</w:t>
      </w:r>
      <w:r>
        <w:rPr>
          <w:rFonts w:hint="eastAsia" w:ascii="仿宋_GB2312" w:hAnsi="仿宋_GB2312" w:eastAsia="仿宋_GB2312" w:cs="仿宋_GB2312"/>
          <w:u w:val="single"/>
        </w:rPr>
        <w:t>不低于</w:t>
      </w:r>
      <w:r>
        <w:rPr>
          <w:rFonts w:hint="eastAsia" w:ascii="仿宋_GB2312" w:hAnsi="仿宋_GB2312" w:eastAsia="仿宋_GB2312" w:cs="仿宋_GB2312"/>
          <w:u w:val="single"/>
          <w:lang w:val="en-US" w:eastAsia="zh-CN"/>
        </w:rPr>
        <w:t>17.38平方公里</w:t>
      </w:r>
      <w:r>
        <w:rPr>
          <w:rFonts w:hint="eastAsia" w:ascii="仿宋_GB2312" w:hAnsi="仿宋_GB2312" w:eastAsia="仿宋_GB2312" w:cs="仿宋_GB2312"/>
          <w:u w:val="single"/>
          <w:lang w:eastAsia="zh-CN"/>
        </w:rPr>
        <w:t>（</w:t>
      </w:r>
      <w:r>
        <w:rPr>
          <w:rFonts w:hint="default" w:ascii="仿宋_GB2312" w:hAnsi="仿宋_GB2312" w:eastAsia="仿宋_GB2312" w:cs="仿宋_GB2312"/>
          <w:u w:val="single"/>
          <w:lang w:val="en-US" w:eastAsia="zh-CN"/>
        </w:rPr>
        <w:t>2.6065</w:t>
      </w:r>
      <w:r>
        <w:rPr>
          <w:rFonts w:hint="eastAsia" w:ascii="仿宋_GB2312" w:hAnsi="仿宋_GB2312" w:eastAsia="仿宋_GB2312" w:cs="仿宋_GB2312"/>
          <w:u w:val="single"/>
          <w:lang w:val="en-US" w:eastAsia="zh-CN"/>
        </w:rPr>
        <w:t>万亩</w:t>
      </w:r>
      <w:r>
        <w:rPr>
          <w:rFonts w:hint="eastAsia" w:ascii="仿宋_GB2312" w:hAnsi="仿宋_GB2312" w:eastAsia="仿宋_GB2312" w:cs="仿宋_GB2312"/>
          <w:u w:val="single"/>
          <w:lang w:eastAsia="zh-CN"/>
        </w:rPr>
        <w:t>），</w:t>
      </w:r>
      <w:r>
        <w:rPr>
          <w:rFonts w:hint="eastAsia" w:ascii="仿宋_GB2312" w:hAnsi="仿宋_GB2312" w:eastAsia="仿宋_GB2312" w:cs="仿宋_GB2312"/>
          <w:u w:val="single"/>
        </w:rPr>
        <w:t>永久基本农田保护红线面积</w:t>
      </w:r>
      <w:r>
        <w:rPr>
          <w:rFonts w:hint="eastAsia" w:ascii="仿宋_GB2312" w:hAnsi="仿宋_GB2312" w:eastAsia="仿宋_GB2312" w:cs="仿宋_GB2312"/>
          <w:u w:val="single"/>
          <w:lang w:val="en-US" w:eastAsia="zh-CN"/>
        </w:rPr>
        <w:t>不低于</w:t>
      </w:r>
      <w:r>
        <w:rPr>
          <w:rFonts w:hint="eastAsia" w:ascii="仿宋_GB2312" w:hAnsi="仿宋_GB2312" w:eastAsia="仿宋_GB2312" w:cs="仿宋_GB2312"/>
          <w:u w:val="single"/>
        </w:rPr>
        <w:t>16.5</w:t>
      </w:r>
      <w:r>
        <w:rPr>
          <w:rFonts w:hint="eastAsia" w:ascii="仿宋_GB2312" w:hAnsi="仿宋_GB2312" w:eastAsia="仿宋_GB2312" w:cs="仿宋_GB2312"/>
          <w:u w:val="single"/>
          <w:lang w:val="en-US" w:eastAsia="zh-CN"/>
        </w:rPr>
        <w:t>1</w:t>
      </w:r>
      <w:r>
        <w:rPr>
          <w:rFonts w:hint="eastAsia" w:ascii="仿宋_GB2312" w:hAnsi="仿宋_GB2312" w:eastAsia="仿宋_GB2312" w:cs="仿宋_GB2312"/>
          <w:u w:val="single"/>
        </w:rPr>
        <w:t>平方公里</w:t>
      </w:r>
      <w:r>
        <w:rPr>
          <w:rFonts w:hint="eastAsia" w:ascii="仿宋_GB2312" w:hAnsi="仿宋_GB2312" w:eastAsia="仿宋_GB2312" w:cs="仿宋_GB2312"/>
          <w:u w:val="single"/>
          <w:lang w:eastAsia="zh-CN"/>
        </w:rPr>
        <w:t>（</w:t>
      </w:r>
      <w:r>
        <w:rPr>
          <w:rFonts w:hint="default" w:ascii="仿宋_GB2312" w:hAnsi="仿宋_GB2312" w:eastAsia="仿宋_GB2312" w:cs="仿宋_GB2312"/>
          <w:u w:val="single"/>
          <w:lang w:val="en-US" w:eastAsia="zh-CN"/>
        </w:rPr>
        <w:t>2.4771</w:t>
      </w:r>
      <w:r>
        <w:rPr>
          <w:rFonts w:hint="eastAsia" w:ascii="仿宋_GB2312" w:hAnsi="仿宋_GB2312" w:eastAsia="仿宋_GB2312" w:cs="仿宋_GB2312"/>
          <w:u w:val="single"/>
          <w:lang w:val="en-US" w:eastAsia="zh-CN"/>
        </w:rPr>
        <w:t>万亩</w:t>
      </w:r>
      <w:r>
        <w:rPr>
          <w:rFonts w:hint="eastAsia" w:ascii="仿宋_GB2312" w:hAnsi="仿宋_GB2312" w:eastAsia="仿宋_GB2312" w:cs="仿宋_GB2312"/>
          <w:u w:val="single"/>
          <w:lang w:eastAsia="zh-CN"/>
        </w:rPr>
        <w:t>）</w:t>
      </w:r>
      <w:r>
        <w:rPr>
          <w:rFonts w:hint="eastAsia" w:ascii="仿宋_GB2312" w:hAnsi="仿宋_GB2312" w:eastAsia="仿宋_GB2312" w:cs="仿宋_GB2312"/>
          <w:u w:val="single"/>
        </w:rPr>
        <w:t>。</w:t>
      </w:r>
    </w:p>
    <w:p w14:paraId="36D7F44A">
      <w:pPr>
        <w:pStyle w:val="11"/>
        <w:ind w:firstLine="640"/>
        <w:rPr>
          <w:rFonts w:hint="eastAsia" w:ascii="仿宋_GB2312" w:hAnsi="仿宋_GB2312" w:eastAsia="仿宋_GB2312" w:cs="仿宋_GB2312"/>
        </w:rPr>
      </w:pPr>
      <w:r>
        <w:rPr>
          <w:rFonts w:hint="eastAsia" w:ascii="楷体_GB2312" w:hAnsi="楷体_GB2312" w:eastAsia="楷体_GB2312" w:cs="楷体_GB2312"/>
        </w:rPr>
        <w:t>实行最严格的耕地保护制度，</w:t>
      </w:r>
      <w:r>
        <w:rPr>
          <w:rFonts w:hint="eastAsia" w:ascii="仿宋_GB2312" w:hAnsi="仿宋_GB2312" w:eastAsia="仿宋_GB2312" w:cs="仿宋_GB2312"/>
        </w:rPr>
        <w:t>采取“长牙齿”的硬措施保护耕地，分级落实各级党委和政府耕地保护主体责任，整合监管执法力量，形成工作合力，坚决遏制耕地“非农化”，防止永久基本农田“非粮化”。</w:t>
      </w:r>
    </w:p>
    <w:p w14:paraId="3E3371F8">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改革完善</w:t>
      </w:r>
      <w:r>
        <w:rPr>
          <w:rFonts w:hint="eastAsia" w:ascii="楷体_GB2312" w:hAnsi="Times New Roman" w:eastAsia="楷体_GB2312" w:cs="Times New Roman"/>
          <w:bCs/>
          <w:sz w:val="32"/>
          <w:szCs w:val="32"/>
        </w:rPr>
        <w:t>耕地占补平衡</w:t>
      </w:r>
      <w:r>
        <w:rPr>
          <w:rFonts w:hint="eastAsia" w:ascii="楷体_GB2312" w:hAnsi="Times New Roman" w:eastAsia="楷体_GB2312" w:cs="Times New Roman"/>
          <w:bCs/>
          <w:sz w:val="32"/>
          <w:szCs w:val="32"/>
          <w:lang w:val="en-US" w:eastAsia="zh-CN"/>
        </w:rPr>
        <w:t>管理</w:t>
      </w:r>
    </w:p>
    <w:p w14:paraId="5BAA8549">
      <w:pPr>
        <w:pStyle w:val="11"/>
        <w:ind w:firstLine="640"/>
        <w:rPr>
          <w:rFonts w:hint="eastAsia" w:ascii="仿宋_GB2312" w:hAnsi="仿宋_GB2312" w:eastAsia="仿宋_GB2312" w:cs="仿宋_GB2312"/>
          <w:strike/>
          <w:dstrike w:val="0"/>
        </w:rPr>
      </w:pPr>
      <w:r>
        <w:rPr>
          <w:rFonts w:hint="eastAsia" w:ascii="楷体_GB2312" w:hAnsi="楷体_GB2312" w:eastAsia="楷体_GB2312" w:cs="楷体_GB2312"/>
        </w:rPr>
        <w:t>调整耕地占补平衡管理范围。</w:t>
      </w:r>
      <w:r>
        <w:rPr>
          <w:rFonts w:hint="eastAsia" w:ascii="仿宋_GB2312" w:hAnsi="仿宋_GB2312" w:eastAsia="仿宋_GB2312" w:cs="仿宋_GB2312"/>
        </w:rPr>
        <w:t>将非农建设、造林种树、种果种茶等各类占用耕地行为统一纳入耕地占补平衡管理。除国家安排的生态退耕、自然灾害损毁难以复耕、河湖水面自然扩大造成耕地永久淹没及国家规定的其他可不落实补充耕地的情形外,各类占用耕地行为导致耕地减少的，均应落实耕地占补平衡，补充与所占用耕地数量和质量相当的耕地。</w:t>
      </w:r>
    </w:p>
    <w:p w14:paraId="7C00525B">
      <w:pPr>
        <w:pStyle w:val="11"/>
        <w:ind w:firstLine="640"/>
        <w:rPr>
          <w:rFonts w:hint="eastAsia" w:ascii="仿宋_GB2312" w:hAnsi="仿宋_GB2312" w:eastAsia="仿宋_GB2312" w:cs="仿宋_GB2312"/>
        </w:rPr>
      </w:pPr>
      <w:r>
        <w:rPr>
          <w:rFonts w:hint="eastAsia" w:ascii="楷体_GB2312" w:hAnsi="楷体_GB2312" w:eastAsia="楷体_GB2312" w:cs="楷体_GB2312"/>
        </w:rPr>
        <w:t>严格控制耕地占用。</w:t>
      </w:r>
      <w:r>
        <w:rPr>
          <w:rFonts w:hint="eastAsia" w:ascii="仿宋_GB2312" w:hAnsi="仿宋_GB2312" w:eastAsia="仿宋_GB2312" w:cs="仿宋_GB2312"/>
        </w:rPr>
        <w:t>切实落实最严格的耕地保护制度和永久基本农田特殊保护制度。对非农建设占用耕地，要严格用地审批，严格执行土地使用标准，切实做到不占或少占耕地。规范有序实施耕地转为园地、林地、草地等其他农用地，科学合理安排造林绿化任务，严格控制占用耕地规模。严肃处置违法违规占用耕地问题，坚决防止未批先建、造林绿化随意占用耕地、超标准建设绿色通道、挖湖造景占用耕地等行为。</w:t>
      </w:r>
    </w:p>
    <w:p w14:paraId="65ABCFD7">
      <w:pPr>
        <w:pStyle w:val="11"/>
        <w:ind w:firstLine="640"/>
        <w:rPr>
          <w:rFonts w:hint="eastAsia" w:ascii="仿宋_GB2312" w:hAnsi="仿宋_GB2312" w:eastAsia="仿宋_GB2312" w:cs="仿宋_GB2312"/>
        </w:rPr>
      </w:pPr>
      <w:r>
        <w:rPr>
          <w:rFonts w:hint="eastAsia" w:ascii="楷体_GB2312" w:hAnsi="楷体_GB2312" w:eastAsia="楷体_GB2312" w:cs="楷体_GB2312"/>
        </w:rPr>
        <w:t>耕地占补平衡管理方式。</w:t>
      </w:r>
      <w:r>
        <w:rPr>
          <w:rFonts w:hint="eastAsia" w:ascii="仿宋_GB2312" w:hAnsi="仿宋_GB2312" w:eastAsia="仿宋_GB2312" w:cs="仿宋_GB2312"/>
        </w:rPr>
        <w:t>强化耕地总量管控，对各类占用耕地与补充耕地实行年度“算大账”，以年度国土变更调查、补充耕地质量鉴定等成果为基础，实施区域耕地总量动态平衡、质量稳定监督管理。严格落实补充耕地要求，积极稳妥推进耕地恢复，科学适度开发宜耕后备资源，确保各类占用耕地得到及时保质保量补充，稳定利用耕地总量不减少、质量不降低。</w:t>
      </w:r>
    </w:p>
    <w:p w14:paraId="15F07166">
      <w:pPr>
        <w:pStyle w:val="11"/>
        <w:ind w:firstLine="640"/>
        <w:rPr>
          <w:rFonts w:hint="eastAsia" w:ascii="仿宋_GB2312" w:hAnsi="仿宋_GB2312" w:eastAsia="仿宋_GB2312" w:cs="仿宋_GB2312"/>
        </w:rPr>
      </w:pPr>
      <w:r>
        <w:rPr>
          <w:rFonts w:hint="eastAsia" w:ascii="楷体_GB2312" w:hAnsi="楷体_GB2312" w:eastAsia="楷体_GB2312" w:cs="楷体_GB2312"/>
        </w:rPr>
        <w:t>强化非农建设占用耕地以补定占管控。</w:t>
      </w:r>
      <w:r>
        <w:rPr>
          <w:rFonts w:hint="eastAsia" w:ascii="仿宋_GB2312" w:hAnsi="仿宋_GB2312" w:eastAsia="仿宋_GB2312" w:cs="仿宋_GB2312"/>
        </w:rPr>
        <w:t>统筹非农建设和农用地内部调整占用耕地需求，建立非农建设占用耕地规模与稳定利用耕地净增加量挂钩约束机制。</w:t>
      </w:r>
    </w:p>
    <w:p w14:paraId="3032159D">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提升耕地综合生产能力</w:t>
      </w:r>
    </w:p>
    <w:p w14:paraId="008BF8E3">
      <w:pPr>
        <w:pStyle w:val="11"/>
        <w:ind w:firstLine="640"/>
        <w:rPr>
          <w:rFonts w:hint="eastAsia" w:ascii="仿宋_GB2312" w:hAnsi="仿宋_GB2312" w:eastAsia="仿宋_GB2312" w:cs="仿宋_GB2312"/>
        </w:rPr>
      </w:pPr>
      <w:r>
        <w:rPr>
          <w:rFonts w:hint="eastAsia" w:ascii="仿宋_GB2312" w:hAnsi="仿宋_GB2312" w:eastAsia="仿宋_GB2312" w:cs="仿宋_GB2312"/>
        </w:rPr>
        <w:t>加强农田基础设施建设，改善田间道路、灌排渠道、电力系统并种植农田防护林，开展耕地提质改造，综合运用工程、技术和生物措施，积极开展全域土地综合整治，促进耕地集中连片。开展旱改水、农田连片整治、土壤培肥改良等重大工程，加强高效节水灌溉设施建设和节水技术推广，提高耕地综合生产能力。以种植业生产适宜区为基础，结合永久基本农田集中分布情况，大力推进高标准农田建设，加强灌排设施和田间道路设施配套，培肥土壤，促进零散耕地集中连片和耕地数量、质量、生态“</w:t>
      </w:r>
      <w:r>
        <w:rPr>
          <w:rFonts w:hint="eastAsia" w:ascii="仿宋_GB2312" w:hAnsi="仿宋_GB2312" w:cs="仿宋_GB2312"/>
          <w:lang w:val="en-US" w:eastAsia="zh-CN"/>
        </w:rPr>
        <w:t>三位一体”</w:t>
      </w:r>
      <w:r>
        <w:rPr>
          <w:rFonts w:hint="eastAsia" w:ascii="仿宋_GB2312" w:hAnsi="仿宋_GB2312" w:eastAsia="仿宋_GB2312" w:cs="仿宋_GB2312"/>
        </w:rPr>
        <w:t>保护。加强优质耕地储备，土地整治和新建高标准农田增加的耕地，集中连片、规模较大、有良好的水利和水土保持设施的耕地，应优先划入永久基本农田储备区。在永久基本农田集中分布地区，不得规划新建可能造成污染的建设项目。</w:t>
      </w:r>
    </w:p>
    <w:p w14:paraId="1B3789A8">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持续推进宜耕后备资源开发</w:t>
      </w:r>
    </w:p>
    <w:p w14:paraId="2BD5E351">
      <w:pPr>
        <w:pStyle w:val="11"/>
        <w:ind w:firstLine="640"/>
        <w:rPr>
          <w:rFonts w:hint="default" w:ascii="仿宋_GB2312" w:hAnsi="仿宋_GB2312" w:eastAsia="仿宋_GB2312" w:cs="仿宋_GB2312"/>
          <w:lang w:val="en-US" w:eastAsia="zh-CN"/>
        </w:rPr>
      </w:pPr>
      <w:r>
        <w:rPr>
          <w:rFonts w:hint="eastAsia" w:ascii="仿宋_GB2312" w:hAnsi="仿宋_GB2312" w:eastAsia="仿宋_GB2312" w:cs="仿宋_GB2312"/>
        </w:rPr>
        <w:t>在对生态环境不造成不良影响和水资源承载范围内，大力推进耕地后备资源分布潜力较大的重点区域耕地开垦工程。充分利用其他草地、沙地等耕地后备资源，大力实施宜耕后备资源开发，增加有效耕地面积，促进耕地集中连片。</w:t>
      </w:r>
    </w:p>
    <w:p w14:paraId="2E4B8CD3">
      <w:pPr>
        <w:pStyle w:val="6"/>
        <w:keepNext/>
        <w:keepLines/>
        <w:pageBreakBefore w:val="0"/>
        <w:widowControl w:val="0"/>
        <w:numPr>
          <w:ilvl w:val="1"/>
          <w:numId w:val="8"/>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50" w:name="_Toc15057"/>
      <w:r>
        <w:rPr>
          <w:rFonts w:hint="eastAsia" w:ascii="Arial" w:hAnsi="Arial" w:eastAsia="黑体" w:cs="Times New Roman"/>
          <w:b w:val="0"/>
          <w:lang w:val="zh-CN"/>
        </w:rPr>
        <w:t>重点</w:t>
      </w:r>
      <w:r>
        <w:rPr>
          <w:rFonts w:hint="eastAsia" w:ascii="Arial" w:hAnsi="Arial" w:eastAsia="黑体" w:cs="Times New Roman"/>
          <w:b w:val="0"/>
          <w:lang w:val="en-US" w:eastAsia="zh-CN"/>
        </w:rPr>
        <w:t>提升</w:t>
      </w:r>
      <w:r>
        <w:rPr>
          <w:rFonts w:hint="eastAsia" w:ascii="Arial" w:hAnsi="Arial" w:eastAsia="黑体" w:cs="Times New Roman"/>
          <w:b w:val="0"/>
          <w:lang w:val="zh-CN"/>
        </w:rPr>
        <w:t>农畜产品生产</w:t>
      </w:r>
      <w:r>
        <w:rPr>
          <w:rFonts w:hint="eastAsia" w:ascii="Arial" w:hAnsi="Arial" w:eastAsia="黑体" w:cs="Times New Roman"/>
          <w:b w:val="0"/>
          <w:lang w:val="en-US" w:eastAsia="zh-CN"/>
        </w:rPr>
        <w:t>能力</w:t>
      </w:r>
      <w:bookmarkEnd w:id="50"/>
    </w:p>
    <w:p w14:paraId="0E6EED78">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保障畜牧业生产空间</w:t>
      </w:r>
    </w:p>
    <w:p w14:paraId="037C6B21">
      <w:pPr>
        <w:pStyle w:val="11"/>
        <w:ind w:firstLine="640"/>
        <w:rPr>
          <w:rFonts w:hint="eastAsia" w:ascii="仿宋_GB2312" w:hAnsi="仿宋_GB2312" w:eastAsia="仿宋_GB2312" w:cs="仿宋_GB2312"/>
        </w:rPr>
      </w:pPr>
      <w:r>
        <w:rPr>
          <w:rFonts w:hint="eastAsia" w:ascii="仿宋_GB2312" w:hAnsi="仿宋_GB2312" w:eastAsia="仿宋_GB2312" w:cs="仿宋_GB2312"/>
        </w:rPr>
        <w:t>对牧区生态环境恶劣，退化、沙化、盐渍化严重，不宜放牧，以及位于生态涵养区的草原，继续实施天然草原禁牧补助政策，实行禁牧封育。对禁牧区以外的天然草原根据承载能力核定合理载畜量，继续实施草畜平衡管理，落实奖励政策。以草定畜，优化牧区、农牧结合区和农区资源配置，推行“舍饲圈养、种养结合、农牧互补、牧繁农育”等循环生产模式。高效利用土地种植人工饲草，提升饲草料供给能力。支持暖棚、饲草基地、贮草棚等基础设施建设，引导草场合理放牧和鼓励饲养畜结合。</w:t>
      </w:r>
    </w:p>
    <w:p w14:paraId="28CC7204">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提高</w:t>
      </w:r>
      <w:r>
        <w:rPr>
          <w:rFonts w:hint="eastAsia" w:ascii="楷体_GB2312" w:hAnsi="Times New Roman" w:eastAsia="楷体_GB2312" w:cs="Times New Roman"/>
          <w:bCs/>
          <w:sz w:val="32"/>
          <w:szCs w:val="32"/>
          <w:lang w:val="en-US" w:eastAsia="zh-CN"/>
        </w:rPr>
        <w:t>集镇周边</w:t>
      </w:r>
      <w:r>
        <w:rPr>
          <w:rFonts w:hint="eastAsia" w:ascii="楷体_GB2312" w:hAnsi="Times New Roman" w:eastAsia="楷体_GB2312" w:cs="Times New Roman"/>
          <w:bCs/>
          <w:sz w:val="32"/>
          <w:szCs w:val="32"/>
        </w:rPr>
        <w:t>农</w:t>
      </w:r>
      <w:r>
        <w:rPr>
          <w:rFonts w:hint="eastAsia" w:ascii="楷体_GB2312" w:hAnsi="Times New Roman" w:eastAsia="楷体_GB2312" w:cs="Times New Roman"/>
          <w:bCs/>
          <w:sz w:val="32"/>
          <w:szCs w:val="32"/>
          <w:lang w:val="en-US" w:eastAsia="zh-CN"/>
        </w:rPr>
        <w:t>牧</w:t>
      </w:r>
      <w:r>
        <w:rPr>
          <w:rFonts w:hint="eastAsia" w:ascii="楷体_GB2312" w:hAnsi="Times New Roman" w:eastAsia="楷体_GB2312" w:cs="Times New Roman"/>
          <w:bCs/>
          <w:sz w:val="32"/>
          <w:szCs w:val="32"/>
        </w:rPr>
        <w:t>业生产能力</w:t>
      </w:r>
    </w:p>
    <w:p w14:paraId="76B97903">
      <w:pPr>
        <w:pStyle w:val="11"/>
        <w:ind w:firstLine="640"/>
        <w:rPr>
          <w:rFonts w:hint="eastAsia" w:ascii="仿宋_GB2312" w:hAnsi="仿宋_GB2312" w:eastAsia="仿宋_GB2312" w:cs="仿宋_GB2312"/>
        </w:rPr>
      </w:pPr>
      <w:r>
        <w:rPr>
          <w:rFonts w:hint="eastAsia" w:ascii="仿宋_GB2312" w:hAnsi="仿宋_GB2312" w:eastAsia="仿宋_GB2312" w:cs="仿宋_GB2312"/>
        </w:rPr>
        <w:t>严格保护</w:t>
      </w:r>
      <w:r>
        <w:rPr>
          <w:rFonts w:hint="eastAsia" w:ascii="仿宋_GB2312" w:hAnsi="仿宋_GB2312" w:cs="仿宋_GB2312"/>
          <w:lang w:val="en-US" w:eastAsia="zh-CN"/>
        </w:rPr>
        <w:t>集镇</w:t>
      </w:r>
      <w:r>
        <w:rPr>
          <w:rFonts w:hint="eastAsia" w:ascii="仿宋_GB2312" w:hAnsi="仿宋_GB2312" w:eastAsia="仿宋_GB2312" w:cs="仿宋_GB2312"/>
        </w:rPr>
        <w:t>周边农</w:t>
      </w:r>
      <w:r>
        <w:rPr>
          <w:rFonts w:hint="eastAsia" w:ascii="仿宋_GB2312" w:hAnsi="仿宋_GB2312" w:cs="仿宋_GB2312"/>
          <w:lang w:val="en-US" w:eastAsia="zh-CN"/>
        </w:rPr>
        <w:t>牧</w:t>
      </w:r>
      <w:r>
        <w:rPr>
          <w:rFonts w:hint="eastAsia" w:ascii="仿宋_GB2312" w:hAnsi="仿宋_GB2312" w:eastAsia="仿宋_GB2312" w:cs="仿宋_GB2312"/>
        </w:rPr>
        <w:t>业空间，有序引导</w:t>
      </w:r>
      <w:r>
        <w:rPr>
          <w:rFonts w:hint="eastAsia" w:ascii="仿宋_GB2312" w:hAnsi="仿宋_GB2312" w:cs="仿宋_GB2312"/>
          <w:lang w:val="en-US" w:eastAsia="zh-CN"/>
        </w:rPr>
        <w:t>乡村</w:t>
      </w:r>
      <w:r>
        <w:rPr>
          <w:rFonts w:hint="eastAsia" w:ascii="仿宋_GB2312" w:hAnsi="仿宋_GB2312" w:eastAsia="仿宋_GB2312" w:cs="仿宋_GB2312"/>
        </w:rPr>
        <w:t>建设</w:t>
      </w:r>
      <w:r>
        <w:rPr>
          <w:rFonts w:hint="eastAsia" w:ascii="仿宋_GB2312" w:hAnsi="仿宋_GB2312" w:cs="仿宋_GB2312"/>
          <w:lang w:val="en-US" w:eastAsia="zh-CN"/>
        </w:rPr>
        <w:t>向集镇集中</w:t>
      </w:r>
      <w:r>
        <w:rPr>
          <w:rFonts w:hint="eastAsia" w:ascii="仿宋_GB2312" w:hAnsi="仿宋_GB2312" w:eastAsia="仿宋_GB2312" w:cs="仿宋_GB2312"/>
        </w:rPr>
        <w:t>。加强</w:t>
      </w:r>
      <w:r>
        <w:rPr>
          <w:rFonts w:hint="eastAsia" w:ascii="仿宋_GB2312" w:hAnsi="仿宋_GB2312" w:cs="仿宋_GB2312"/>
          <w:lang w:val="en-US" w:eastAsia="zh-CN"/>
        </w:rPr>
        <w:t>集镇</w:t>
      </w:r>
      <w:r>
        <w:rPr>
          <w:rFonts w:hint="eastAsia" w:ascii="仿宋_GB2312" w:hAnsi="仿宋_GB2312" w:eastAsia="仿宋_GB2312" w:cs="仿宋_GB2312"/>
        </w:rPr>
        <w:t>周边的农</w:t>
      </w:r>
      <w:r>
        <w:rPr>
          <w:rFonts w:hint="eastAsia" w:ascii="仿宋_GB2312" w:hAnsi="仿宋_GB2312" w:cs="仿宋_GB2312"/>
          <w:lang w:val="en-US" w:eastAsia="zh-CN"/>
        </w:rPr>
        <w:t>牧</w:t>
      </w:r>
      <w:r>
        <w:rPr>
          <w:rFonts w:hint="eastAsia" w:ascii="仿宋_GB2312" w:hAnsi="仿宋_GB2312" w:eastAsia="仿宋_GB2312" w:cs="仿宋_GB2312"/>
        </w:rPr>
        <w:t>业生产区的水利建设，包括灌溉设施</w:t>
      </w:r>
      <w:r>
        <w:rPr>
          <w:rFonts w:hint="eastAsia" w:ascii="仿宋_GB2312" w:hAnsi="仿宋_GB2312" w:cs="仿宋_GB2312"/>
          <w:lang w:val="en-US" w:eastAsia="zh-CN"/>
        </w:rPr>
        <w:t>改造、</w:t>
      </w:r>
      <w:r>
        <w:rPr>
          <w:rFonts w:hint="eastAsia" w:ascii="仿宋_GB2312" w:hAnsi="仿宋_GB2312" w:eastAsia="仿宋_GB2312" w:cs="仿宋_GB2312"/>
        </w:rPr>
        <w:t>保护水源等。通过流转方式集中形成规模化的农</w:t>
      </w:r>
      <w:r>
        <w:rPr>
          <w:rFonts w:hint="eastAsia" w:ascii="仿宋_GB2312" w:hAnsi="仿宋_GB2312" w:cs="仿宋_GB2312"/>
          <w:lang w:val="en-US" w:eastAsia="zh-CN"/>
        </w:rPr>
        <w:t>牧</w:t>
      </w:r>
      <w:r>
        <w:rPr>
          <w:rFonts w:hint="eastAsia" w:ascii="仿宋_GB2312" w:hAnsi="仿宋_GB2312" w:eastAsia="仿宋_GB2312" w:cs="仿宋_GB2312"/>
        </w:rPr>
        <w:t>业生产基地，提高土地利用效益；应用高新技术，推广先进农</w:t>
      </w:r>
      <w:r>
        <w:rPr>
          <w:rFonts w:hint="eastAsia" w:ascii="仿宋_GB2312" w:hAnsi="仿宋_GB2312" w:cs="仿宋_GB2312"/>
          <w:lang w:val="en-US" w:eastAsia="zh-CN"/>
        </w:rPr>
        <w:t>牧</w:t>
      </w:r>
      <w:r>
        <w:rPr>
          <w:rFonts w:hint="eastAsia" w:ascii="仿宋_GB2312" w:hAnsi="仿宋_GB2312" w:eastAsia="仿宋_GB2312" w:cs="仿宋_GB2312"/>
        </w:rPr>
        <w:t>业生产方式，提高农民生产效益，提高农</w:t>
      </w:r>
      <w:r>
        <w:rPr>
          <w:rFonts w:hint="eastAsia" w:ascii="仿宋_GB2312" w:hAnsi="仿宋_GB2312" w:cs="仿宋_GB2312"/>
          <w:lang w:val="en-US" w:eastAsia="zh-CN"/>
        </w:rPr>
        <w:t>牧</w:t>
      </w:r>
      <w:r>
        <w:rPr>
          <w:rFonts w:hint="eastAsia" w:ascii="仿宋_GB2312" w:hAnsi="仿宋_GB2312" w:eastAsia="仿宋_GB2312" w:cs="仿宋_GB2312"/>
        </w:rPr>
        <w:t>业生产精细化和智能化水平。</w:t>
      </w:r>
    </w:p>
    <w:p w14:paraId="4CA029C5">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发展优质高效特色农</w:t>
      </w:r>
      <w:r>
        <w:rPr>
          <w:rFonts w:hint="eastAsia" w:ascii="楷体_GB2312" w:hAnsi="Times New Roman" w:eastAsia="楷体_GB2312" w:cs="Times New Roman"/>
          <w:bCs/>
          <w:sz w:val="32"/>
          <w:szCs w:val="32"/>
          <w:lang w:val="en-US" w:eastAsia="zh-CN"/>
        </w:rPr>
        <w:t>牧产</w:t>
      </w:r>
      <w:r>
        <w:rPr>
          <w:rFonts w:hint="eastAsia" w:ascii="楷体_GB2312" w:hAnsi="Times New Roman" w:eastAsia="楷体_GB2312" w:cs="Times New Roman"/>
          <w:bCs/>
          <w:sz w:val="32"/>
          <w:szCs w:val="32"/>
        </w:rPr>
        <w:t>业</w:t>
      </w:r>
    </w:p>
    <w:p w14:paraId="22B193D8">
      <w:pPr>
        <w:pStyle w:val="11"/>
        <w:ind w:firstLine="640"/>
        <w:rPr>
          <w:rFonts w:hint="eastAsia" w:ascii="仿宋_GB2312" w:hAnsi="仿宋_GB2312" w:eastAsia="仿宋_GB2312" w:cs="仿宋_GB2312"/>
        </w:rPr>
      </w:pPr>
      <w:r>
        <w:rPr>
          <w:rFonts w:hint="eastAsia" w:ascii="仿宋_GB2312" w:hAnsi="仿宋_GB2312" w:eastAsia="仿宋_GB2312" w:cs="仿宋_GB2312"/>
          <w:lang w:val="en-US" w:eastAsia="zh-CN"/>
        </w:rPr>
        <w:t>深入实施“藏粮于地、藏粮于技”战略，</w:t>
      </w:r>
      <w:r>
        <w:rPr>
          <w:rFonts w:hint="eastAsia" w:ascii="仿宋_GB2312" w:hAnsi="仿宋_GB2312" w:eastAsia="仿宋_GB2312"/>
          <w:sz w:val="32"/>
          <w:szCs w:val="32"/>
        </w:rPr>
        <w:t>大力发展</w:t>
      </w:r>
      <w:r>
        <w:rPr>
          <w:rFonts w:hint="eastAsia" w:ascii="仿宋_GB2312" w:hAnsi="仿宋_GB2312"/>
          <w:sz w:val="32"/>
          <w:szCs w:val="32"/>
          <w:lang w:val="en-US" w:eastAsia="zh-CN"/>
        </w:rPr>
        <w:t>马铃薯</w:t>
      </w:r>
      <w:r>
        <w:rPr>
          <w:rFonts w:hint="eastAsia" w:ascii="仿宋_GB2312" w:hAnsi="仿宋_GB2312" w:eastAsia="仿宋_GB2312"/>
          <w:sz w:val="32"/>
          <w:szCs w:val="32"/>
        </w:rPr>
        <w:t>、油菜、小麦、蔬菜、饲草产业</w:t>
      </w:r>
      <w:r>
        <w:rPr>
          <w:rFonts w:hint="eastAsia" w:ascii="仿宋_GB2312" w:hAnsi="仿宋_GB2312"/>
          <w:sz w:val="32"/>
          <w:szCs w:val="32"/>
          <w:lang w:eastAsia="zh-CN"/>
        </w:rPr>
        <w:t>，</w:t>
      </w:r>
      <w:r>
        <w:rPr>
          <w:rFonts w:hint="eastAsia" w:ascii="仿宋_GB2312" w:hAnsi="仿宋_GB2312" w:eastAsia="仿宋_GB2312" w:cs="仿宋_GB2312"/>
        </w:rPr>
        <w:t>稳固粮食生产和重要农产品生产地位，实现绿色有机农畜产品输出和重要农畜产品保障等功能，增加优质农畜产品供给。</w:t>
      </w:r>
      <w:bookmarkStart w:id="51" w:name="_Hlk135522491"/>
      <w:r>
        <w:rPr>
          <w:rFonts w:hint="eastAsia" w:ascii="仿宋_GB2312" w:hAnsi="仿宋_GB2312" w:eastAsia="仿宋_GB2312" w:cs="仿宋_GB2312"/>
        </w:rPr>
        <w:t>优化农业产业布局，加大扶持力度，保障农牧区基础设施建设和设施农业发展用地需要</w:t>
      </w:r>
      <w:r>
        <w:rPr>
          <w:rFonts w:hint="eastAsia" w:ascii="仿宋_GB2312" w:hAnsi="仿宋_GB2312" w:cs="仿宋_GB2312"/>
          <w:lang w:eastAsia="zh-CN"/>
        </w:rPr>
        <w:t>，</w:t>
      </w:r>
      <w:r>
        <w:rPr>
          <w:rFonts w:hint="eastAsia" w:ascii="仿宋_GB2312" w:hAnsi="仿宋_GB2312" w:eastAsia="仿宋_GB2312" w:cs="仿宋_GB2312"/>
        </w:rPr>
        <w:t>保障特色农产品发展空间，打造设施农产品品牌。</w:t>
      </w:r>
      <w:bookmarkEnd w:id="51"/>
    </w:p>
    <w:p w14:paraId="13864446">
      <w:pPr>
        <w:pStyle w:val="6"/>
        <w:keepNext/>
        <w:keepLines/>
        <w:pageBreakBefore w:val="0"/>
        <w:widowControl w:val="0"/>
        <w:numPr>
          <w:ilvl w:val="1"/>
          <w:numId w:val="8"/>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52" w:name="_Toc13272"/>
      <w:r>
        <w:rPr>
          <w:rFonts w:hint="eastAsia" w:ascii="Arial" w:hAnsi="Arial" w:eastAsia="黑体" w:cs="Times New Roman"/>
          <w:b w:val="0"/>
          <w:lang w:val="zh-CN"/>
        </w:rPr>
        <w:t>有序实施</w:t>
      </w:r>
      <w:r>
        <w:rPr>
          <w:rFonts w:hint="eastAsia" w:ascii="Arial" w:hAnsi="Arial" w:eastAsia="黑体" w:cs="Times New Roman"/>
          <w:b w:val="0"/>
          <w:lang w:val="en-US" w:eastAsia="zh-CN"/>
        </w:rPr>
        <w:t>农用地</w:t>
      </w:r>
      <w:r>
        <w:rPr>
          <w:rFonts w:hint="eastAsia" w:ascii="Arial" w:hAnsi="Arial" w:eastAsia="黑体" w:cs="Times New Roman"/>
          <w:b w:val="0"/>
          <w:lang w:val="zh-CN"/>
        </w:rPr>
        <w:t>综合整治</w:t>
      </w:r>
      <w:bookmarkEnd w:id="52"/>
    </w:p>
    <w:p w14:paraId="7135B860">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统筹推进农用地综合整治</w:t>
      </w:r>
    </w:p>
    <w:p w14:paraId="55AEE048">
      <w:pPr>
        <w:pStyle w:val="11"/>
        <w:ind w:firstLine="640"/>
        <w:rPr>
          <w:rFonts w:hint="eastAsia" w:ascii="仿宋_GB2312" w:hAnsi="仿宋_GB2312" w:eastAsia="仿宋_GB2312" w:cs="仿宋_GB2312"/>
          <w:lang w:eastAsia="zh-CN"/>
        </w:rPr>
      </w:pPr>
      <w:r>
        <w:rPr>
          <w:rFonts w:hint="eastAsia" w:ascii="仿宋_GB2312" w:hAnsi="仿宋_GB2312" w:eastAsia="仿宋_GB2312" w:cs="仿宋_GB2312"/>
        </w:rPr>
        <w:t>突出耕地“三位一体”保护，增加耕地数量，提高耕地质量，改善农田生态</w:t>
      </w:r>
      <w:r>
        <w:rPr>
          <w:rFonts w:hint="eastAsia" w:ascii="仿宋_GB2312" w:hAnsi="仿宋_GB2312" w:cs="仿宋_GB2312"/>
          <w:lang w:eastAsia="zh-CN"/>
        </w:rPr>
        <w:t>，</w:t>
      </w:r>
      <w:r>
        <w:rPr>
          <w:rFonts w:hint="eastAsia" w:ascii="仿宋_GB2312" w:hAnsi="仿宋_GB2312" w:eastAsia="仿宋_GB2312" w:cs="仿宋_GB2312"/>
        </w:rPr>
        <w:t>开展全域综合整治</w:t>
      </w:r>
      <w:r>
        <w:rPr>
          <w:rFonts w:hint="eastAsia" w:ascii="仿宋_GB2312" w:hAnsi="仿宋_GB2312" w:cs="仿宋_GB2312"/>
          <w:lang w:eastAsia="zh-CN"/>
        </w:rPr>
        <w:t>。</w:t>
      </w:r>
    </w:p>
    <w:p w14:paraId="3AFC65D9">
      <w:pPr>
        <w:pStyle w:val="11"/>
        <w:ind w:firstLine="640"/>
        <w:rPr>
          <w:rFonts w:hint="eastAsia" w:ascii="仿宋_GB2312" w:hAnsi="仿宋_GB2312" w:eastAsia="仿宋_GB2312" w:cs="仿宋_GB2312"/>
          <w:u w:val="single"/>
        </w:rPr>
      </w:pPr>
      <w:r>
        <w:rPr>
          <w:rFonts w:hint="eastAsia" w:ascii="楷体_GB2312" w:hAnsi="楷体_GB2312" w:eastAsia="楷体_GB2312" w:cs="楷体_GB2312"/>
          <w:kern w:val="2"/>
          <w:sz w:val="32"/>
          <w:szCs w:val="32"/>
          <w:lang w:val="en-US" w:eastAsia="zh-CN" w:bidi="ar-SA"/>
        </w:rPr>
        <w:t>推进高标准农田建设。</w:t>
      </w:r>
      <w:r>
        <w:rPr>
          <w:rFonts w:hint="eastAsia" w:ascii="仿宋_GB2312" w:hAnsi="仿宋_GB2312" w:eastAsia="仿宋_GB2312" w:cs="仿宋_GB2312"/>
        </w:rPr>
        <w:t>加强农业配套设施建设，培肥地力，</w:t>
      </w:r>
      <w:r>
        <w:rPr>
          <w:rFonts w:hint="eastAsia" w:ascii="仿宋_GB2312" w:hAnsi="仿宋_GB2312" w:eastAsia="仿宋_GB2312" w:cs="仿宋_GB2312"/>
          <w:lang w:eastAsia="zh"/>
        </w:rPr>
        <w:t>大力推进高效节水，</w:t>
      </w:r>
      <w:r>
        <w:rPr>
          <w:rFonts w:hint="eastAsia" w:ascii="仿宋_GB2312" w:hAnsi="仿宋_GB2312" w:eastAsia="仿宋_GB2312" w:cs="仿宋_GB2312"/>
          <w:lang w:val="en-US" w:eastAsia="zh-CN"/>
        </w:rPr>
        <w:t>对支渠、斗渠进行改造提升，</w:t>
      </w:r>
      <w:r>
        <w:rPr>
          <w:rFonts w:hint="eastAsia" w:ascii="仿宋_GB2312" w:hAnsi="仿宋_GB2312" w:eastAsia="仿宋_GB2312" w:cs="仿宋_GB2312"/>
          <w:lang w:eastAsia="zh"/>
        </w:rPr>
        <w:t>建成一</w:t>
      </w:r>
      <w:r>
        <w:rPr>
          <w:rFonts w:hint="eastAsia" w:ascii="仿宋_GB2312" w:hAnsi="仿宋_GB2312" w:eastAsia="仿宋_GB2312" w:cs="仿宋_GB2312"/>
        </w:rPr>
        <w:t>批集中连片、设施配套、高产稳产、生态良好、抗灾能力强、与现代化农业经营方式相适应的农田。</w:t>
      </w:r>
      <w:bookmarkStart w:id="53" w:name="_Hlk142562878"/>
      <w:r>
        <w:rPr>
          <w:rFonts w:hint="eastAsia" w:ascii="仿宋_GB2312" w:hAnsi="仿宋_GB2312" w:eastAsia="仿宋_GB2312" w:cs="仿宋_GB2312"/>
          <w:u w:val="single"/>
        </w:rPr>
        <w:t>规划期末，沙珠玉乡将永久基本农田全部建设成高标准农田</w:t>
      </w:r>
      <w:bookmarkEnd w:id="53"/>
      <w:r>
        <w:rPr>
          <w:rFonts w:hint="eastAsia" w:ascii="仿宋_GB2312" w:hAnsi="仿宋_GB2312" w:eastAsia="仿宋_GB2312" w:cs="仿宋_GB2312"/>
          <w:u w:val="single"/>
        </w:rPr>
        <w:t>，总面积为16.5</w:t>
      </w:r>
      <w:r>
        <w:rPr>
          <w:rFonts w:hint="eastAsia" w:ascii="仿宋_GB2312" w:hAnsi="仿宋_GB2312" w:eastAsia="仿宋_GB2312" w:cs="仿宋_GB2312"/>
          <w:u w:val="single"/>
          <w:lang w:val="en-US" w:eastAsia="zh-CN"/>
        </w:rPr>
        <w:t>1</w:t>
      </w:r>
      <w:r>
        <w:rPr>
          <w:rFonts w:hint="eastAsia" w:ascii="仿宋_GB2312" w:hAnsi="仿宋_GB2312" w:cs="仿宋_GB2312"/>
          <w:u w:val="single"/>
          <w:lang w:eastAsia="zh-CN"/>
        </w:rPr>
        <w:t>平方千米</w:t>
      </w:r>
      <w:r>
        <w:rPr>
          <w:rFonts w:hint="eastAsia" w:ascii="仿宋_GB2312" w:hAnsi="仿宋_GB2312" w:eastAsia="仿宋_GB2312" w:cs="仿宋_GB2312"/>
          <w:u w:val="single"/>
          <w:lang w:eastAsia="zh-CN"/>
        </w:rPr>
        <w:t>（</w:t>
      </w:r>
      <w:r>
        <w:rPr>
          <w:rFonts w:hint="default" w:ascii="仿宋_GB2312" w:hAnsi="仿宋_GB2312" w:eastAsia="仿宋_GB2312" w:cs="仿宋_GB2312"/>
          <w:u w:val="single"/>
          <w:lang w:val="en-US" w:eastAsia="zh-CN"/>
        </w:rPr>
        <w:t>2.4771</w:t>
      </w:r>
      <w:r>
        <w:rPr>
          <w:rFonts w:hint="eastAsia" w:ascii="仿宋_GB2312" w:hAnsi="仿宋_GB2312" w:eastAsia="仿宋_GB2312" w:cs="仿宋_GB2312"/>
          <w:u w:val="single"/>
          <w:lang w:val="en-US" w:eastAsia="zh-CN"/>
        </w:rPr>
        <w:t>万亩</w:t>
      </w:r>
      <w:r>
        <w:rPr>
          <w:rFonts w:hint="eastAsia" w:ascii="仿宋_GB2312" w:hAnsi="仿宋_GB2312" w:eastAsia="仿宋_GB2312" w:cs="仿宋_GB2312"/>
          <w:u w:val="single"/>
          <w:lang w:eastAsia="zh-CN"/>
        </w:rPr>
        <w:t>）</w:t>
      </w:r>
      <w:r>
        <w:rPr>
          <w:rFonts w:hint="eastAsia" w:ascii="仿宋_GB2312" w:hAnsi="仿宋_GB2312" w:eastAsia="仿宋_GB2312" w:cs="仿宋_GB2312"/>
          <w:u w:val="single"/>
        </w:rPr>
        <w:t>。</w:t>
      </w:r>
    </w:p>
    <w:p w14:paraId="59AB8057">
      <w:pPr>
        <w:pStyle w:val="11"/>
        <w:ind w:firstLine="640"/>
        <w:rPr>
          <w:rFonts w:hint="eastAsia" w:ascii="仿宋_GB2312" w:hAnsi="仿宋_GB2312" w:eastAsia="仿宋_GB2312" w:cs="仿宋_GB2312"/>
        </w:rPr>
      </w:pPr>
      <w:r>
        <w:rPr>
          <w:rFonts w:hint="eastAsia" w:ascii="楷体_GB2312" w:hAnsi="楷体_GB2312" w:eastAsia="楷体_GB2312" w:cs="楷体_GB2312"/>
          <w:kern w:val="2"/>
          <w:sz w:val="32"/>
          <w:szCs w:val="32"/>
          <w:lang w:val="en-US" w:eastAsia="zh-CN" w:bidi="ar-SA"/>
        </w:rPr>
        <w:t>实施耕地质量提升行动。</w:t>
      </w:r>
      <w:r>
        <w:rPr>
          <w:rFonts w:hint="eastAsia" w:ascii="仿宋_GB2312" w:hAnsi="仿宋_GB2312" w:eastAsia="仿宋_GB2312" w:cs="仿宋_GB2312"/>
        </w:rPr>
        <w:t>加大中低产田改造力度，整治低效农用地，对零碎的农用地规整化、规模化，加强土地整理、灌</w:t>
      </w:r>
      <w:r>
        <w:rPr>
          <w:rFonts w:hint="eastAsia" w:ascii="仿宋_GB2312" w:hAnsi="仿宋_GB2312" w:cs="仿宋_GB2312"/>
          <w:lang w:val="en-US" w:eastAsia="zh-CN"/>
        </w:rPr>
        <w:t>溉</w:t>
      </w:r>
      <w:r>
        <w:rPr>
          <w:rFonts w:hint="eastAsia" w:ascii="仿宋_GB2312" w:hAnsi="仿宋_GB2312" w:eastAsia="仿宋_GB2312" w:cs="仿宋_GB2312"/>
        </w:rPr>
        <w:t>排水、田间道路、农田防护林建设，培肥地力，提升耕地质量。规划期末，沙珠玉乡耕地提质改造面积0.9</w:t>
      </w:r>
      <w:r>
        <w:rPr>
          <w:rFonts w:hint="eastAsia" w:ascii="仿宋_GB2312" w:hAnsi="仿宋_GB2312" w:eastAsia="仿宋_GB2312" w:cs="仿宋_GB2312"/>
          <w:lang w:val="en-US" w:eastAsia="zh-CN"/>
        </w:rPr>
        <w:t>9</w:t>
      </w:r>
      <w:r>
        <w:rPr>
          <w:rFonts w:hint="eastAsia" w:ascii="仿宋_GB2312" w:hAnsi="仿宋_GB2312" w:cs="仿宋_GB2312"/>
          <w:lang w:eastAsia="zh-CN"/>
        </w:rPr>
        <w:t>平方千米</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14.75亩）</w:t>
      </w:r>
      <w:r>
        <w:rPr>
          <w:rFonts w:hint="eastAsia" w:ascii="仿宋_GB2312" w:hAnsi="仿宋_GB2312" w:eastAsia="仿宋_GB2312" w:cs="仿宋_GB2312"/>
        </w:rPr>
        <w:t>。</w:t>
      </w:r>
    </w:p>
    <w:p w14:paraId="468E0D09">
      <w:pPr>
        <w:pStyle w:val="11"/>
        <w:ind w:firstLine="640"/>
        <w:rPr>
          <w:rFonts w:hint="eastAsia" w:ascii="仿宋_GB2312" w:hAnsi="仿宋_GB2312" w:eastAsia="仿宋_GB2312" w:cs="仿宋_GB2312"/>
        </w:rPr>
      </w:pPr>
      <w:r>
        <w:rPr>
          <w:rFonts w:hint="eastAsia" w:ascii="楷体_GB2312" w:hAnsi="楷体_GB2312" w:eastAsia="楷体_GB2312" w:cs="楷体_GB2312"/>
          <w:kern w:val="2"/>
          <w:sz w:val="32"/>
          <w:szCs w:val="32"/>
          <w:lang w:val="en-US" w:eastAsia="zh-CN" w:bidi="ar-SA"/>
        </w:rPr>
        <w:t>建设农田生态林网。</w:t>
      </w:r>
      <w:r>
        <w:rPr>
          <w:rFonts w:hint="eastAsia" w:ascii="仿宋_GB2312" w:hAnsi="仿宋_GB2312" w:eastAsia="仿宋_GB2312" w:cs="仿宋_GB2312"/>
        </w:rPr>
        <w:t>加强农田生态林等生态建设，逐步形成点、带、网、片相结合的复合生态系统，改善农田生态环境。对已建297条林带按每年30条林带进行更新，对林带更新涉及渠道进行配套改造。</w:t>
      </w:r>
    </w:p>
    <w:p w14:paraId="49DF011E">
      <w:pPr>
        <w:pStyle w:val="11"/>
        <w:ind w:firstLine="640"/>
        <w:rPr>
          <w:rFonts w:hint="default" w:ascii="仿宋_GB2312" w:hAnsi="仿宋_GB2312" w:eastAsia="仿宋_GB2312" w:cs="仿宋_GB2312"/>
          <w:lang w:val="en-US"/>
        </w:rPr>
      </w:pPr>
      <w:r>
        <w:rPr>
          <w:rFonts w:hint="eastAsia" w:ascii="楷体_GB2312" w:hAnsi="楷体_GB2312" w:eastAsia="楷体_GB2312" w:cs="楷体_GB2312"/>
          <w:kern w:val="2"/>
          <w:sz w:val="32"/>
          <w:szCs w:val="32"/>
          <w:lang w:val="en-US" w:eastAsia="zh-CN" w:bidi="ar-SA"/>
        </w:rPr>
        <w:t>推进农田水利配套及整治工程。</w:t>
      </w:r>
      <w:r>
        <w:rPr>
          <w:rFonts w:hint="eastAsia" w:ascii="仿宋_GB2312" w:hAnsi="仿宋_GB2312" w:eastAsia="仿宋_GB2312" w:cs="仿宋_GB2312"/>
        </w:rPr>
        <w:t>适应发展现代农业和适度规模经营的需要，统筹推农田基础设施建设、灌溉渠道</w:t>
      </w:r>
      <w:r>
        <w:rPr>
          <w:rFonts w:hint="eastAsia" w:ascii="仿宋_GB2312" w:hAnsi="仿宋_GB2312" w:eastAsia="仿宋_GB2312" w:cs="仿宋_GB2312"/>
          <w:lang w:val="en-US" w:eastAsia="zh-CN"/>
        </w:rPr>
        <w:t>改造</w:t>
      </w:r>
      <w:r>
        <w:rPr>
          <w:rFonts w:hint="eastAsia" w:ascii="仿宋_GB2312" w:hAnsi="仿宋_GB2312" w:cs="仿宋_GB2312"/>
          <w:lang w:val="en-US" w:eastAsia="zh-CN"/>
        </w:rPr>
        <w:t>等</w:t>
      </w:r>
      <w:r>
        <w:rPr>
          <w:rFonts w:hint="eastAsia" w:ascii="仿宋_GB2312" w:hAnsi="仿宋_GB2312" w:eastAsia="仿宋_GB2312" w:cs="仿宋_GB2312"/>
        </w:rPr>
        <w:t>项目，</w:t>
      </w:r>
      <w:r>
        <w:rPr>
          <w:rFonts w:hint="eastAsia" w:ascii="仿宋_GB2312" w:hAnsi="仿宋_GB2312" w:eastAsia="仿宋_GB2312" w:cs="仿宋_GB2312"/>
          <w:lang w:val="en-US" w:eastAsia="zh-CN"/>
        </w:rPr>
        <w:t>在全乡10个村</w:t>
      </w:r>
      <w:r>
        <w:rPr>
          <w:rFonts w:hint="eastAsia" w:ascii="仿宋_GB2312" w:hAnsi="仿宋_GB2312" w:eastAsia="仿宋_GB2312" w:cs="仿宋_GB2312"/>
        </w:rPr>
        <w:t>实施农田</w:t>
      </w:r>
      <w:r>
        <w:rPr>
          <w:rFonts w:hint="eastAsia" w:ascii="仿宋_GB2312" w:hAnsi="仿宋_GB2312" w:eastAsia="仿宋_GB2312" w:cs="仿宋_GB2312"/>
          <w:lang w:val="en-US" w:eastAsia="zh-CN"/>
        </w:rPr>
        <w:t>灌溉</w:t>
      </w:r>
      <w:r>
        <w:rPr>
          <w:rFonts w:hint="eastAsia" w:ascii="仿宋_GB2312" w:hAnsi="仿宋_GB2312" w:eastAsia="仿宋_GB2312" w:cs="仿宋_GB2312"/>
        </w:rPr>
        <w:t>渠道维修改造建设项目。</w:t>
      </w:r>
      <w:r>
        <w:rPr>
          <w:rFonts w:hint="eastAsia" w:ascii="仿宋_GB2312" w:hAnsi="仿宋_GB2312" w:eastAsia="仿宋_GB2312" w:cs="仿宋_GB2312"/>
          <w:lang w:val="en-US" w:eastAsia="zh-CN"/>
        </w:rPr>
        <w:t>大力实施南北干渠、斗渠提档升级工程项目。</w:t>
      </w:r>
    </w:p>
    <w:p w14:paraId="545AA70B">
      <w:pPr>
        <w:rPr>
          <w:rFonts w:hint="eastAsia" w:ascii="仿宋_GB2312" w:hAnsi="仿宋_GB2312" w:eastAsia="仿宋_GB2312" w:cs="仿宋_GB2312"/>
        </w:rPr>
      </w:pPr>
      <w:r>
        <w:rPr>
          <w:rFonts w:hint="eastAsia" w:ascii="仿宋_GB2312" w:hAnsi="仿宋_GB2312" w:eastAsia="仿宋_GB2312" w:cs="仿宋_GB2312"/>
        </w:rPr>
        <w:br w:type="page"/>
      </w:r>
    </w:p>
    <w:p w14:paraId="0C403436">
      <w:pPr>
        <w:pStyle w:val="5"/>
        <w:keepNext/>
        <w:keepLines/>
        <w:pageBreakBefore w:val="0"/>
        <w:widowControl w:val="0"/>
        <w:numPr>
          <w:ilvl w:val="0"/>
          <w:numId w:val="2"/>
        </w:numPr>
        <w:kinsoku/>
        <w:wordWrap/>
        <w:overflowPunct/>
        <w:topLinePunct w:val="0"/>
        <w:autoSpaceDE/>
        <w:autoSpaceDN/>
        <w:bidi w:val="0"/>
        <w:adjustRightInd/>
        <w:snapToGrid/>
        <w:spacing w:before="313" w:beforeLines="100" w:after="313" w:afterLines="100" w:line="520" w:lineRule="exact"/>
        <w:ind w:left="0" w:leftChars="0" w:firstLine="0" w:firstLineChars="0"/>
        <w:jc w:val="center"/>
        <w:textAlignment w:val="auto"/>
        <w:rPr>
          <w:rFonts w:hint="eastAsia" w:ascii="Times New Roman" w:hAnsi="Times New Roman" w:eastAsia="方正小标宋简体" w:cs="Times New Roman"/>
          <w:b w:val="0"/>
          <w:bCs w:val="0"/>
          <w:sz w:val="36"/>
          <w:szCs w:val="36"/>
        </w:rPr>
      </w:pPr>
      <w:bookmarkStart w:id="54" w:name="_Toc20328"/>
      <w:r>
        <w:rPr>
          <w:rFonts w:hint="eastAsia" w:ascii="Times New Roman" w:hAnsi="Times New Roman" w:eastAsia="方正小标宋简体" w:cs="Times New Roman"/>
          <w:b w:val="0"/>
          <w:bCs w:val="0"/>
          <w:sz w:val="36"/>
          <w:szCs w:val="36"/>
        </w:rPr>
        <w:t>优化建设空间，</w:t>
      </w:r>
      <w:r>
        <w:rPr>
          <w:rFonts w:hint="eastAsia" w:ascii="Times New Roman" w:hAnsi="Times New Roman" w:eastAsia="方正小标宋简体" w:cs="Times New Roman"/>
          <w:b w:val="0"/>
          <w:bCs w:val="0"/>
          <w:sz w:val="36"/>
          <w:szCs w:val="36"/>
          <w:lang w:val="en-US" w:eastAsia="zh-CN"/>
        </w:rPr>
        <w:t>有效</w:t>
      </w:r>
      <w:r>
        <w:rPr>
          <w:rFonts w:hint="eastAsia" w:ascii="Times New Roman" w:hAnsi="Times New Roman" w:eastAsia="方正小标宋简体" w:cs="Times New Roman"/>
          <w:b w:val="0"/>
          <w:bCs w:val="0"/>
          <w:sz w:val="36"/>
          <w:szCs w:val="36"/>
        </w:rPr>
        <w:t>推进</w:t>
      </w:r>
      <w:r>
        <w:rPr>
          <w:rFonts w:hint="eastAsia" w:ascii="Times New Roman" w:hAnsi="Times New Roman" w:eastAsia="方正小标宋简体" w:cs="Times New Roman"/>
          <w:b w:val="0"/>
          <w:bCs w:val="0"/>
          <w:sz w:val="36"/>
          <w:szCs w:val="36"/>
          <w:lang w:val="en-US" w:eastAsia="zh-CN"/>
        </w:rPr>
        <w:t>乡村振兴</w:t>
      </w:r>
      <w:bookmarkEnd w:id="54"/>
    </w:p>
    <w:p w14:paraId="2C9A54AC">
      <w:pPr>
        <w:pStyle w:val="6"/>
        <w:keepNext/>
        <w:keepLines/>
        <w:pageBreakBefore w:val="0"/>
        <w:widowControl w:val="0"/>
        <w:numPr>
          <w:ilvl w:val="1"/>
          <w:numId w:val="9"/>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55" w:name="_Toc12218"/>
      <w:r>
        <w:rPr>
          <w:rFonts w:hint="eastAsia" w:ascii="Arial" w:hAnsi="Arial" w:eastAsia="黑体" w:cs="Times New Roman"/>
          <w:b w:val="0"/>
          <w:lang w:val="zh-CN"/>
        </w:rPr>
        <w:t>优化</w:t>
      </w:r>
      <w:r>
        <w:rPr>
          <w:rFonts w:hint="eastAsia" w:ascii="Arial" w:hAnsi="Arial" w:eastAsia="黑体" w:cs="Times New Roman"/>
          <w:b w:val="0"/>
          <w:lang w:val="en-US" w:eastAsia="zh-CN"/>
        </w:rPr>
        <w:t>乡</w:t>
      </w:r>
      <w:r>
        <w:rPr>
          <w:rFonts w:hint="eastAsia" w:ascii="Arial" w:hAnsi="Arial" w:eastAsia="黑体" w:cs="Times New Roman"/>
          <w:b w:val="0"/>
          <w:lang w:val="zh-CN"/>
        </w:rPr>
        <w:t>村空间体系</w:t>
      </w:r>
      <w:bookmarkEnd w:id="55"/>
    </w:p>
    <w:p w14:paraId="2BF01EDA">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人口规模预测</w:t>
      </w:r>
    </w:p>
    <w:p w14:paraId="11D33E0E">
      <w:pPr>
        <w:pStyle w:val="11"/>
        <w:ind w:firstLine="640"/>
        <w:rPr>
          <w:rFonts w:hint="eastAsia" w:ascii="仿宋_GB2312" w:hAnsi="仿宋_GB2312" w:cs="仿宋_GB2312"/>
          <w:lang w:val="en-US" w:eastAsia="zh-CN"/>
        </w:rPr>
      </w:pPr>
      <w:bookmarkStart w:id="56" w:name="_Hlk148275912"/>
      <w:r>
        <w:rPr>
          <w:rFonts w:hint="eastAsia" w:ascii="仿宋_GB2312" w:hAnsi="仿宋_GB2312" w:eastAsia="仿宋_GB2312" w:cs="仿宋_GB2312"/>
          <w:lang w:val="en-US" w:eastAsia="zh-CN"/>
        </w:rPr>
        <w:t>2020年沙珠玉乡常住人口3983人</w:t>
      </w:r>
      <w:r>
        <w:rPr>
          <w:rFonts w:hint="eastAsia" w:ascii="仿宋_GB2312" w:hAnsi="仿宋_GB2312" w:cs="仿宋_GB2312"/>
          <w:lang w:val="en-US" w:eastAsia="zh-CN"/>
        </w:rPr>
        <w:t>，乡集镇常住人口1393人</w:t>
      </w:r>
      <w:r>
        <w:rPr>
          <w:rFonts w:hint="eastAsia" w:ascii="仿宋_GB2312" w:hAnsi="仿宋_GB2312" w:eastAsia="仿宋_GB2312" w:cs="仿宋_GB2312"/>
          <w:lang w:val="en-US" w:eastAsia="zh-CN"/>
        </w:rPr>
        <w:t>。常住人口规模预测采用综合增长率法，取</w:t>
      </w:r>
      <w:r>
        <w:rPr>
          <w:rFonts w:hint="eastAsia" w:ascii="仿宋_GB2312" w:hAnsi="仿宋_GB2312" w:cs="仿宋_GB2312"/>
          <w:lang w:val="en-US" w:eastAsia="zh-CN"/>
        </w:rPr>
        <w:t>并与县级国空预测增长情况保持一致，取</w:t>
      </w:r>
      <w:r>
        <w:rPr>
          <w:rFonts w:hint="eastAsia" w:ascii="仿宋_GB2312" w:hAnsi="仿宋_GB2312" w:eastAsia="仿宋_GB2312" w:cs="仿宋_GB2312"/>
          <w:lang w:val="en-US" w:eastAsia="zh-CN"/>
        </w:rPr>
        <w:t>人口综合增长率6.5‰，则2025年沙珠玉乡常住人口4114人，2035年4389人</w:t>
      </w:r>
      <w:r>
        <w:rPr>
          <w:rFonts w:hint="eastAsia" w:ascii="仿宋_GB2312" w:hAnsi="仿宋_GB2312" w:cs="仿宋_GB2312"/>
          <w:lang w:val="en-US" w:eastAsia="zh-CN"/>
        </w:rPr>
        <w:t xml:space="preserve">；2025年乡集镇常住人口1439人，2023年1535人。 </w:t>
      </w:r>
    </w:p>
    <w:bookmarkEnd w:id="56"/>
    <w:p w14:paraId="35ACE521">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明确</w:t>
      </w:r>
      <w:r>
        <w:rPr>
          <w:rFonts w:hint="eastAsia" w:ascii="楷体_GB2312" w:hAnsi="Times New Roman" w:eastAsia="楷体_GB2312" w:cs="Times New Roman"/>
          <w:bCs/>
          <w:sz w:val="32"/>
          <w:szCs w:val="32"/>
          <w:lang w:val="en-US" w:eastAsia="zh-CN"/>
        </w:rPr>
        <w:t>乡村</w:t>
      </w:r>
      <w:r>
        <w:rPr>
          <w:rFonts w:hint="eastAsia" w:ascii="楷体_GB2312" w:hAnsi="Times New Roman" w:eastAsia="楷体_GB2312" w:cs="Times New Roman"/>
          <w:bCs/>
          <w:sz w:val="32"/>
          <w:szCs w:val="32"/>
        </w:rPr>
        <w:t>等级规模</w:t>
      </w:r>
    </w:p>
    <w:p w14:paraId="3BED71AC">
      <w:pPr>
        <w:pStyle w:val="11"/>
        <w:ind w:firstLine="640"/>
        <w:rPr>
          <w:rFonts w:hint="eastAsia" w:ascii="仿宋_GB2312" w:hAnsi="仿宋_GB2312" w:eastAsia="仿宋_GB2312" w:cs="仿宋_GB2312"/>
        </w:rPr>
      </w:pPr>
      <w:r>
        <w:rPr>
          <w:rFonts w:hint="eastAsia" w:ascii="楷体_GB2312" w:hAnsi="楷体_GB2312" w:eastAsia="楷体_GB2312" w:cs="楷体_GB2312"/>
          <w:lang w:val="en-US" w:eastAsia="zh-CN"/>
        </w:rPr>
        <w:t>引导三级规模乡村协调发展</w:t>
      </w:r>
      <w:r>
        <w:rPr>
          <w:rFonts w:hint="eastAsia" w:ascii="仿宋_GB2312" w:hAnsi="仿宋_GB2312" w:eastAsia="仿宋_GB2312" w:cs="仿宋_GB2312"/>
        </w:rPr>
        <w:t>。规划形成乡政府驻地、中心村、</w:t>
      </w:r>
      <w:r>
        <w:rPr>
          <w:rFonts w:hint="eastAsia" w:ascii="仿宋_GB2312" w:hAnsi="仿宋_GB2312" w:cs="仿宋_GB2312"/>
          <w:lang w:val="en-US" w:eastAsia="zh-CN"/>
        </w:rPr>
        <w:t>基层</w:t>
      </w:r>
      <w:r>
        <w:rPr>
          <w:rFonts w:hint="eastAsia" w:ascii="仿宋_GB2312" w:hAnsi="仿宋_GB2312" w:eastAsia="仿宋_GB2312" w:cs="仿宋_GB2312"/>
        </w:rPr>
        <w:t>村3个规模等级，推动生产要素向驻地和中心村聚集。其中乡政府驻地1个，常住人口大于1000人，即珠玉村。中心村2个，常住人口800-1000人，即耐海塔村、下卡力岗村。</w:t>
      </w:r>
      <w:r>
        <w:rPr>
          <w:rFonts w:hint="eastAsia" w:ascii="仿宋_GB2312" w:hAnsi="仿宋_GB2312" w:cs="仿宋_GB2312"/>
          <w:lang w:val="en-US" w:eastAsia="zh-CN"/>
        </w:rPr>
        <w:t>基层</w:t>
      </w:r>
      <w:r>
        <w:rPr>
          <w:rFonts w:hint="eastAsia" w:ascii="仿宋_GB2312" w:hAnsi="仿宋_GB2312" w:eastAsia="仿宋_GB2312" w:cs="仿宋_GB2312"/>
        </w:rPr>
        <w:t>村7个，常住人口小于500人，即扎布达村、上村村、</w:t>
      </w:r>
      <w:r>
        <w:rPr>
          <w:rFonts w:hint="eastAsia" w:ascii="仿宋_GB2312" w:hAnsi="仿宋_GB2312" w:eastAsia="仿宋_GB2312" w:cs="仿宋_GB2312"/>
          <w:lang w:eastAsia="zh-CN"/>
        </w:rPr>
        <w:t>种子</w:t>
      </w:r>
      <w:r>
        <w:rPr>
          <w:rFonts w:hint="eastAsia" w:ascii="仿宋_GB2312" w:hAnsi="仿宋_GB2312" w:eastAsia="仿宋_GB2312" w:cs="仿宋_GB2312"/>
        </w:rPr>
        <w:t>村、上卡力岗村、曲沟村、直乃亥村、达连海村。</w:t>
      </w:r>
    </w:p>
    <w:p w14:paraId="6483E979">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提升</w:t>
      </w:r>
      <w:r>
        <w:rPr>
          <w:rFonts w:hint="eastAsia" w:ascii="楷体_GB2312" w:hAnsi="Times New Roman" w:eastAsia="楷体_GB2312" w:cs="Times New Roman"/>
          <w:bCs/>
          <w:sz w:val="32"/>
          <w:szCs w:val="32"/>
          <w:lang w:val="en-US" w:eastAsia="zh-CN"/>
        </w:rPr>
        <w:t>乡村</w:t>
      </w:r>
      <w:r>
        <w:rPr>
          <w:rFonts w:hint="eastAsia" w:ascii="楷体_GB2312" w:hAnsi="Times New Roman" w:eastAsia="楷体_GB2312" w:cs="Times New Roman"/>
          <w:bCs/>
          <w:sz w:val="32"/>
          <w:szCs w:val="32"/>
        </w:rPr>
        <w:t>职能定位</w:t>
      </w:r>
    </w:p>
    <w:p w14:paraId="28C884CA">
      <w:pPr>
        <w:pStyle w:val="11"/>
        <w:ind w:firstLine="640"/>
        <w:rPr>
          <w:bCs/>
        </w:rPr>
      </w:pPr>
      <w:bookmarkStart w:id="57" w:name="_Hlk136295212"/>
      <w:r>
        <w:rPr>
          <w:rFonts w:hint="eastAsia"/>
          <w:bCs/>
        </w:rPr>
        <w:t>沙珠玉乡为</w:t>
      </w:r>
      <w:r>
        <w:rPr>
          <w:rFonts w:hint="eastAsia"/>
          <w:bCs/>
          <w:lang w:val="en-US" w:eastAsia="zh-CN"/>
        </w:rPr>
        <w:t>共和县一般镇，</w:t>
      </w:r>
      <w:r>
        <w:rPr>
          <w:rFonts w:hint="eastAsia"/>
          <w:bCs/>
        </w:rPr>
        <w:t>生态农牧服务型乡镇</w:t>
      </w:r>
      <w:r>
        <w:rPr>
          <w:rFonts w:hint="eastAsia"/>
          <w:bCs/>
          <w:lang w:eastAsia="zh-CN"/>
        </w:rPr>
        <w:t>。</w:t>
      </w:r>
      <w:r>
        <w:rPr>
          <w:rFonts w:hint="eastAsia"/>
          <w:bCs/>
        </w:rPr>
        <w:t>夯实以耕地、草地为主的农业空间，提质增效，适当发展以绿色有机产品生产为支撑的农牧业和以农牧生产服务、高原牧业观光及体验旅游为支撑的服务业，探索发展光伏农业。周边村庄根据自身的特色形成差异化分工，划分为</w:t>
      </w:r>
      <w:r>
        <w:rPr>
          <w:rFonts w:hint="eastAsia"/>
          <w:bCs/>
          <w:lang w:val="en-US" w:eastAsia="zh-CN"/>
        </w:rPr>
        <w:t>三</w:t>
      </w:r>
      <w:r>
        <w:rPr>
          <w:rFonts w:hint="eastAsia"/>
          <w:bCs/>
        </w:rPr>
        <w:t>类职能类型。</w:t>
      </w:r>
    </w:p>
    <w:p w14:paraId="7AC64350">
      <w:pPr>
        <w:pStyle w:val="11"/>
        <w:ind w:firstLine="640"/>
        <w:rPr>
          <w:bCs/>
        </w:rPr>
      </w:pPr>
    </w:p>
    <w:p w14:paraId="67AEAEE2">
      <w:pPr>
        <w:pStyle w:val="11"/>
        <w:ind w:firstLine="640"/>
        <w:rPr>
          <w:rFonts w:hint="eastAsia"/>
          <w:bCs/>
        </w:rPr>
      </w:pPr>
      <w:r>
        <w:rPr>
          <w:rFonts w:hint="eastAsia" w:ascii="楷体_GB2312" w:hAnsi="楷体_GB2312" w:eastAsia="楷体_GB2312" w:cs="楷体_GB2312"/>
          <w:lang w:val="en-US" w:eastAsia="zh-CN"/>
        </w:rPr>
        <w:t>综合服务型村庄，</w:t>
      </w:r>
      <w:r>
        <w:rPr>
          <w:rFonts w:hint="eastAsia"/>
          <w:bCs/>
        </w:rPr>
        <w:t>即珠玉村，重点培育乡政府驻地的集镇功能，完善各项设施建设</w:t>
      </w:r>
      <w:r>
        <w:rPr>
          <w:rFonts w:hint="eastAsia"/>
          <w:bCs/>
          <w:lang w:eastAsia="zh-CN"/>
        </w:rPr>
        <w:t>，</w:t>
      </w:r>
      <w:r>
        <w:rPr>
          <w:rFonts w:hint="eastAsia"/>
          <w:bCs/>
        </w:rPr>
        <w:t>提升服务质量</w:t>
      </w:r>
      <w:r>
        <w:rPr>
          <w:rFonts w:hint="eastAsia"/>
          <w:bCs/>
          <w:lang w:eastAsia="zh-CN"/>
        </w:rPr>
        <w:t>；</w:t>
      </w:r>
      <w:r>
        <w:rPr>
          <w:rFonts w:hint="eastAsia"/>
          <w:bCs/>
          <w:lang w:val="en-US" w:eastAsia="zh-CN"/>
        </w:rPr>
        <w:t>发展以沙珠玉治沙精神为主的红色文化旅游，加强乡域旅游集散功能；</w:t>
      </w:r>
      <w:r>
        <w:rPr>
          <w:rFonts w:hint="eastAsia"/>
          <w:bCs/>
        </w:rPr>
        <w:t>发展农牧产品加工和以农牧产品贸易、仓储转运为主的商贸服务业</w:t>
      </w:r>
      <w:r>
        <w:rPr>
          <w:rFonts w:hint="eastAsia"/>
          <w:bCs/>
          <w:lang w:eastAsia="zh-CN"/>
        </w:rPr>
        <w:t>；</w:t>
      </w:r>
      <w:r>
        <w:rPr>
          <w:rFonts w:hint="eastAsia"/>
          <w:bCs/>
        </w:rPr>
        <w:t>增强乡政府驻地在沙珠玉乡各村</w:t>
      </w:r>
      <w:r>
        <w:rPr>
          <w:rFonts w:hint="eastAsia"/>
          <w:bCs/>
          <w:lang w:val="en-US" w:eastAsia="zh-CN"/>
        </w:rPr>
        <w:t>及临近乡镇</w:t>
      </w:r>
      <w:r>
        <w:rPr>
          <w:rFonts w:hint="eastAsia"/>
          <w:bCs/>
        </w:rPr>
        <w:t>的辐射和带动作用。</w:t>
      </w:r>
    </w:p>
    <w:p w14:paraId="7349F9F1">
      <w:pPr>
        <w:pStyle w:val="11"/>
        <w:ind w:firstLine="640"/>
        <w:rPr>
          <w:rFonts w:hint="eastAsia"/>
          <w:bCs/>
        </w:rPr>
      </w:pPr>
      <w:r>
        <w:rPr>
          <w:rFonts w:hint="eastAsia" w:ascii="楷体_GB2312" w:hAnsi="楷体_GB2312" w:eastAsia="楷体_GB2312" w:cs="楷体_GB2312"/>
          <w:lang w:val="en-US" w:eastAsia="zh-CN"/>
        </w:rPr>
        <w:t>农旅融合型村庄，</w:t>
      </w:r>
      <w:r>
        <w:rPr>
          <w:rFonts w:hint="eastAsia"/>
          <w:bCs/>
          <w:lang w:val="en-US" w:eastAsia="zh-CN"/>
        </w:rPr>
        <w:t>即上卡力岗村。结合自然资源条件，</w:t>
      </w:r>
      <w:r>
        <w:rPr>
          <w:rFonts w:hint="eastAsia"/>
          <w:bCs/>
        </w:rPr>
        <w:t>着力发展</w:t>
      </w:r>
      <w:r>
        <w:rPr>
          <w:rFonts w:hint="eastAsia"/>
          <w:bCs/>
          <w:lang w:val="en-US" w:eastAsia="zh-CN"/>
        </w:rPr>
        <w:t>特色种植业、养殖业，如种植食用菊、观赏花、林下养鸡等；依托沙珠玉防沙治沙精神，发展防沙治沙观摩游、沙漠旅游；依托已建成的游客集散中心、猛犸象化石、唐蕃古道文化、莫离驿站等资源，发展乡村旅游，促进农旅融合。</w:t>
      </w:r>
    </w:p>
    <w:p w14:paraId="7C1D7C3D">
      <w:pPr>
        <w:pStyle w:val="11"/>
        <w:ind w:firstLine="640"/>
        <w:rPr>
          <w:rFonts w:hint="eastAsia"/>
          <w:bCs/>
        </w:rPr>
      </w:pPr>
      <w:r>
        <w:rPr>
          <w:rFonts w:hint="eastAsia" w:ascii="楷体_GB2312" w:hAnsi="楷体_GB2312" w:eastAsia="楷体_GB2312" w:cs="楷体_GB2312"/>
          <w:lang w:val="en-US" w:eastAsia="zh-CN"/>
        </w:rPr>
        <w:t>生态农牧型村庄，</w:t>
      </w:r>
      <w:r>
        <w:rPr>
          <w:rFonts w:hint="eastAsia"/>
          <w:bCs/>
        </w:rPr>
        <w:t>即扎布达村、上村村、</w:t>
      </w:r>
      <w:r>
        <w:rPr>
          <w:rFonts w:hint="eastAsia"/>
          <w:bCs/>
          <w:lang w:eastAsia="zh-CN"/>
        </w:rPr>
        <w:t>种子</w:t>
      </w:r>
      <w:r>
        <w:rPr>
          <w:rFonts w:hint="eastAsia"/>
          <w:bCs/>
        </w:rPr>
        <w:t>村、曲沟村、耐海塔村、直乃亥村、下卡力岗村</w:t>
      </w:r>
      <w:r>
        <w:rPr>
          <w:rFonts w:hint="eastAsia"/>
          <w:bCs/>
          <w:lang w:eastAsia="zh-CN"/>
        </w:rPr>
        <w:t>、</w:t>
      </w:r>
      <w:r>
        <w:rPr>
          <w:rFonts w:hint="eastAsia"/>
          <w:bCs/>
        </w:rPr>
        <w:t>达连海村</w:t>
      </w:r>
      <w:r>
        <w:rPr>
          <w:rFonts w:hint="eastAsia"/>
          <w:bCs/>
          <w:lang w:eastAsia="zh-CN"/>
        </w:rPr>
        <w:t>。</w:t>
      </w:r>
      <w:r>
        <w:rPr>
          <w:rFonts w:hint="eastAsia"/>
          <w:bCs/>
        </w:rPr>
        <w:t>依托沙珠玉盆地大片耕地、草地，发展</w:t>
      </w:r>
      <w:r>
        <w:rPr>
          <w:rFonts w:hint="eastAsia"/>
          <w:bCs/>
          <w:lang w:val="en-US" w:eastAsia="zh-CN"/>
        </w:rPr>
        <w:t>传统</w:t>
      </w:r>
      <w:r>
        <w:rPr>
          <w:rFonts w:hint="eastAsia"/>
          <w:bCs/>
        </w:rPr>
        <w:t>作物</w:t>
      </w:r>
      <w:r>
        <w:rPr>
          <w:rFonts w:hint="eastAsia"/>
          <w:bCs/>
          <w:lang w:val="en-US" w:eastAsia="zh-CN"/>
        </w:rPr>
        <w:t>与特色经济作物结合的种植业，发展以生猪、母羊、肉牛、肉羊、土鸡、奶牛等为主的畜牧养殖业，</w:t>
      </w:r>
      <w:r>
        <w:rPr>
          <w:rFonts w:hint="eastAsia"/>
          <w:bCs/>
        </w:rPr>
        <w:t>适当发展以农牧生产服务、高原牧业观光及体验旅游为支撑的服务业，并探索发展清洁能源产业。</w:t>
      </w:r>
    </w:p>
    <w:bookmarkEnd w:id="57"/>
    <w:p w14:paraId="4094A82D">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强化村庄分类引导</w:t>
      </w:r>
    </w:p>
    <w:p w14:paraId="2DF0D252">
      <w:pPr>
        <w:pStyle w:val="11"/>
        <w:ind w:firstLine="640"/>
        <w:rPr>
          <w:rFonts w:hint="eastAsia" w:ascii="仿宋_GB2312" w:hAnsi="仿宋_GB2312" w:eastAsia="仿宋_GB2312" w:cs="仿宋_GB2312"/>
          <w:lang w:val="en-US" w:eastAsia="zh-CN"/>
        </w:rPr>
      </w:pPr>
      <w:r>
        <w:rPr>
          <w:rFonts w:hint="eastAsia" w:ascii="楷体_GB2312" w:hAnsi="楷体_GB2312" w:eastAsia="楷体_GB2312" w:cs="楷体_GB2312"/>
          <w:lang w:val="en-US" w:eastAsia="zh-CN"/>
        </w:rPr>
        <w:t>分类引导、有序推进乡村振兴发展。</w:t>
      </w:r>
      <w:r>
        <w:rPr>
          <w:rFonts w:hint="eastAsia" w:ascii="仿宋_GB2312" w:hAnsi="仿宋_GB2312" w:eastAsia="仿宋_GB2312" w:cs="仿宋_GB2312"/>
          <w:lang w:val="en-US" w:eastAsia="zh-CN"/>
        </w:rPr>
        <w:t>充分尊重、顺应乡村发展规律和演变趋势，根据村庄经济社会发展条件、建设现状、区位条件、资源禀赋等因素，落实上位规划对沙珠玉乡10个村庄的类型划分，突出重点、分类施策、梯次推进，有序实现乡村振兴。</w:t>
      </w:r>
    </w:p>
    <w:p w14:paraId="2A9EA9E0">
      <w:pPr>
        <w:pStyle w:val="11"/>
        <w:ind w:firstLine="640"/>
        <w:rPr>
          <w:rFonts w:hint="eastAsia" w:ascii="仿宋_GB2312" w:hAnsi="仿宋_GB2312" w:cs="仿宋_GB2312"/>
          <w:lang w:val="en-US" w:eastAsia="zh-CN"/>
        </w:rPr>
      </w:pPr>
      <w:r>
        <w:rPr>
          <w:rFonts w:hint="eastAsia" w:ascii="仿宋_GB2312" w:hAnsi="仿宋_GB2312" w:cs="仿宋_GB2312"/>
          <w:lang w:val="en-US" w:eastAsia="zh-CN"/>
        </w:rPr>
        <w:t>集聚提升类</w:t>
      </w:r>
      <w:r>
        <w:rPr>
          <w:rFonts w:hint="eastAsia"/>
          <w:lang w:val="en-US" w:eastAsia="zh-CN" w:bidi="ar"/>
        </w:rPr>
        <w:t>村庄</w:t>
      </w:r>
      <w:r>
        <w:rPr>
          <w:rFonts w:hint="eastAsia" w:ascii="仿宋_GB2312" w:hAnsi="仿宋_GB2312" w:cs="仿宋_GB2312"/>
          <w:lang w:val="en-US" w:eastAsia="zh-CN"/>
        </w:rPr>
        <w:t>包括</w:t>
      </w:r>
      <w:r>
        <w:rPr>
          <w:rFonts w:hint="eastAsia" w:ascii="仿宋_GB2312" w:hAnsi="仿宋_GB2312" w:eastAsia="仿宋_GB2312" w:cs="仿宋_GB2312"/>
          <w:lang w:val="en-US" w:eastAsia="zh-CN"/>
        </w:rPr>
        <w:t>珠玉村、耐海塔村、下卡力岗村</w:t>
      </w:r>
      <w:r>
        <w:rPr>
          <w:rFonts w:hint="eastAsia" w:ascii="仿宋_GB2312" w:hAnsi="仿宋_GB2312" w:cs="仿宋_GB2312"/>
          <w:lang w:val="en-US" w:eastAsia="zh-CN"/>
        </w:rPr>
        <w:t>。</w:t>
      </w:r>
    </w:p>
    <w:p w14:paraId="6207FFE0">
      <w:pPr>
        <w:pStyle w:val="11"/>
        <w:ind w:firstLine="640"/>
        <w:rPr>
          <w:rFonts w:hint="eastAsia"/>
          <w:lang w:eastAsia="zh-CN" w:bidi="ar"/>
        </w:rPr>
      </w:pPr>
      <w:r>
        <w:rPr>
          <w:rFonts w:hint="eastAsia"/>
          <w:lang w:val="en-US" w:eastAsia="zh-CN" w:bidi="ar"/>
        </w:rPr>
        <w:t>稳定发展类村庄</w:t>
      </w:r>
      <w:r>
        <w:rPr>
          <w:rFonts w:hint="eastAsia" w:ascii="仿宋_GB2312" w:hAnsi="仿宋_GB2312" w:cs="仿宋_GB2312"/>
          <w:lang w:val="en-US" w:eastAsia="zh-CN"/>
        </w:rPr>
        <w:t>包括</w:t>
      </w:r>
      <w:r>
        <w:rPr>
          <w:rFonts w:hint="eastAsia" w:ascii="仿宋_GB2312" w:hAnsi="仿宋_GB2312" w:eastAsia="仿宋_GB2312" w:cs="仿宋_GB2312"/>
          <w:lang w:val="en-US" w:eastAsia="zh-CN"/>
        </w:rPr>
        <w:t>扎布达村、上村、</w:t>
      </w:r>
      <w:r>
        <w:rPr>
          <w:rFonts w:hint="eastAsia" w:ascii="仿宋_GB2312" w:hAnsi="仿宋_GB2312" w:cs="仿宋_GB2312"/>
          <w:lang w:val="en-US" w:eastAsia="zh-CN"/>
        </w:rPr>
        <w:t>种子</w:t>
      </w:r>
      <w:r>
        <w:rPr>
          <w:rFonts w:hint="eastAsia" w:ascii="仿宋_GB2312" w:hAnsi="仿宋_GB2312" w:eastAsia="仿宋_GB2312" w:cs="仿宋_GB2312"/>
          <w:lang w:val="en-US" w:eastAsia="zh-CN"/>
        </w:rPr>
        <w:t>村、曲沟村、直乃亥村、达连海村、上卡力岗村</w:t>
      </w:r>
      <w:r>
        <w:rPr>
          <w:rFonts w:hint="eastAsia" w:ascii="仿宋_GB2312" w:hAnsi="仿宋_GB2312" w:cs="仿宋_GB2312"/>
          <w:lang w:val="en-US" w:eastAsia="zh-CN"/>
        </w:rPr>
        <w:t>。</w:t>
      </w:r>
    </w:p>
    <w:p w14:paraId="17014B2D">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58" w:name="_Toc24818"/>
      <w:r>
        <w:rPr>
          <w:rFonts w:hint="eastAsia" w:ascii="楷体_GB2312" w:hAnsi="Times New Roman" w:eastAsia="楷体_GB2312" w:cs="Times New Roman"/>
          <w:bCs/>
          <w:sz w:val="32"/>
          <w:szCs w:val="32"/>
          <w:lang w:val="en-US" w:eastAsia="zh-CN"/>
        </w:rPr>
        <w:t>因村施策实施“通则式”规划编制与管理</w:t>
      </w:r>
    </w:p>
    <w:p w14:paraId="3B756488">
      <w:pPr>
        <w:bidi w:val="0"/>
        <w:spacing w:line="600" w:lineRule="exact"/>
        <w:ind w:firstLine="200"/>
        <w:rPr>
          <w:rFonts w:hint="default" w:ascii="仿宋_GB2312" w:hAnsi="等线" w:eastAsia="仿宋_GB2312" w:cs="Times New Roman"/>
          <w:sz w:val="32"/>
          <w:highlight w:val="none"/>
          <w:lang w:val="en-US" w:eastAsia="zh-CN"/>
          <w14:ligatures w14:val="standardContextual"/>
        </w:rPr>
      </w:pPr>
      <w:r>
        <w:rPr>
          <w:rFonts w:hint="eastAsia" w:ascii="仿宋_GB2312" w:hAnsi="等线" w:eastAsia="仿宋_GB2312" w:cs="Times New Roman"/>
          <w:sz w:val="32"/>
          <w:highlight w:val="none"/>
          <w:lang w:val="en-US" w:eastAsia="zh-CN"/>
          <w14:ligatures w14:val="standardContextual"/>
        </w:rPr>
        <w:t>因村施策实施“通则式”规划编制与管理。经评估暂无村庄规划编制需求和不具备条件的村庄可采用“通则式”规划管理，落实细化耕地和永久基本农田、生态保护红线、村庄建设边界、历史文化保护控制线、灾害风险控制线等重要控制线。明确村庄建设管控和风貌指引、公共和基础设施配套指引、国土综合整治与生态修复指引等三个方面指引，作为实施国土空间用途管制、核发乡村建设规划许可依据。沙珠玉乡珠玉村按照“通则式”规划管理，不再单独编制村庄规划。</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8D6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tcPr>
          <w:p w14:paraId="36370D5B">
            <w:pPr>
              <w:widowControl/>
              <w:spacing w:before="0" w:beforeAutospacing="1" w:after="0" w:afterAutospacing="1" w:line="240" w:lineRule="auto"/>
              <w:ind w:firstLine="0" w:firstLineChars="0"/>
              <w:jc w:val="center"/>
              <w:rPr>
                <w:rFonts w:ascii="宋体" w:hAnsi="宋体" w:eastAsia="宋体" w:cs="宋体"/>
                <w:kern w:val="0"/>
                <w:sz w:val="24"/>
                <w:szCs w:val="24"/>
                <w:lang w:val="en-US" w:eastAsia="zh-CN" w:bidi="ar-SA"/>
                <w14:ligatures w14:val="standardContextual"/>
              </w:rPr>
            </w:pPr>
            <w:r>
              <w:rPr>
                <w:rFonts w:ascii="黑体" w:hAnsi="宋体" w:eastAsia="黑体" w:cs="黑体"/>
                <w:kern w:val="2"/>
                <w:sz w:val="30"/>
                <w:szCs w:val="30"/>
                <w:lang w:val="en-US" w:eastAsia="zh-CN" w:bidi="ar-SA"/>
                <w14:ligatures w14:val="standardContextual"/>
              </w:rPr>
              <w:t>专栏</w:t>
            </w:r>
            <w:r>
              <w:rPr>
                <w:rFonts w:hint="eastAsia" w:ascii="Times New Roman" w:hAnsi="Times New Roman" w:eastAsia="黑体" w:cs="Times New Roman"/>
                <w:kern w:val="2"/>
                <w:sz w:val="30"/>
                <w:szCs w:val="30"/>
                <w:lang w:val="en-US" w:eastAsia="zh-CN" w:bidi="ar-SA"/>
                <w14:ligatures w14:val="standardContextual"/>
              </w:rPr>
              <w:t>4</w:t>
            </w:r>
            <w:r>
              <w:rPr>
                <w:rFonts w:ascii="Times New Roman" w:hAnsi="Times New Roman" w:eastAsia="黑体" w:cs="Times New Roman"/>
                <w:kern w:val="2"/>
                <w:sz w:val="30"/>
                <w:szCs w:val="30"/>
                <w:lang w:val="en-US" w:eastAsia="zh-CN" w:bidi="ar-SA"/>
                <w14:ligatures w14:val="standardContextual"/>
              </w:rPr>
              <w:t xml:space="preserve"> </w:t>
            </w:r>
            <w:r>
              <w:rPr>
                <w:rFonts w:ascii="黑体" w:hAnsi="宋体" w:eastAsia="黑体" w:cs="黑体"/>
                <w:kern w:val="2"/>
                <w:sz w:val="30"/>
                <w:szCs w:val="30"/>
                <w:lang w:val="en-US" w:eastAsia="zh-CN" w:bidi="ar-SA"/>
                <w14:ligatures w14:val="standardContextual"/>
              </w:rPr>
              <w:t>村庄规划通则式管理规定</w:t>
            </w:r>
          </w:p>
        </w:tc>
      </w:tr>
      <w:tr w14:paraId="7A2E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tcPr>
          <w:p w14:paraId="00A59EFB">
            <w:pPr>
              <w:widowControl/>
              <w:spacing w:line="500" w:lineRule="exact"/>
              <w:ind w:firstLine="480"/>
              <w:jc w:val="left"/>
              <w:rPr>
                <w:rFonts w:ascii="仿宋_GB2312" w:hAnsi="楷体" w:eastAsia="仿宋_GB2312" w:cs="Times New Roman"/>
                <w:sz w:val="24"/>
                <w:szCs w:val="32"/>
                <w14:ligatures w14:val="none"/>
              </w:rPr>
            </w:pPr>
            <w:r>
              <w:rPr>
                <w:rFonts w:hint="eastAsia" w:ascii="仿宋_GB2312" w:hAnsi="楷体" w:eastAsia="仿宋_GB2312" w:cs="Times New Roman"/>
                <w:sz w:val="24"/>
                <w:szCs w:val="32"/>
                <w:lang w:bidi="ar"/>
                <w14:ligatures w14:val="none"/>
              </w:rPr>
              <w:t>一、划定重要控制线</w:t>
            </w:r>
          </w:p>
          <w:p w14:paraId="533C61F9">
            <w:pPr>
              <w:widowControl/>
              <w:spacing w:line="500" w:lineRule="exact"/>
              <w:ind w:firstLine="480"/>
              <w:jc w:val="left"/>
              <w:rPr>
                <w:rFonts w:ascii="仿宋_GB2312" w:hAnsi="楷体" w:eastAsia="仿宋_GB2312" w:cs="Times New Roman"/>
                <w:sz w:val="24"/>
                <w:szCs w:val="32"/>
                <w14:ligatures w14:val="none"/>
              </w:rPr>
            </w:pPr>
            <w:r>
              <w:rPr>
                <w:rFonts w:ascii="仿宋_GB2312" w:hAnsi="楷体" w:eastAsia="仿宋_GB2312" w:cs="Times New Roman"/>
                <w:sz w:val="24"/>
                <w:szCs w:val="32"/>
                <w:lang w:bidi="ar"/>
                <w14:ligatures w14:val="none"/>
              </w:rPr>
              <w:t>1</w:t>
            </w:r>
            <w:r>
              <w:rPr>
                <w:rFonts w:hint="eastAsia" w:ascii="仿宋_GB2312" w:hAnsi="楷体" w:eastAsia="仿宋_GB2312" w:cs="Times New Roman"/>
                <w:sz w:val="24"/>
                <w:szCs w:val="32"/>
                <w:lang w:bidi="ar"/>
                <w14:ligatures w14:val="none"/>
              </w:rPr>
              <w:t>、耕地和永久基本农田</w:t>
            </w:r>
          </w:p>
          <w:p w14:paraId="6F2C8069">
            <w:pPr>
              <w:widowControl/>
              <w:spacing w:line="500" w:lineRule="exact"/>
              <w:ind w:firstLine="480"/>
              <w:jc w:val="left"/>
              <w:rPr>
                <w:rFonts w:hint="default" w:ascii="仿宋_GB2312" w:hAnsi="楷体" w:eastAsia="仿宋_GB2312" w:cs="Times New Roman"/>
                <w:sz w:val="24"/>
                <w:szCs w:val="32"/>
                <w:lang w:val="en-US" w:eastAsia="zh-CN"/>
                <w14:ligatures w14:val="none"/>
              </w:rPr>
            </w:pPr>
            <w:r>
              <w:rPr>
                <w:rFonts w:hint="eastAsia" w:ascii="仿宋_GB2312" w:hAnsi="楷体" w:eastAsia="仿宋_GB2312" w:cs="Times New Roman"/>
                <w:sz w:val="24"/>
                <w:szCs w:val="32"/>
                <w:lang w:bidi="ar"/>
                <w14:ligatures w14:val="none"/>
              </w:rPr>
              <w:t>严格落实上位国土空间总体规划划定的耕地和永久基本农田保护范围和管控要求，守住耕地保护红线，落实到具体地块、明确坐标界限，确保图、数、实地相一致。</w:t>
            </w:r>
            <w:r>
              <w:rPr>
                <w:rFonts w:hint="eastAsia" w:ascii="仿宋_GB2312" w:hAnsi="楷体" w:eastAsia="仿宋_GB2312" w:cs="Times New Roman"/>
                <w:sz w:val="24"/>
                <w:szCs w:val="32"/>
                <w:lang w:val="en-US" w:eastAsia="zh-CN" w:bidi="ar"/>
                <w14:ligatures w14:val="none"/>
              </w:rPr>
              <w:t>规划珠玉村永久基本农田保护红线面积0.1117万亩，耕地保护红线面积0.1418万亩，主要分布在村域北部。</w:t>
            </w:r>
          </w:p>
          <w:p w14:paraId="3FA1F0B0">
            <w:pPr>
              <w:widowControl/>
              <w:spacing w:line="500" w:lineRule="exact"/>
              <w:ind w:firstLine="480"/>
              <w:jc w:val="left"/>
              <w:rPr>
                <w:rFonts w:ascii="仿宋_GB2312" w:hAnsi="楷体" w:eastAsia="仿宋_GB2312" w:cs="Times New Roman"/>
                <w:sz w:val="24"/>
                <w:szCs w:val="32"/>
                <w14:ligatures w14:val="none"/>
              </w:rPr>
            </w:pPr>
            <w:r>
              <w:rPr>
                <w:rFonts w:ascii="仿宋_GB2312" w:hAnsi="楷体" w:eastAsia="仿宋_GB2312" w:cs="Times New Roman"/>
                <w:sz w:val="24"/>
                <w:szCs w:val="32"/>
                <w:lang w:bidi="ar"/>
                <w14:ligatures w14:val="none"/>
              </w:rPr>
              <w:t>2</w:t>
            </w:r>
            <w:r>
              <w:rPr>
                <w:rFonts w:hint="eastAsia" w:ascii="仿宋_GB2312" w:hAnsi="楷体" w:eastAsia="仿宋_GB2312" w:cs="Times New Roman"/>
                <w:sz w:val="24"/>
                <w:szCs w:val="32"/>
                <w:lang w:bidi="ar"/>
                <w14:ligatures w14:val="none"/>
              </w:rPr>
              <w:t>、生态保护红线</w:t>
            </w:r>
          </w:p>
          <w:p w14:paraId="03E11F9C">
            <w:pPr>
              <w:widowControl/>
              <w:spacing w:line="500" w:lineRule="exact"/>
              <w:ind w:firstLine="480"/>
              <w:jc w:val="left"/>
              <w:rPr>
                <w:rFonts w:hint="default" w:ascii="仿宋_GB2312" w:hAnsi="楷体" w:eastAsia="仿宋_GB2312" w:cs="Times New Roman"/>
                <w:sz w:val="24"/>
                <w:szCs w:val="32"/>
                <w:lang w:val="en-US" w:eastAsia="zh-CN"/>
                <w14:ligatures w14:val="none"/>
              </w:rPr>
            </w:pPr>
            <w:r>
              <w:rPr>
                <w:rFonts w:hint="eastAsia" w:ascii="仿宋_GB2312" w:hAnsi="楷体" w:eastAsia="仿宋_GB2312" w:cs="Times New Roman"/>
                <w:sz w:val="24"/>
                <w:szCs w:val="32"/>
                <w:lang w:bidi="ar"/>
                <w14:ligatures w14:val="none"/>
              </w:rPr>
              <w:t>严格落实上位国土空间总体规划划定的生态保护红线范围及管控要求，落实到具体地块，明确坐标界限，确保图、数、实地相一致。</w:t>
            </w:r>
            <w:r>
              <w:rPr>
                <w:rFonts w:hint="eastAsia" w:ascii="仿宋_GB2312" w:hAnsi="楷体" w:eastAsia="仿宋_GB2312" w:cs="Times New Roman"/>
                <w:sz w:val="24"/>
                <w:szCs w:val="32"/>
                <w:lang w:val="en-US" w:eastAsia="zh-CN" w:bidi="ar"/>
                <w14:ligatures w14:val="none"/>
              </w:rPr>
              <w:t>珠玉村不涉及生态保护红线。</w:t>
            </w:r>
          </w:p>
          <w:p w14:paraId="5CC1F496">
            <w:pPr>
              <w:widowControl/>
              <w:spacing w:line="500" w:lineRule="exact"/>
              <w:ind w:firstLine="480"/>
              <w:jc w:val="left"/>
              <w:rPr>
                <w:rFonts w:ascii="仿宋_GB2312" w:hAnsi="楷体" w:eastAsia="仿宋_GB2312" w:cs="Times New Roman"/>
                <w:sz w:val="24"/>
                <w:szCs w:val="32"/>
                <w14:ligatures w14:val="none"/>
              </w:rPr>
            </w:pPr>
            <w:r>
              <w:rPr>
                <w:rFonts w:ascii="仿宋_GB2312" w:hAnsi="楷体" w:eastAsia="仿宋_GB2312" w:cs="Times New Roman"/>
                <w:sz w:val="24"/>
                <w:szCs w:val="32"/>
                <w:lang w:bidi="ar"/>
                <w14:ligatures w14:val="none"/>
              </w:rPr>
              <w:t>3</w:t>
            </w:r>
            <w:r>
              <w:rPr>
                <w:rFonts w:hint="eastAsia" w:ascii="仿宋_GB2312" w:hAnsi="楷体" w:eastAsia="仿宋_GB2312" w:cs="Times New Roman"/>
                <w:sz w:val="24"/>
                <w:szCs w:val="32"/>
                <w:lang w:bidi="ar"/>
                <w14:ligatures w14:val="none"/>
              </w:rPr>
              <w:t>、村庄建设边界</w:t>
            </w:r>
          </w:p>
          <w:p w14:paraId="4BDF0D4C">
            <w:pPr>
              <w:widowControl/>
              <w:spacing w:line="500" w:lineRule="exact"/>
              <w:ind w:firstLine="480"/>
              <w:jc w:val="left"/>
              <w:rPr>
                <w:rFonts w:hint="default" w:ascii="仿宋_GB2312" w:hAnsi="楷体" w:eastAsia="仿宋_GB2312" w:cs="Times New Roman"/>
                <w:sz w:val="24"/>
                <w:szCs w:val="32"/>
                <w:lang w:val="en-US" w:eastAsia="zh-CN"/>
                <w14:ligatures w14:val="none"/>
              </w:rPr>
            </w:pPr>
            <w:r>
              <w:rPr>
                <w:rFonts w:hint="eastAsia" w:ascii="仿宋_GB2312" w:hAnsi="楷体" w:eastAsia="仿宋_GB2312" w:cs="Times New Roman"/>
                <w:sz w:val="24"/>
                <w:szCs w:val="32"/>
                <w:lang w:bidi="ar"/>
                <w14:ligatures w14:val="none"/>
              </w:rPr>
              <w:t>明确村庄建设边界，各类乡村建设行为原则上应在村庄建设边界内开展，优先使用存量建设用地，村庄建设边界外原则上不安排乡村建设用地。涉及农用地转用的应先办理农用地转用手续。划定村庄建设边界，应与国土变更调查下发的村庄建设用地保持一致，合理保障村民宅基地建房、乡村振兴产业用地等需求。需要单独编制村庄规划的，可结合村庄建设和发展的需求，对通则式管理划定的村庄建设边界范围进行调整优化。</w:t>
            </w:r>
            <w:r>
              <w:rPr>
                <w:rFonts w:hint="eastAsia" w:ascii="仿宋_GB2312" w:hAnsi="楷体" w:eastAsia="仿宋_GB2312" w:cs="Times New Roman"/>
                <w:sz w:val="24"/>
                <w:szCs w:val="32"/>
                <w:lang w:val="en-US" w:eastAsia="zh-CN" w:bidi="ar"/>
                <w14:ligatures w14:val="none"/>
              </w:rPr>
              <w:t>规划划定珠玉村村庄建设边界59.28公顷，其中乡政府驻地村庄建设边界53.47公顷，乡政府驻地外村庄建设边界5.80公顷。</w:t>
            </w:r>
          </w:p>
          <w:p w14:paraId="0291D662">
            <w:pPr>
              <w:widowControl/>
              <w:spacing w:line="500" w:lineRule="exact"/>
              <w:ind w:firstLine="480"/>
              <w:jc w:val="left"/>
              <w:rPr>
                <w:rFonts w:ascii="仿宋_GB2312" w:hAnsi="楷体" w:eastAsia="仿宋_GB2312" w:cs="Times New Roman"/>
                <w:sz w:val="24"/>
                <w:szCs w:val="32"/>
                <w14:ligatures w14:val="none"/>
              </w:rPr>
            </w:pPr>
            <w:r>
              <w:rPr>
                <w:rFonts w:ascii="仿宋_GB2312" w:hAnsi="楷体" w:eastAsia="仿宋_GB2312" w:cs="Times New Roman"/>
                <w:sz w:val="24"/>
                <w:szCs w:val="32"/>
                <w:lang w:bidi="ar"/>
                <w14:ligatures w14:val="none"/>
              </w:rPr>
              <w:t>4</w:t>
            </w:r>
            <w:r>
              <w:rPr>
                <w:rFonts w:hint="eastAsia" w:ascii="仿宋_GB2312" w:hAnsi="楷体" w:eastAsia="仿宋_GB2312" w:cs="Times New Roman"/>
                <w:sz w:val="24"/>
                <w:szCs w:val="32"/>
                <w:lang w:bidi="ar"/>
                <w14:ligatures w14:val="none"/>
              </w:rPr>
              <w:t>、历史文化保护控制线</w:t>
            </w:r>
          </w:p>
          <w:p w14:paraId="1120842E">
            <w:pPr>
              <w:widowControl/>
              <w:spacing w:line="500" w:lineRule="exact"/>
              <w:ind w:firstLine="480"/>
              <w:jc w:val="left"/>
              <w:rPr>
                <w:rFonts w:hint="default" w:ascii="仿宋_GB2312" w:hAnsi="楷体" w:eastAsia="仿宋_GB2312" w:cs="Times New Roman"/>
                <w:sz w:val="24"/>
                <w:szCs w:val="32"/>
                <w:lang w:val="en-US" w:eastAsia="zh-CN"/>
                <w14:ligatures w14:val="none"/>
              </w:rPr>
            </w:pPr>
            <w:r>
              <w:rPr>
                <w:rFonts w:hint="eastAsia" w:ascii="仿宋_GB2312" w:hAnsi="楷体" w:eastAsia="仿宋_GB2312" w:cs="Times New Roman"/>
                <w:sz w:val="24"/>
                <w:szCs w:val="32"/>
                <w:lang w:bidi="ar"/>
                <w14:ligatures w14:val="none"/>
              </w:rPr>
              <w:t>落实历史文化名村、传统村落、文物保护单位的保护控制范围，提出历史文化景观整体保护措施。</w:t>
            </w:r>
            <w:r>
              <w:rPr>
                <w:rFonts w:hint="eastAsia" w:ascii="仿宋_GB2312" w:hAnsi="楷体" w:eastAsia="仿宋_GB2312" w:cs="Times New Roman"/>
                <w:sz w:val="24"/>
                <w:szCs w:val="32"/>
                <w:lang w:val="en-US" w:eastAsia="zh-CN" w:bidi="ar"/>
                <w14:ligatures w14:val="none"/>
              </w:rPr>
              <w:t>珠玉村不涉及历史文化保护线。</w:t>
            </w:r>
          </w:p>
          <w:p w14:paraId="14F73B39">
            <w:pPr>
              <w:widowControl/>
              <w:spacing w:line="500" w:lineRule="exact"/>
              <w:ind w:firstLine="480"/>
              <w:jc w:val="left"/>
              <w:rPr>
                <w:rFonts w:ascii="仿宋_GB2312" w:hAnsi="楷体" w:eastAsia="仿宋_GB2312" w:cs="Times New Roman"/>
                <w:sz w:val="24"/>
                <w:szCs w:val="32"/>
                <w14:ligatures w14:val="none"/>
              </w:rPr>
            </w:pPr>
            <w:r>
              <w:rPr>
                <w:rFonts w:ascii="仿宋_GB2312" w:hAnsi="楷体" w:eastAsia="仿宋_GB2312" w:cs="Times New Roman"/>
                <w:sz w:val="24"/>
                <w:szCs w:val="32"/>
                <w:lang w:bidi="ar"/>
                <w14:ligatures w14:val="none"/>
              </w:rPr>
              <w:t>5</w:t>
            </w:r>
            <w:r>
              <w:rPr>
                <w:rFonts w:hint="eastAsia" w:ascii="仿宋_GB2312" w:hAnsi="楷体" w:eastAsia="仿宋_GB2312" w:cs="Times New Roman"/>
                <w:sz w:val="24"/>
                <w:szCs w:val="32"/>
                <w:lang w:bidi="ar"/>
                <w14:ligatures w14:val="none"/>
              </w:rPr>
              <w:t>、灾害风险控制线</w:t>
            </w:r>
          </w:p>
          <w:p w14:paraId="7ED2B1D1">
            <w:pPr>
              <w:widowControl/>
              <w:spacing w:line="500" w:lineRule="exact"/>
              <w:ind w:firstLine="480"/>
              <w:jc w:val="left"/>
              <w:rPr>
                <w:rFonts w:hint="default" w:ascii="仿宋_GB2312" w:hAnsi="楷体" w:eastAsia="仿宋_GB2312" w:cs="Times New Roman"/>
                <w:sz w:val="24"/>
                <w:szCs w:val="32"/>
                <w:lang w:val="en-US" w:eastAsia="zh-CN"/>
                <w14:ligatures w14:val="none"/>
              </w:rPr>
            </w:pPr>
            <w:r>
              <w:rPr>
                <w:rFonts w:hint="eastAsia" w:ascii="仿宋_GB2312" w:hAnsi="楷体" w:eastAsia="仿宋_GB2312" w:cs="Times New Roman"/>
                <w:sz w:val="24"/>
                <w:szCs w:val="32"/>
                <w:lang w:bidi="ar"/>
                <w14:ligatures w14:val="none"/>
              </w:rPr>
              <w:t>落实洪涝灾害风险控制线，提出洪涝灾害风险应对措施。结合区域自然地理条件及地灾隐患点，划示地质灾害风险防范区，引导村庄建设，并提出地质灾害避险应对措施。</w:t>
            </w:r>
            <w:r>
              <w:rPr>
                <w:rFonts w:hint="eastAsia" w:ascii="仿宋_GB2312" w:hAnsi="楷体" w:eastAsia="仿宋_GB2312" w:cs="Times New Roman"/>
                <w:sz w:val="24"/>
                <w:szCs w:val="32"/>
                <w:lang w:val="en-US" w:eastAsia="zh-CN" w:bidi="ar"/>
                <w14:ligatures w14:val="none"/>
              </w:rPr>
              <w:t>规划珠玉村洪涝风险控制性面积35.43公顷。</w:t>
            </w:r>
          </w:p>
          <w:p w14:paraId="4A3C2DAC">
            <w:pPr>
              <w:widowControl/>
              <w:spacing w:line="500" w:lineRule="exact"/>
              <w:ind w:firstLine="480"/>
              <w:jc w:val="left"/>
              <w:rPr>
                <w:rFonts w:ascii="仿宋_GB2312" w:hAnsi="楷体" w:eastAsia="仿宋_GB2312" w:cs="Times New Roman"/>
                <w:sz w:val="24"/>
                <w:szCs w:val="32"/>
                <w14:ligatures w14:val="none"/>
              </w:rPr>
            </w:pPr>
            <w:r>
              <w:rPr>
                <w:rFonts w:hint="eastAsia" w:ascii="仿宋_GB2312" w:hAnsi="楷体" w:eastAsia="仿宋_GB2312" w:cs="Times New Roman"/>
                <w:sz w:val="24"/>
                <w:szCs w:val="32"/>
                <w:lang w:bidi="ar"/>
                <w14:ligatures w14:val="none"/>
              </w:rPr>
              <w:t>二、明确规划建设指引</w:t>
            </w:r>
          </w:p>
          <w:p w14:paraId="27189875">
            <w:pPr>
              <w:widowControl/>
              <w:spacing w:line="500" w:lineRule="exact"/>
              <w:ind w:firstLine="480"/>
              <w:jc w:val="left"/>
              <w:rPr>
                <w:rFonts w:ascii="仿宋_GB2312" w:hAnsi="楷体" w:eastAsia="仿宋_GB2312" w:cs="Times New Roman"/>
                <w:sz w:val="24"/>
                <w:szCs w:val="32"/>
                <w14:ligatures w14:val="none"/>
              </w:rPr>
            </w:pPr>
            <w:r>
              <w:rPr>
                <w:rFonts w:ascii="仿宋_GB2312" w:hAnsi="楷体" w:eastAsia="仿宋_GB2312" w:cs="Times New Roman"/>
                <w:sz w:val="24"/>
                <w:szCs w:val="32"/>
                <w:lang w:bidi="ar"/>
                <w14:ligatures w14:val="none"/>
              </w:rPr>
              <w:t>1</w:t>
            </w:r>
            <w:r>
              <w:rPr>
                <w:rFonts w:hint="eastAsia" w:ascii="仿宋_GB2312" w:hAnsi="楷体" w:eastAsia="仿宋_GB2312" w:cs="Times New Roman"/>
                <w:sz w:val="24"/>
                <w:szCs w:val="32"/>
                <w:lang w:bidi="ar"/>
                <w14:ligatures w14:val="none"/>
              </w:rPr>
              <w:t>、村庄建设管控和风貌指引</w:t>
            </w:r>
          </w:p>
          <w:p w14:paraId="6ABB3CF4">
            <w:pPr>
              <w:widowControl/>
              <w:spacing w:line="500" w:lineRule="exact"/>
              <w:ind w:firstLine="480"/>
              <w:jc w:val="left"/>
              <w:rPr>
                <w:rFonts w:hint="eastAsia" w:ascii="仿宋_GB2312" w:hAnsi="楷体" w:eastAsia="仿宋_GB2312" w:cs="Times New Roman"/>
                <w:sz w:val="24"/>
                <w:szCs w:val="32"/>
                <w:lang w:eastAsia="zh-CN"/>
                <w14:ligatures w14:val="none"/>
              </w:rPr>
            </w:pPr>
            <w:r>
              <w:rPr>
                <w:rFonts w:hint="eastAsia" w:ascii="仿宋_GB2312" w:hAnsi="楷体" w:eastAsia="仿宋_GB2312" w:cs="Times New Roman"/>
                <w:sz w:val="24"/>
                <w:szCs w:val="32"/>
                <w:lang w:bidi="ar"/>
                <w14:ligatures w14:val="none"/>
              </w:rPr>
              <w:t>在体现地域和农村特色的前提下，利用村庄的地形地貌和历史文化资源，协调好村庄与周边自然景观资源关系、注重村庄文化传承和保护，因地制宜分类提出村庄建设管控和风貌指引要求，落实村庄建筑面积、高度、建房风貌空间形态等内容，形成有机交融的空间关系，塑造富有地域特色的村庄建筑文化与风貌特色。严禁在山地高、陡无防护措施切坡建房。同时明确农业设施用地的面积、用途管制规定。各类乡村建设行为原则上应在村庄建设边界内开展，优先使用存量建设用地，村庄建设边界外原则上不安排新增村庄建设用地</w:t>
            </w:r>
            <w:r>
              <w:rPr>
                <w:rFonts w:hint="eastAsia" w:ascii="仿宋_GB2312" w:hAnsi="楷体" w:eastAsia="仿宋_GB2312" w:cs="Times New Roman"/>
                <w:sz w:val="24"/>
                <w:szCs w:val="32"/>
                <w:lang w:eastAsia="zh-CN" w:bidi="ar"/>
                <w14:ligatures w14:val="none"/>
              </w:rPr>
              <w:t>。</w:t>
            </w:r>
          </w:p>
          <w:p w14:paraId="162F31F4">
            <w:pPr>
              <w:widowControl/>
              <w:spacing w:line="500" w:lineRule="exact"/>
              <w:ind w:firstLine="480"/>
              <w:jc w:val="left"/>
              <w:rPr>
                <w:rFonts w:ascii="仿宋_GB2312" w:hAnsi="楷体" w:eastAsia="仿宋_GB2312" w:cs="Times New Roman"/>
                <w:sz w:val="24"/>
                <w:szCs w:val="32"/>
                <w14:ligatures w14:val="none"/>
              </w:rPr>
            </w:pPr>
            <w:r>
              <w:rPr>
                <w:rFonts w:ascii="仿宋_GB2312" w:hAnsi="楷体" w:eastAsia="仿宋_GB2312" w:cs="Times New Roman"/>
                <w:sz w:val="24"/>
                <w:szCs w:val="32"/>
                <w:lang w:bidi="ar"/>
                <w14:ligatures w14:val="none"/>
              </w:rPr>
              <w:t>2</w:t>
            </w:r>
            <w:r>
              <w:rPr>
                <w:rFonts w:hint="eastAsia" w:ascii="仿宋_GB2312" w:hAnsi="楷体" w:eastAsia="仿宋_GB2312" w:cs="Times New Roman"/>
                <w:sz w:val="24"/>
                <w:szCs w:val="32"/>
                <w:lang w:bidi="ar"/>
                <w14:ligatures w14:val="none"/>
              </w:rPr>
              <w:t>、公共和基础设施配套指引</w:t>
            </w:r>
          </w:p>
          <w:p w14:paraId="380C97FD">
            <w:pPr>
              <w:widowControl/>
              <w:spacing w:line="500" w:lineRule="exact"/>
              <w:ind w:firstLine="480"/>
              <w:jc w:val="left"/>
              <w:rPr>
                <w:rFonts w:hint="default" w:ascii="仿宋_GB2312" w:hAnsi="楷体" w:eastAsia="仿宋_GB2312" w:cs="Times New Roman"/>
                <w:sz w:val="24"/>
                <w:szCs w:val="32"/>
                <w:lang w:val="en-US" w:eastAsia="zh-CN"/>
                <w14:ligatures w14:val="none"/>
              </w:rPr>
            </w:pPr>
            <w:r>
              <w:rPr>
                <w:rFonts w:hint="eastAsia" w:ascii="仿宋_GB2312" w:hAnsi="楷体" w:eastAsia="仿宋_GB2312" w:cs="Times New Roman"/>
                <w:sz w:val="24"/>
                <w:szCs w:val="32"/>
                <w:lang w:bidi="ar"/>
                <w14:ligatures w14:val="none"/>
              </w:rPr>
              <w:t>落实乡村振兴战略，促进城乡公共服务资源均衡配置和农民农村共同富裕的要求，结合村庄类型，分类提出不同村庄公共和基础设施配置要求和标准。</w:t>
            </w:r>
            <w:r>
              <w:rPr>
                <w:rFonts w:hint="eastAsia" w:ascii="仿宋_GB2312" w:hAnsi="楷体" w:eastAsia="仿宋_GB2312" w:cs="Times New Roman"/>
                <w:sz w:val="24"/>
                <w:szCs w:val="32"/>
                <w:lang w:val="en-US" w:eastAsia="zh-CN" w:bidi="ar"/>
                <w14:ligatures w14:val="none"/>
              </w:rPr>
              <w:t>珠玉村为乡政府驻地所在的村，各类公共和基础设施配套按照乡政府驻地配置要求进行落实。</w:t>
            </w:r>
          </w:p>
          <w:p w14:paraId="1FA9A357">
            <w:pPr>
              <w:widowControl/>
              <w:spacing w:line="500" w:lineRule="exact"/>
              <w:ind w:firstLine="480"/>
              <w:jc w:val="left"/>
              <w:rPr>
                <w:rFonts w:ascii="仿宋_GB2312" w:hAnsi="楷体" w:eastAsia="仿宋_GB2312" w:cs="Times New Roman"/>
                <w:sz w:val="24"/>
                <w:szCs w:val="32"/>
                <w14:ligatures w14:val="none"/>
              </w:rPr>
            </w:pPr>
            <w:r>
              <w:rPr>
                <w:rFonts w:ascii="仿宋_GB2312" w:hAnsi="楷体" w:eastAsia="仿宋_GB2312" w:cs="Times New Roman"/>
                <w:sz w:val="24"/>
                <w:szCs w:val="32"/>
                <w:lang w:bidi="ar"/>
                <w14:ligatures w14:val="none"/>
              </w:rPr>
              <w:t>3</w:t>
            </w:r>
            <w:r>
              <w:rPr>
                <w:rFonts w:hint="eastAsia" w:ascii="仿宋_GB2312" w:hAnsi="楷体" w:eastAsia="仿宋_GB2312" w:cs="Times New Roman"/>
                <w:sz w:val="24"/>
                <w:szCs w:val="32"/>
                <w:lang w:bidi="ar"/>
                <w14:ligatures w14:val="none"/>
              </w:rPr>
              <w:t>、国土综合整治与生态修复指引</w:t>
            </w:r>
          </w:p>
          <w:p w14:paraId="6D67F2EF">
            <w:pPr>
              <w:widowControl/>
              <w:spacing w:line="500" w:lineRule="exact"/>
              <w:ind w:firstLine="480"/>
              <w:jc w:val="left"/>
              <w:rPr>
                <w:rFonts w:hint="eastAsia" w:ascii="Times New Roman" w:hAnsi="Times New Roman" w:eastAsia="仿宋_GB2312" w:cs="Times New Roman"/>
                <w:sz w:val="24"/>
                <w:szCs w:val="24"/>
                <w:lang w:val="en-US" w:eastAsia="zh-CN"/>
                <w14:ligatures w14:val="none"/>
              </w:rPr>
            </w:pPr>
            <w:r>
              <w:rPr>
                <w:rFonts w:hint="eastAsia" w:ascii="仿宋_GB2312" w:hAnsi="楷体" w:eastAsia="仿宋_GB2312" w:cs="Times New Roman"/>
                <w:sz w:val="24"/>
                <w:szCs w:val="32"/>
                <w:lang w:bidi="ar"/>
                <w14:ligatures w14:val="none"/>
              </w:rPr>
              <w:t>严格落实上位国土空间总体规划明确的各村域范围内国土综合整治与生态修复区域，分类提出不同村庄国土综合整治与生态修复要求和措施。</w:t>
            </w:r>
            <w:r>
              <w:rPr>
                <w:rFonts w:hint="eastAsia" w:ascii="仿宋_GB2312" w:hAnsi="楷体" w:eastAsia="仿宋_GB2312" w:cs="Times New Roman"/>
                <w:sz w:val="24"/>
                <w:szCs w:val="32"/>
                <w:lang w:val="en-US" w:eastAsia="zh-CN" w:bidi="ar"/>
                <w14:ligatures w14:val="none"/>
              </w:rPr>
              <w:t>珠玉村积极推进高标准农田建设，小流域生态综合治理工程、灌溉渠道建设等</w:t>
            </w:r>
            <w:r>
              <w:rPr>
                <w:rFonts w:hint="eastAsia" w:ascii="仿宋_GB2312" w:hAnsi="楷体" w:eastAsia="仿宋_GB2312" w:cs="Times New Roman"/>
                <w:sz w:val="24"/>
                <w:szCs w:val="32"/>
                <w:lang w:bidi="ar"/>
                <w14:ligatures w14:val="none"/>
              </w:rPr>
              <w:t>国土综合整治与生态修复</w:t>
            </w:r>
            <w:r>
              <w:rPr>
                <w:rFonts w:hint="eastAsia" w:ascii="仿宋_GB2312" w:hAnsi="楷体" w:eastAsia="仿宋_GB2312" w:cs="Times New Roman"/>
                <w:sz w:val="24"/>
                <w:szCs w:val="32"/>
                <w:lang w:val="en-US" w:eastAsia="zh-CN" w:bidi="ar"/>
                <w14:ligatures w14:val="none"/>
              </w:rPr>
              <w:t>项目。</w:t>
            </w:r>
          </w:p>
        </w:tc>
      </w:tr>
    </w:tbl>
    <w:p w14:paraId="06AFB3A8">
      <w:pPr>
        <w:pStyle w:val="6"/>
        <w:keepNext/>
        <w:keepLines/>
        <w:pageBreakBefore w:val="0"/>
        <w:widowControl w:val="0"/>
        <w:numPr>
          <w:ilvl w:val="1"/>
          <w:numId w:val="9"/>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r>
        <w:rPr>
          <w:rFonts w:hint="eastAsia" w:ascii="Arial" w:hAnsi="Arial" w:eastAsia="黑体" w:cs="Times New Roman"/>
          <w:b w:val="0"/>
          <w:lang w:val="zh-CN"/>
        </w:rPr>
        <w:t>统筹优化乡村空间布局</w:t>
      </w:r>
      <w:bookmarkEnd w:id="58"/>
    </w:p>
    <w:p w14:paraId="1BBE5C46">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明确</w:t>
      </w:r>
      <w:r>
        <w:rPr>
          <w:rFonts w:hint="eastAsia" w:ascii="楷体_GB2312" w:hAnsi="Times New Roman" w:eastAsia="楷体_GB2312" w:cs="Times New Roman"/>
          <w:bCs/>
          <w:sz w:val="32"/>
          <w:szCs w:val="32"/>
          <w:lang w:eastAsia="zh-CN"/>
        </w:rPr>
        <w:t>乡村振兴战略</w:t>
      </w:r>
    </w:p>
    <w:p w14:paraId="5D272047">
      <w:pPr>
        <w:pStyle w:val="11"/>
        <w:ind w:firstLine="640"/>
        <w:rPr>
          <w:rFonts w:hint="eastAsia" w:ascii="仿宋_GB2312" w:hAnsi="仿宋_GB2312" w:cs="仿宋_GB2312"/>
          <w:lang w:val="en-US" w:eastAsia="zh-CN"/>
        </w:rPr>
      </w:pPr>
      <w:r>
        <w:rPr>
          <w:rFonts w:hint="eastAsia" w:ascii="仿宋_GB2312" w:hAnsi="仿宋_GB2312" w:cs="仿宋_GB2312"/>
          <w:lang w:val="en-US" w:eastAsia="zh-CN"/>
        </w:rPr>
        <w:t>以乡村产业现代化为支撑，以乡村数字化为手段，坚持城乡融合发展，按照“点—轴”开发模式，以集镇建设为节点、县道交通廊道为轴线，辐射和带动乡村振兴发展。坚持农业农村优先发展，全方位夯实粮食安全根基，逐步把永久基本农田全部建成高标准农田，强化农业科技和装备支撑，发展设施农业；充分发挥高原旅游资源和高原特色农牧产品优势，调整农业产业布局和结构，发展新型农业经营主体和社会化服务，发展农业适度规模经营，推动现代服务业同现代农业深度融合，推进旅游业、农牧产业现代化发展。统筹乡村基础设施和公共服务布局，加快乡村基础设施数字化转型，助力乡村振兴。科学合理布局，分类施策，突出重点，开展高原美丽宜居乡村建设，有序推进乡村振兴战略，稳步实施营造宜居适度的乡村生活空间，建设宜居宜业和美乡村。</w:t>
      </w:r>
    </w:p>
    <w:p w14:paraId="2999A378">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乡村振兴发展</w:t>
      </w:r>
      <w:r>
        <w:rPr>
          <w:rFonts w:hint="eastAsia" w:ascii="楷体_GB2312" w:hAnsi="Times New Roman" w:eastAsia="楷体_GB2312" w:cs="Times New Roman"/>
          <w:bCs/>
          <w:sz w:val="32"/>
          <w:szCs w:val="32"/>
          <w:lang w:val="en-US" w:eastAsia="zh-CN"/>
        </w:rPr>
        <w:t>目标</w:t>
      </w:r>
    </w:p>
    <w:p w14:paraId="0EB58BE2">
      <w:pPr>
        <w:pStyle w:val="11"/>
        <w:ind w:firstLine="640"/>
        <w:rPr>
          <w:rFonts w:hint="eastAsia" w:ascii="楷体_GB2312" w:hAnsi="Times New Roman" w:eastAsia="楷体_GB2312" w:cs="Times New Roman"/>
          <w:bCs/>
          <w:sz w:val="32"/>
          <w:szCs w:val="32"/>
        </w:rPr>
      </w:pPr>
      <w:r>
        <w:rPr>
          <w:rFonts w:hint="eastAsia" w:ascii="仿宋_GB2312" w:hAnsi="仿宋_GB2312" w:cs="仿宋_GB2312"/>
          <w:lang w:val="en-US" w:eastAsia="zh-CN"/>
        </w:rPr>
        <w:t>到2035年，沙珠玉乡10个村基本实现农牧业农牧区现代化；乡村现代化水平显著提升，农牧业结构更加优化，产业体系更加完善，生态环境更加优良；城乡基本公共服务实现均等化，城乡融合发展体制机制全面建立，社会文明程度达到新高度，乡村治理体系更加完善，人的全面发展、共同富裕取得实质性进展。到2050年，生产美产业强、生态美环境优、生活美家园好的乡村蓝图全面呈现，乡村产业、人才、文化、生态和组织全面振兴，全部村庄基本实现乡村现代化发展。</w:t>
      </w:r>
    </w:p>
    <w:p w14:paraId="1D4E2BB3">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优化乡村空间布局</w:t>
      </w:r>
    </w:p>
    <w:p w14:paraId="45315164">
      <w:pPr>
        <w:pStyle w:val="11"/>
        <w:ind w:firstLine="640"/>
        <w:rPr>
          <w:rFonts w:hint="eastAsia" w:ascii="仿宋_GB2312" w:hAnsi="仿宋_GB2312" w:cs="仿宋_GB2312"/>
          <w:lang w:val="en-US" w:eastAsia="zh-CN"/>
        </w:rPr>
      </w:pPr>
      <w:r>
        <w:rPr>
          <w:rFonts w:hint="eastAsia" w:ascii="仿宋_GB2312" w:hAnsi="仿宋_GB2312" w:cs="仿宋_GB2312"/>
          <w:lang w:val="en-US" w:eastAsia="zh-CN"/>
        </w:rPr>
        <w:t>统筹沙珠玉乡发展定位和主导产业功能，以主要交通道路沿线区域为引导，推进城乡融合发展，促进城乡要素流动，全域乡村空间逐渐形成镇（乡集镇）村（村庄）联动的乡村振兴发展模式。</w:t>
      </w:r>
    </w:p>
    <w:p w14:paraId="52A58472">
      <w:pPr>
        <w:pStyle w:val="11"/>
        <w:ind w:firstLine="640"/>
        <w:rPr>
          <w:rFonts w:hint="eastAsia" w:ascii="楷体_GB2312" w:hAnsi="楷体_GB2312" w:eastAsia="楷体_GB2312" w:cs="楷体_GB2312"/>
          <w:lang w:val="en-US" w:eastAsia="zh-CN"/>
        </w:rPr>
      </w:pPr>
      <w:bookmarkStart w:id="59" w:name="_Hlk148275885"/>
      <w:bookmarkStart w:id="60" w:name="_Hlk148274846"/>
      <w:r>
        <w:rPr>
          <w:rFonts w:hint="eastAsia" w:ascii="楷体_GB2312" w:hAnsi="楷体_GB2312" w:eastAsia="楷体_GB2312" w:cs="楷体_GB2312"/>
          <w:lang w:val="en-US" w:eastAsia="zh-CN"/>
        </w:rPr>
        <w:t>规划构建“一心四片，镇村联动”的镇村空间结构</w:t>
      </w:r>
      <w:bookmarkEnd w:id="59"/>
      <w:bookmarkStart w:id="61" w:name="_Hlk148275858"/>
      <w:r>
        <w:rPr>
          <w:rFonts w:hint="eastAsia" w:ascii="楷体_GB2312" w:hAnsi="楷体_GB2312" w:eastAsia="楷体_GB2312" w:cs="楷体_GB2312"/>
          <w:lang w:val="en-US" w:eastAsia="zh-CN"/>
        </w:rPr>
        <w:t>。</w:t>
      </w:r>
    </w:p>
    <w:p w14:paraId="1D579049">
      <w:pPr>
        <w:pStyle w:val="11"/>
        <w:ind w:firstLine="640"/>
        <w:rPr>
          <w:rFonts w:hint="eastAsia" w:ascii="仿宋_GB2312" w:hAnsi="仿宋_GB2312" w:cs="仿宋_GB2312"/>
          <w:lang w:val="en-US" w:eastAsia="zh-CN"/>
        </w:rPr>
      </w:pPr>
      <w:r>
        <w:rPr>
          <w:rFonts w:hint="eastAsia" w:ascii="仿宋_GB2312" w:hAnsi="仿宋_GB2312" w:cs="仿宋_GB2312"/>
          <w:lang w:val="en-US" w:eastAsia="zh-CN"/>
        </w:rPr>
        <w:t>“一心”指乡政府驻地，是乡域发展的综合服务核心，辐射带动周边村庄经济产业发展。</w:t>
      </w:r>
    </w:p>
    <w:p w14:paraId="60753CD6">
      <w:pPr>
        <w:pStyle w:val="11"/>
        <w:ind w:firstLine="640"/>
        <w:rPr>
          <w:rFonts w:hint="eastAsia" w:ascii="仿宋_GB2312" w:hAnsi="仿宋_GB2312" w:cs="仿宋_GB2312"/>
          <w:lang w:val="en-US" w:eastAsia="zh-CN"/>
        </w:rPr>
      </w:pPr>
      <w:r>
        <w:rPr>
          <w:rFonts w:hint="eastAsia" w:ascii="仿宋_GB2312" w:hAnsi="仿宋_GB2312" w:cs="仿宋_GB2312"/>
          <w:lang w:val="en-US" w:eastAsia="zh-CN"/>
        </w:rPr>
        <w:t>“四片”指依资源要素分布划分的四大片区，即中部乡村集聚发展区、北部生态农牧发展区、中南部沙漠观光与清洁能源发展区、西北部与南部生态草场修复区。</w:t>
      </w:r>
    </w:p>
    <w:p w14:paraId="377081B4">
      <w:pPr>
        <w:pStyle w:val="11"/>
        <w:ind w:firstLine="640"/>
        <w:rPr>
          <w:rFonts w:hint="eastAsia" w:ascii="仿宋_GB2312" w:hAnsi="仿宋_GB2312" w:cs="仿宋_GB2312"/>
          <w:lang w:val="en-US" w:eastAsia="zh-CN"/>
        </w:rPr>
      </w:pPr>
      <w:r>
        <w:rPr>
          <w:rFonts w:hint="eastAsia" w:ascii="仿宋_GB2312" w:hAnsi="仿宋_GB2312" w:cs="仿宋_GB2312"/>
          <w:lang w:val="en-US" w:eastAsia="zh-CN"/>
        </w:rPr>
        <w:t>“镇村联动”指东西向镇村发展轴带动村庄节点。乡村集聚发展区根据职能等级形成三级村庄发展节点，即乡政府驻地、中心村、基层村三级节点，东西向形成镇村发展轴，以驻地为核心，强化驻地发展要素支撑，提升驻地服务周边能力，带动村庄节点联动发展。</w:t>
      </w:r>
    </w:p>
    <w:bookmarkEnd w:id="60"/>
    <w:bookmarkEnd w:id="61"/>
    <w:p w14:paraId="33A8202B">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保障乡村建设用地</w:t>
      </w:r>
    </w:p>
    <w:p w14:paraId="23B3DEB7">
      <w:pPr>
        <w:pStyle w:val="11"/>
        <w:ind w:firstLine="640"/>
        <w:rPr>
          <w:rFonts w:hint="eastAsia" w:ascii="仿宋_GB2312" w:hAnsi="仿宋_GB2312" w:cs="仿宋_GB2312"/>
          <w:lang w:val="en-US" w:eastAsia="zh-CN"/>
        </w:rPr>
      </w:pPr>
      <w:r>
        <w:rPr>
          <w:rFonts w:hint="eastAsia" w:ascii="楷体_GB2312" w:hAnsi="楷体_GB2312" w:eastAsia="楷体_GB2312" w:cs="楷体_GB2312"/>
          <w:lang w:val="en-US" w:eastAsia="zh-CN"/>
        </w:rPr>
        <w:t>优先使用闲置用地，提高乡村居民点用地集约水平。</w:t>
      </w:r>
      <w:r>
        <w:rPr>
          <w:rFonts w:hint="eastAsia" w:ascii="仿宋_GB2312" w:hAnsi="仿宋_GB2312" w:cs="仿宋_GB2312"/>
          <w:lang w:val="en-US" w:eastAsia="zh-CN"/>
        </w:rPr>
        <w:t>沙珠玉乡为</w:t>
      </w:r>
      <w:r>
        <w:rPr>
          <w:rFonts w:hint="eastAsia"/>
        </w:rPr>
        <w:t>农产品主产区，</w:t>
      </w:r>
      <w:r>
        <w:rPr>
          <w:rFonts w:hint="eastAsia"/>
          <w:lang w:val="en-US" w:eastAsia="zh-CN"/>
        </w:rPr>
        <w:t>应</w:t>
      </w:r>
      <w:r>
        <w:rPr>
          <w:rFonts w:hint="eastAsia"/>
        </w:rPr>
        <w:t>引导分散农村居民点向中心村集中，完善生产生活设施配置，建设生产设施完备、生活环境良好的高原美丽乡村</w:t>
      </w:r>
      <w:r>
        <w:rPr>
          <w:rFonts w:hint="eastAsia"/>
          <w:lang w:eastAsia="zh-CN"/>
        </w:rPr>
        <w:t>。</w:t>
      </w:r>
      <w:r>
        <w:rPr>
          <w:rFonts w:hint="eastAsia" w:ascii="仿宋_GB2312" w:hAnsi="仿宋_GB2312" w:cs="仿宋_GB2312"/>
          <w:lang w:val="en-US" w:eastAsia="zh-CN"/>
        </w:rPr>
        <w:t>合理管控农村居民点用地，保障宅基地合理空间需求；在充分尊重群众意愿的基础上，以现状农村居民点为基础，采用新建与扩建的形式规划布局农村集中居民点。</w:t>
      </w:r>
    </w:p>
    <w:p w14:paraId="07D4299D">
      <w:pPr>
        <w:pStyle w:val="11"/>
        <w:ind w:firstLine="640"/>
        <w:rPr>
          <w:rFonts w:hint="default" w:ascii="仿宋_GB2312" w:hAnsi="仿宋_GB2312" w:cs="仿宋_GB2312"/>
          <w:lang w:val="en-US" w:eastAsia="zh-CN"/>
        </w:rPr>
      </w:pPr>
      <w:r>
        <w:rPr>
          <w:rFonts w:hint="eastAsia" w:ascii="仿宋_GB2312" w:hAnsi="仿宋_GB2312" w:cs="仿宋_GB2312"/>
          <w:lang w:val="en-US" w:eastAsia="zh-CN"/>
        </w:rPr>
        <w:t>规划期末沙珠玉乡村庄建设用地295.44公顷。</w:t>
      </w:r>
    </w:p>
    <w:p w14:paraId="7D9073B6">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统筹农村一二三产业融合发展空间</w:t>
      </w:r>
    </w:p>
    <w:p w14:paraId="4523A099">
      <w:pPr>
        <w:pStyle w:val="11"/>
        <w:ind w:firstLine="640"/>
        <w:rPr>
          <w:rFonts w:hint="eastAsia" w:ascii="仿宋_GB2312" w:hAnsi="仿宋_GB2312" w:cs="仿宋_GB2312"/>
          <w:lang w:val="en-US" w:eastAsia="zh-CN"/>
        </w:rPr>
      </w:pPr>
      <w:r>
        <w:rPr>
          <w:rFonts w:hint="eastAsia" w:ascii="仿宋_GB2312" w:hAnsi="仿宋_GB2312" w:cs="仿宋_GB2312"/>
          <w:lang w:val="en-US" w:eastAsia="zh-CN"/>
        </w:rPr>
        <w:t>强化全域用途管制引导，结合乡村振兴发展产业需求，合理安排乡村产业建设用地指标，保障乡村产业发展用地。支持农产品加工流通、电子商务、冷链物流、乡村旅游、休闲农业、民宿经济等新产业新业态用地需求，促进乡村振兴战略实施。引导农产品初加工、产地直销等产业在重点特色村庄合理布局、适度集中。探索集体经营性建设用地入市配套政策和点状供地实施政策，建立土地要素保障制度。积极开展全域土地综合整治专项行动为发展提供建设用地保障，挖潜低效存量集体建设用地，保障旅游用地、一二三产融合发展用地。</w:t>
      </w:r>
    </w:p>
    <w:p w14:paraId="6D82C422">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稳步推进农村建设用地综合整治</w:t>
      </w:r>
    </w:p>
    <w:p w14:paraId="66B65C0D">
      <w:pPr>
        <w:pStyle w:val="11"/>
        <w:ind w:firstLine="640"/>
        <w:rPr>
          <w:rFonts w:hint="eastAsia" w:ascii="仿宋_GB2312" w:hAnsi="仿宋_GB2312" w:cs="仿宋_GB2312"/>
          <w:lang w:val="en-US" w:eastAsia="zh-CN"/>
        </w:rPr>
      </w:pPr>
      <w:r>
        <w:rPr>
          <w:rFonts w:hint="eastAsia" w:ascii="仿宋_GB2312" w:hAnsi="仿宋_GB2312" w:cs="仿宋_GB2312"/>
          <w:lang w:val="en-US" w:eastAsia="zh-CN"/>
        </w:rPr>
        <w:t>规范有序开展农村建设用地整治，通过中心村建设、</w:t>
      </w:r>
      <w:r>
        <w:rPr>
          <w:rFonts w:hint="eastAsia"/>
        </w:rPr>
        <w:t>零散宅基地搬迁、危房改造、废弃建设用地复垦等</w:t>
      </w:r>
      <w:r>
        <w:rPr>
          <w:rFonts w:hint="eastAsia" w:ascii="仿宋_GB2312" w:hAnsi="仿宋_GB2312" w:cs="仿宋_GB2312"/>
          <w:lang w:val="en-US" w:eastAsia="zh-CN"/>
        </w:rPr>
        <w:t>多种措施，推</w:t>
      </w:r>
      <w:r>
        <w:rPr>
          <w:rFonts w:hint="eastAsia"/>
        </w:rPr>
        <w:t>进闲置低效建设用地整治利用，优化农村居民点布局</w:t>
      </w:r>
      <w:r>
        <w:rPr>
          <w:rFonts w:hint="eastAsia"/>
          <w:lang w:eastAsia="zh-CN"/>
        </w:rPr>
        <w:t>，</w:t>
      </w:r>
      <w:r>
        <w:rPr>
          <w:rFonts w:hint="eastAsia" w:ascii="仿宋_GB2312" w:hAnsi="仿宋_GB2312" w:cs="仿宋_GB2312"/>
          <w:lang w:val="en-US" w:eastAsia="zh-CN"/>
        </w:rPr>
        <w:t>改善农村人居环境和农业生产条件，促进美丽宜居乡村建设。稳妥推进城乡建设用地增减挂钩，按照先批准后实施的要求，稳妥慎重推进村庄建设用地的复垦，着力优化国土空间格局，严格控制城乡建设用地规模。</w:t>
      </w:r>
    </w:p>
    <w:p w14:paraId="46487BC5">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推进农村人居环境改善</w:t>
      </w:r>
    </w:p>
    <w:p w14:paraId="4A8B5458">
      <w:pPr>
        <w:pStyle w:val="11"/>
        <w:ind w:firstLine="640"/>
        <w:rPr>
          <w:rFonts w:hint="eastAsia" w:ascii="仿宋_GB2312" w:hAnsi="仿宋_GB2312" w:cs="仿宋_GB2312"/>
          <w:lang w:val="en-US" w:eastAsia="zh-CN"/>
        </w:rPr>
      </w:pPr>
      <w:r>
        <w:rPr>
          <w:rFonts w:hint="eastAsia" w:ascii="仿宋_GB2312" w:hAnsi="仿宋_GB2312" w:cs="仿宋_GB2312"/>
          <w:lang w:val="en-US" w:eastAsia="zh-CN"/>
        </w:rPr>
        <w:t>按照山水林田湖草整体保护、系统修复、综合治理的要求，结合农村人居环境整治，保护和恢复乡村生态功能，提高防御自然灾害能力，保持乡村自然景观。推动农村生活污水分散处理和生活垃圾分类减量及资源化利用，保障沙珠玉乡垃圾填埋场、中转站和收集站建设。严格落实“一户一宅”，严控生态空间转为农牧空间，实现“留得住乡愁，守得住青山”的美丽乡村，助推乡村振兴。</w:t>
      </w:r>
    </w:p>
    <w:p w14:paraId="6BCC7BAB">
      <w:pPr>
        <w:pStyle w:val="6"/>
        <w:keepNext/>
        <w:keepLines/>
        <w:pageBreakBefore w:val="0"/>
        <w:widowControl w:val="0"/>
        <w:numPr>
          <w:ilvl w:val="1"/>
          <w:numId w:val="9"/>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62" w:name="_Toc21811"/>
      <w:r>
        <w:rPr>
          <w:rFonts w:hint="eastAsia" w:ascii="Arial" w:hAnsi="Arial" w:eastAsia="黑体" w:cs="Times New Roman"/>
          <w:b w:val="0"/>
          <w:lang w:val="zh-CN"/>
        </w:rPr>
        <w:t>引导产业空间布局</w:t>
      </w:r>
      <w:bookmarkEnd w:id="62"/>
    </w:p>
    <w:p w14:paraId="64DCBE0D">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优化产业结构体系</w:t>
      </w:r>
    </w:p>
    <w:p w14:paraId="3D260079">
      <w:pPr>
        <w:ind w:firstLine="560"/>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以生态农牧业为基础，以治沙精神红色游和沙漠绿洲观光游为主导，以农牧产品精深加工、乡村文化旅游为特色，以</w:t>
      </w:r>
      <w:r>
        <w:rPr>
          <w:rFonts w:hint="eastAsia" w:ascii="仿宋_GB2312" w:hAnsi="仿宋_GB2312" w:eastAsia="仿宋_GB2312"/>
          <w:sz w:val="32"/>
          <w:szCs w:val="32"/>
        </w:rPr>
        <w:t>新型清洁</w:t>
      </w:r>
      <w:r>
        <w:rPr>
          <w:rFonts w:hint="eastAsia" w:ascii="仿宋_GB2312" w:hAnsi="仿宋_GB2312" w:eastAsia="仿宋_GB2312"/>
          <w:sz w:val="32"/>
          <w:szCs w:val="32"/>
          <w:lang w:eastAsia="zh-CN"/>
        </w:rPr>
        <w:t>能源</w:t>
      </w:r>
      <w:r>
        <w:rPr>
          <w:rFonts w:hint="eastAsia" w:ascii="仿宋_GB2312" w:hAnsi="仿宋_GB2312" w:eastAsia="仿宋_GB2312"/>
          <w:sz w:val="32"/>
          <w:szCs w:val="32"/>
          <w:lang w:val="en-US" w:eastAsia="zh-CN"/>
        </w:rPr>
        <w:t>产业为支撑，</w:t>
      </w:r>
      <w:r>
        <w:rPr>
          <w:rFonts w:hint="eastAsia" w:ascii="仿宋_GB2312" w:hAnsi="仿宋_GB2312" w:eastAsia="仿宋_GB2312" w:cs="仿宋_GB2312"/>
          <w:kern w:val="2"/>
          <w:sz w:val="32"/>
          <w:szCs w:val="22"/>
          <w:lang w:val="en-US" w:eastAsia="zh-CN" w:bidi="ar-SA"/>
        </w:rPr>
        <w:t>着力构建集约高效、绿色循环和具有竞争力的乡村产业体系，打造青海省防沙治沙综合示范区、共和盆地沙漠农业示范基地。</w:t>
      </w:r>
    </w:p>
    <w:p w14:paraId="52FEC435">
      <w:pPr>
        <w:ind w:firstLine="560"/>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32"/>
          <w:lang w:val="en-US" w:eastAsia="zh-CN" w:bidi="ar-SA"/>
        </w:rPr>
        <w:t>做大做强优势农牧产业。</w:t>
      </w:r>
      <w:r>
        <w:rPr>
          <w:rFonts w:hint="eastAsia" w:ascii="仿宋_GB2312" w:hAnsi="仿宋_GB2312" w:eastAsia="仿宋_GB2312" w:cs="仿宋_GB2312"/>
          <w:kern w:val="2"/>
          <w:sz w:val="32"/>
          <w:szCs w:val="22"/>
          <w:lang w:val="en-US" w:eastAsia="zh-CN" w:bidi="ar-SA"/>
        </w:rPr>
        <w:t>发挥马铃薯种植、生猪养殖、有机枸杞种植等特色优势产业带动作用，进一步扩大种植、养殖规模，重点发展枸杞等治沙特色农产品，研究利用沙生植物的药用价值，打造沙漠特色种植基地；推进标准化、规模化养殖，推广种养循环发展模式，打造特色养殖基地；推进牧光互补，利用沙地、草场，探索“光伏+治沙+农牧+旅游”发展新模式，建设光伏发电园区。</w:t>
      </w:r>
    </w:p>
    <w:p w14:paraId="140A456A">
      <w:pPr>
        <w:ind w:firstLine="560"/>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32"/>
          <w:lang w:val="en-US" w:eastAsia="zh-CN" w:bidi="ar-SA"/>
        </w:rPr>
        <w:t>培育壮大精深加工产业。</w:t>
      </w:r>
      <w:r>
        <w:rPr>
          <w:rFonts w:hint="eastAsia" w:ascii="仿宋_GB2312" w:hAnsi="仿宋_GB2312" w:eastAsia="仿宋_GB2312" w:cs="仿宋_GB2312"/>
          <w:kern w:val="2"/>
          <w:sz w:val="32"/>
          <w:szCs w:val="22"/>
          <w:lang w:val="en-US" w:eastAsia="zh-CN" w:bidi="ar-SA"/>
        </w:rPr>
        <w:t>依托沙漠特色农牧业基础，发展以“两豆两肉”为主的有机农畜产品精深加工，建设生产线，延展产业链，突出“高原、绿色、有机、无公害”主题，培育沙珠玉本地特色生态农牧品牌。</w:t>
      </w:r>
    </w:p>
    <w:p w14:paraId="296908AE">
      <w:pPr>
        <w:pStyle w:val="11"/>
        <w:ind w:firstLine="640"/>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32"/>
          <w:lang w:val="en-US" w:eastAsia="zh-CN" w:bidi="ar-SA"/>
        </w:rPr>
        <w:t>优化提升商贸文旅产业。</w:t>
      </w:r>
      <w:r>
        <w:rPr>
          <w:rFonts w:hint="eastAsia" w:ascii="仿宋_GB2312" w:hAnsi="仿宋_GB2312" w:eastAsia="仿宋_GB2312" w:cs="仿宋_GB2312"/>
          <w:kern w:val="2"/>
          <w:sz w:val="32"/>
          <w:szCs w:val="22"/>
          <w:lang w:val="en-US" w:eastAsia="zh-CN" w:bidi="ar-SA"/>
        </w:rPr>
        <w:t>突出集镇在乡域范围内的影响能力，建设集镇商业服务业设施，加强集体经济产品的研发、推广、营销，打造县城周边商贸集散中心。依托沙珠玉治沙历史及各类生态、文化资源，</w:t>
      </w:r>
      <w:r>
        <w:rPr>
          <w:rFonts w:hint="eastAsia" w:ascii="仿宋_GB2312" w:hAnsi="仿宋_GB2312" w:eastAsia="仿宋_GB2312" w:cs="仿宋_GB2312"/>
        </w:rPr>
        <w:t>有序推进“绿水青山”向“金山银山”转化</w:t>
      </w:r>
      <w:r>
        <w:rPr>
          <w:rFonts w:hint="eastAsia" w:ascii="仿宋_GB2312" w:hAnsi="仿宋_GB2312" w:eastAsia="仿宋_GB2312" w:cs="仿宋_GB2312"/>
          <w:lang w:eastAsia="zh-CN"/>
        </w:rPr>
        <w:t>，</w:t>
      </w:r>
      <w:r>
        <w:rPr>
          <w:rFonts w:hint="eastAsia" w:ascii="仿宋_GB2312" w:hAnsi="仿宋_GB2312" w:cs="仿宋_GB2312"/>
          <w:lang w:val="en-US" w:eastAsia="zh-CN"/>
        </w:rPr>
        <w:t>结合防沙治沙成果，</w:t>
      </w:r>
      <w:r>
        <w:rPr>
          <w:rFonts w:hint="eastAsia" w:ascii="仿宋_GB2312" w:hAnsi="仿宋_GB2312" w:eastAsia="仿宋_GB2312" w:cs="仿宋_GB2312"/>
        </w:rPr>
        <w:t>打造</w:t>
      </w:r>
      <w:r>
        <w:rPr>
          <w:rFonts w:hint="eastAsia" w:ascii="仿宋_GB2312" w:hAnsi="仿宋_GB2312" w:cs="仿宋_GB2312"/>
          <w:lang w:val="en-US" w:eastAsia="zh-CN"/>
        </w:rPr>
        <w:t>沙漠绿洲</w:t>
      </w:r>
      <w:r>
        <w:rPr>
          <w:rFonts w:hint="eastAsia" w:ascii="仿宋_GB2312" w:hAnsi="仿宋_GB2312" w:eastAsia="仿宋_GB2312" w:cs="仿宋_GB2312"/>
        </w:rPr>
        <w:t>旅游景区、度假地和旅游线路，推动</w:t>
      </w:r>
      <w:r>
        <w:rPr>
          <w:rFonts w:hint="eastAsia" w:ascii="仿宋_GB2312" w:hAnsi="仿宋_GB2312" w:cs="仿宋_GB2312"/>
          <w:lang w:val="en-US" w:eastAsia="zh-CN"/>
        </w:rPr>
        <w:t>沙漠旅游、</w:t>
      </w:r>
      <w:r>
        <w:rPr>
          <w:rFonts w:hint="eastAsia" w:ascii="仿宋_GB2312" w:hAnsi="仿宋_GB2312" w:eastAsia="仿宋_GB2312" w:cs="仿宋_GB2312"/>
        </w:rPr>
        <w:t>草原旅游和生态康养产业发展，拓宽</w:t>
      </w:r>
      <w:r>
        <w:rPr>
          <w:rFonts w:hint="eastAsia" w:ascii="仿宋_GB2312" w:hAnsi="仿宋_GB2312" w:cs="仿宋_GB2312"/>
          <w:lang w:val="en-US" w:eastAsia="zh-CN"/>
        </w:rPr>
        <w:t>农</w:t>
      </w:r>
      <w:r>
        <w:rPr>
          <w:rFonts w:hint="eastAsia" w:ascii="仿宋_GB2312" w:hAnsi="仿宋_GB2312" w:eastAsia="仿宋_GB2312" w:cs="仿宋_GB2312"/>
        </w:rPr>
        <w:t>牧民增收渠道。</w:t>
      </w:r>
      <w:r>
        <w:rPr>
          <w:rFonts w:hint="eastAsia" w:ascii="仿宋_GB2312" w:hAnsi="仿宋_GB2312" w:eastAsia="仿宋_GB2312" w:cs="仿宋_GB2312"/>
          <w:lang w:val="en-US" w:eastAsia="zh-CN"/>
        </w:rPr>
        <w:t>重点推进上卡力岗绿色沙漠体验区、莫离驿特色旅游建设、古生物展览馆等项目</w:t>
      </w:r>
      <w:r>
        <w:rPr>
          <w:rFonts w:hint="eastAsia" w:ascii="仿宋_GB2312" w:hAnsi="仿宋_GB2312" w:cs="仿宋_GB2312"/>
          <w:lang w:val="en-US" w:eastAsia="zh-CN"/>
        </w:rPr>
        <w:t>。</w:t>
      </w:r>
    </w:p>
    <w:p w14:paraId="510E3304">
      <w:pPr>
        <w:pStyle w:val="11"/>
        <w:ind w:firstLine="64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合理发展清洁能源产业。</w:t>
      </w:r>
      <w:r>
        <w:rPr>
          <w:rFonts w:hint="eastAsia" w:ascii="仿宋_GB2312" w:hAnsi="仿宋_GB2312" w:eastAsia="仿宋_GB2312"/>
          <w:sz w:val="32"/>
          <w:szCs w:val="32"/>
        </w:rPr>
        <w:t>依托丰富的</w:t>
      </w:r>
      <w:r>
        <w:rPr>
          <w:rFonts w:hint="eastAsia" w:ascii="仿宋_GB2312" w:hAnsi="仿宋_GB2312"/>
          <w:sz w:val="32"/>
          <w:szCs w:val="32"/>
          <w:lang w:val="en-US" w:eastAsia="zh-CN"/>
        </w:rPr>
        <w:t>太阳能、风能资源</w:t>
      </w:r>
      <w:r>
        <w:rPr>
          <w:rFonts w:hint="eastAsia" w:ascii="仿宋_GB2312" w:hAnsi="仿宋_GB2312"/>
          <w:sz w:val="32"/>
          <w:szCs w:val="32"/>
          <w:lang w:eastAsia="zh-CN"/>
        </w:rPr>
        <w:t>，</w:t>
      </w:r>
      <w:r>
        <w:rPr>
          <w:rFonts w:hint="eastAsia"/>
          <w:bCs/>
        </w:rPr>
        <w:t>合理引导清洁能源产业布局，</w:t>
      </w:r>
      <w:r>
        <w:rPr>
          <w:rFonts w:hint="eastAsia" w:ascii="仿宋_GB2312" w:hAnsi="仿宋_GB2312" w:eastAsia="仿宋_GB2312" w:cs="仿宋_GB2312"/>
        </w:rPr>
        <w:t>利用牧光互补提高草原复合利用效益</w:t>
      </w:r>
      <w:r>
        <w:rPr>
          <w:rFonts w:hint="eastAsia" w:ascii="仿宋_GB2312" w:hAnsi="仿宋_GB2312" w:cs="仿宋_GB2312"/>
          <w:lang w:eastAsia="zh-CN"/>
        </w:rPr>
        <w:t>，</w:t>
      </w:r>
      <w:r>
        <w:rPr>
          <w:rFonts w:hint="eastAsia"/>
          <w:bCs/>
        </w:rPr>
        <w:t>探索牧光互补的特色农牧业之路</w:t>
      </w:r>
      <w:r>
        <w:rPr>
          <w:rFonts w:hint="eastAsia"/>
          <w:bCs/>
          <w:lang w:eastAsia="zh-CN"/>
        </w:rPr>
        <w:t>。</w:t>
      </w:r>
    </w:p>
    <w:p w14:paraId="3E4C7A54">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统筹产业空间布局</w:t>
      </w:r>
    </w:p>
    <w:p w14:paraId="3C85EE42">
      <w:pPr>
        <w:pStyle w:val="11"/>
        <w:ind w:firstLine="64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规划形成“一核一轴五区多点”的产业空间布局。</w:t>
      </w:r>
    </w:p>
    <w:p w14:paraId="15088DB7">
      <w:pPr>
        <w:pStyle w:val="11"/>
        <w:ind w:firstLine="64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“一核”</w:t>
      </w:r>
      <w:r>
        <w:rPr>
          <w:rFonts w:hint="eastAsia" w:ascii="仿宋_GB2312" w:hAnsi="仿宋_GB2312" w:eastAsia="仿宋_GB2312" w:cs="仿宋_GB2312"/>
          <w:sz w:val="32"/>
          <w:szCs w:val="32"/>
          <w:lang w:val="en-US" w:eastAsia="zh-CN"/>
        </w:rPr>
        <w:t>即乡政府驻地，布局农牧产品加工、商贸服务、旅游服务等产业，作为乡域产业发展核心。</w:t>
      </w:r>
    </w:p>
    <w:p w14:paraId="447AED94">
      <w:pPr>
        <w:pStyle w:val="11"/>
        <w:ind w:firstLine="64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“一轴”</w:t>
      </w:r>
      <w:r>
        <w:rPr>
          <w:rFonts w:hint="eastAsia" w:ascii="仿宋_GB2312" w:hAnsi="仿宋_GB2312" w:eastAsia="仿宋_GB2312" w:cs="仿宋_GB2312"/>
          <w:sz w:val="32"/>
          <w:szCs w:val="32"/>
          <w:lang w:val="en-US" w:eastAsia="zh-CN"/>
        </w:rPr>
        <w:t>即沿东西向道路形成的乡村产业综合发展轴，带动沿线村庄产业振兴。</w:t>
      </w:r>
    </w:p>
    <w:p w14:paraId="5AFA7867">
      <w:pPr>
        <w:pStyle w:val="11"/>
        <w:ind w:firstLine="64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“五区”</w:t>
      </w:r>
      <w:r>
        <w:rPr>
          <w:rFonts w:hint="eastAsia" w:ascii="仿宋_GB2312" w:hAnsi="仿宋_GB2312" w:eastAsia="仿宋_GB2312" w:cs="仿宋_GB2312"/>
          <w:sz w:val="32"/>
          <w:szCs w:val="32"/>
          <w:lang w:val="en-US" w:eastAsia="zh-CN"/>
        </w:rPr>
        <w:t>即乡村休闲农业发展区、生态畜牧业发展区、沙漠旅游发展区、光伏治沙发展区、生态草场修复区。</w:t>
      </w:r>
    </w:p>
    <w:p w14:paraId="5E786D0C">
      <w:pPr>
        <w:pStyle w:val="11"/>
        <w:ind w:firstLine="64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乡村休闲农业发展区。</w:t>
      </w:r>
      <w:r>
        <w:rPr>
          <w:rFonts w:hint="eastAsia" w:ascii="仿宋_GB2312" w:hAnsi="仿宋_GB2312" w:eastAsia="仿宋_GB2312" w:cs="仿宋_GB2312"/>
          <w:sz w:val="32"/>
          <w:szCs w:val="32"/>
          <w:lang w:val="en-US" w:eastAsia="zh-CN"/>
        </w:rPr>
        <w:t>乡域中部村庄集聚，耕地集中，宜发展优质高效特色农业、休闲农业及以治沙精神为主的红色乡村旅游。</w:t>
      </w:r>
    </w:p>
    <w:p w14:paraId="4A85CBBA">
      <w:pPr>
        <w:pStyle w:val="11"/>
        <w:ind w:firstLine="64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生态畜牧业发展区。</w:t>
      </w:r>
      <w:r>
        <w:rPr>
          <w:rFonts w:hint="eastAsia" w:ascii="仿宋_GB2312" w:hAnsi="仿宋_GB2312" w:eastAsia="仿宋_GB2312" w:cs="仿宋_GB2312"/>
          <w:sz w:val="32"/>
          <w:szCs w:val="32"/>
          <w:lang w:val="en-US" w:eastAsia="zh-CN"/>
        </w:rPr>
        <w:t>乡域北部及居民点南部为草畜平衡区，坚持以草定畜，协调草畜矛盾，兼顾生态保护和经济发展，推广种养循环发展模式，促进生态畜牧业发展。</w:t>
      </w:r>
    </w:p>
    <w:p w14:paraId="692F4F95">
      <w:pPr>
        <w:pStyle w:val="11"/>
        <w:ind w:firstLine="64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沙漠旅游发展区。</w:t>
      </w:r>
      <w:r>
        <w:rPr>
          <w:rFonts w:hint="eastAsia" w:ascii="仿宋_GB2312" w:hAnsi="仿宋_GB2312" w:eastAsia="仿宋_GB2312" w:cs="仿宋_GB2312"/>
          <w:sz w:val="32"/>
          <w:szCs w:val="32"/>
          <w:lang w:val="en-US" w:eastAsia="zh-CN"/>
        </w:rPr>
        <w:t>乡域西南部为大面积沙地，结合沙漠资源，依托沙珠玉治沙精神，持续进行防风治沙与生态修复，发展治沙观摩、绿洲观光等沙漠旅游，促进旅游业发展。</w:t>
      </w:r>
    </w:p>
    <w:p w14:paraId="05A089AF">
      <w:pPr>
        <w:pStyle w:val="11"/>
        <w:ind w:firstLine="64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光伏治沙发展区。</w:t>
      </w:r>
      <w:r>
        <w:rPr>
          <w:rFonts w:hint="eastAsia" w:ascii="仿宋_GB2312" w:hAnsi="仿宋_GB2312" w:eastAsia="仿宋_GB2312" w:cs="仿宋_GB2312"/>
          <w:sz w:val="32"/>
          <w:szCs w:val="32"/>
          <w:lang w:val="en-US" w:eastAsia="zh-CN"/>
        </w:rPr>
        <w:t>乡域东南部为沙地、草地，适宜发展壮大以光伏产业为主的清洁能源产业。</w:t>
      </w:r>
    </w:p>
    <w:p w14:paraId="10EE561B">
      <w:pPr>
        <w:pStyle w:val="11"/>
        <w:ind w:firstLine="64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生态草场修复区。</w:t>
      </w:r>
      <w:r>
        <w:rPr>
          <w:rFonts w:hint="eastAsia" w:ascii="仿宋_GB2312" w:hAnsi="仿宋_GB2312" w:eastAsia="仿宋_GB2312" w:cs="仿宋_GB2312"/>
          <w:sz w:val="32"/>
          <w:szCs w:val="32"/>
          <w:lang w:val="en-US" w:eastAsia="zh-CN"/>
        </w:rPr>
        <w:t>乡域西北部与南端大片天然牧草地为禁牧草场，以保护和恢复为主，作为生态草场修复区。</w:t>
      </w:r>
    </w:p>
    <w:p w14:paraId="49607E65">
      <w:pPr>
        <w:pStyle w:val="11"/>
        <w:ind w:firstLine="640"/>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“多点”</w:t>
      </w:r>
      <w:r>
        <w:rPr>
          <w:rFonts w:hint="eastAsia" w:ascii="仿宋_GB2312" w:hAnsi="仿宋_GB2312" w:eastAsia="仿宋_GB2312" w:cs="仿宋_GB2312"/>
          <w:sz w:val="32"/>
          <w:szCs w:val="32"/>
          <w:lang w:val="en-US" w:eastAsia="zh-CN"/>
        </w:rPr>
        <w:t>即依托资源特色，选取扎布达村、上卡力岗村、耐海塔村、下卡力岗村，作为乡域产业发展服务节点。</w:t>
      </w:r>
    </w:p>
    <w:p w14:paraId="0D6D408B">
      <w:pPr>
        <w:pStyle w:val="6"/>
        <w:keepNext/>
        <w:keepLines/>
        <w:pageBreakBefore w:val="0"/>
        <w:widowControl w:val="0"/>
        <w:numPr>
          <w:ilvl w:val="1"/>
          <w:numId w:val="9"/>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63" w:name="_Toc9572"/>
      <w:r>
        <w:rPr>
          <w:rFonts w:hint="eastAsia" w:ascii="Arial" w:hAnsi="Arial" w:eastAsia="黑体" w:cs="Times New Roman"/>
          <w:b w:val="0"/>
          <w:lang w:val="zh-CN"/>
        </w:rPr>
        <w:t>完善公共服务设施布局</w:t>
      </w:r>
      <w:bookmarkEnd w:id="63"/>
    </w:p>
    <w:p w14:paraId="10D08D81">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构建公共服务设施体系</w:t>
      </w:r>
    </w:p>
    <w:p w14:paraId="7E36AA11">
      <w:pPr>
        <w:pStyle w:val="11"/>
        <w:ind w:firstLine="640"/>
        <w:rPr>
          <w:rFonts w:hint="eastAsia" w:ascii="仿宋_GB2312" w:hAnsi="仿宋_GB2312" w:cs="仿宋_GB2312"/>
          <w:lang w:val="en-US" w:eastAsia="zh-CN"/>
        </w:rPr>
      </w:pPr>
      <w:r>
        <w:rPr>
          <w:rFonts w:hint="eastAsia" w:ascii="仿宋_GB2312" w:hAnsi="仿宋_GB2312" w:cs="仿宋_GB2312"/>
          <w:lang w:val="en-US" w:eastAsia="zh-CN"/>
        </w:rPr>
        <w:t>围绕“幼有所育、学有所教、劳有所得、病有所医、老有所养、住有所居、弱有所扶”总体思路，丰富多层次多样化生活服务供给，构建优质均衡的公共服务体系。</w:t>
      </w:r>
    </w:p>
    <w:p w14:paraId="297253E9">
      <w:pPr>
        <w:pStyle w:val="11"/>
        <w:ind w:firstLine="64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规划结合乡村30分钟社区生活圈，构建“乡政府驻地-中心村-基层村”三级公共服务设施体系。</w:t>
      </w:r>
    </w:p>
    <w:p w14:paraId="353E9942">
      <w:pPr>
        <w:pStyle w:val="11"/>
        <w:ind w:firstLine="640"/>
        <w:rPr>
          <w:rFonts w:hint="eastAsia" w:ascii="仿宋_GB2312" w:hAnsi="仿宋_GB2312" w:cs="仿宋_GB2312"/>
          <w:lang w:val="en-US" w:eastAsia="zh-CN"/>
        </w:rPr>
      </w:pPr>
      <w:r>
        <w:rPr>
          <w:rFonts w:hint="eastAsia" w:ascii="仿宋_GB2312" w:hAnsi="仿宋_GB2312" w:cs="仿宋_GB2312"/>
          <w:lang w:val="en-US" w:eastAsia="zh-CN"/>
        </w:rPr>
        <w:t>乡政府驻地是乡域核心功能的承载区，针对全域居民生产生活配建公共服务设施，二次生活圈以乡驻地为依托，服务半径以20-40千米为宜；中心村不仅要承担本村的公共服务功能，同时要考虑服务周边村庄，一次生活圈以中心村为依托，服务半径以5-10千米为宜；基层村主要承载本村的公共服务功能，提供最基本日常生产生活服务项目，基本生活圈以基层村为服务对象，服务半径以0.5-1.0千米为宜。根据村庄生活生产方式，兼顾考虑配置特色化服务设施。</w:t>
      </w:r>
    </w:p>
    <w:p w14:paraId="1259DF50">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完善公共服务设施布局</w:t>
      </w:r>
    </w:p>
    <w:p w14:paraId="0C126648">
      <w:pPr>
        <w:pStyle w:val="11"/>
        <w:ind w:firstLine="640"/>
        <w:rPr>
          <w:rFonts w:hint="eastAsia"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文化设施布局。</w:t>
      </w:r>
      <w:r>
        <w:rPr>
          <w:rFonts w:hint="eastAsia" w:ascii="仿宋_GB2312" w:hAnsi="仿宋_GB2312" w:eastAsia="仿宋_GB2312" w:cs="仿宋_GB2312"/>
          <w:lang w:val="en-US" w:eastAsia="zh-CN"/>
        </w:rPr>
        <w:t>构建“乡镇文化站—村级文化活动室—农家书屋”三级文化网络服务体系，保障2035年人均公共文化服务设施用地面积不小于县级国土空间总体规划建设标准0.5平方米。规划乡政府驻地治沙展览馆调整为图书与展览用地，占地面积0.44公顷；</w:t>
      </w:r>
      <w:r>
        <w:rPr>
          <w:rFonts w:hint="eastAsia" w:ascii="仿宋_GB2312" w:hAnsi="仿宋_GB2312" w:cs="仿宋_GB2312"/>
          <w:lang w:val="en-US" w:eastAsia="zh-CN"/>
        </w:rPr>
        <w:t>规划于</w:t>
      </w:r>
      <w:r>
        <w:rPr>
          <w:rFonts w:hint="eastAsia" w:ascii="仿宋_GB2312" w:hAnsi="仿宋_GB2312" w:cs="仿宋_GB2312"/>
        </w:rPr>
        <w:t>恰藏路南段</w:t>
      </w:r>
      <w:r>
        <w:rPr>
          <w:rFonts w:hint="eastAsia" w:ascii="仿宋_GB2312" w:hAnsi="仿宋_GB2312" w:eastAsia="仿宋_GB2312" w:cs="仿宋_GB2312"/>
          <w:lang w:val="en-US" w:eastAsia="zh-CN"/>
        </w:rPr>
        <w:t>新增1处</w:t>
      </w:r>
      <w:r>
        <w:rPr>
          <w:rFonts w:hint="eastAsia" w:ascii="仿宋_GB2312" w:hAnsi="仿宋_GB2312" w:cs="仿宋_GB2312"/>
          <w:lang w:val="en-US" w:eastAsia="zh-CN"/>
        </w:rPr>
        <w:t>乡镇级</w:t>
      </w:r>
      <w:r>
        <w:rPr>
          <w:rFonts w:hint="eastAsia" w:ascii="仿宋_GB2312" w:hAnsi="仿宋_GB2312" w:eastAsia="仿宋_GB2312" w:cs="仿宋_GB2312"/>
          <w:lang w:val="en-US" w:eastAsia="zh-CN"/>
        </w:rPr>
        <w:t>文化活动站，占地面积0.14公顷；保留各村现状文化活动用地，并逐步提升设施服务能力。</w:t>
      </w:r>
    </w:p>
    <w:p w14:paraId="7A3F6D9C">
      <w:pPr>
        <w:pStyle w:val="11"/>
        <w:ind w:firstLine="640"/>
        <w:rPr>
          <w:rFonts w:hint="default"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教育设施布局。</w:t>
      </w:r>
      <w:r>
        <w:rPr>
          <w:rFonts w:hint="eastAsia" w:ascii="仿宋_GB2312" w:hAnsi="仿宋_GB2312" w:eastAsia="仿宋_GB2312" w:cs="仿宋_GB2312"/>
          <w:lang w:val="en-US" w:eastAsia="zh-CN"/>
        </w:rPr>
        <w:t>充分保障幼儿园</w:t>
      </w:r>
      <w:r>
        <w:rPr>
          <w:rFonts w:hint="eastAsia" w:ascii="仿宋_GB2312" w:hAnsi="仿宋_GB2312" w:cs="仿宋_GB2312"/>
          <w:lang w:val="en-US" w:eastAsia="zh-CN"/>
        </w:rPr>
        <w:t>、中</w:t>
      </w:r>
      <w:r>
        <w:rPr>
          <w:rFonts w:hint="eastAsia" w:ascii="仿宋_GB2312" w:hAnsi="仿宋_GB2312" w:eastAsia="仿宋_GB2312" w:cs="仿宋_GB2312"/>
          <w:lang w:val="en-US" w:eastAsia="zh-CN"/>
        </w:rPr>
        <w:t>小学等基础教育设施供给，逐步建立覆盖全部常住人口的均等化教育设施体系，实现基础教育公平。保留现状沙珠玉乡寄宿制小学，占地面积2.94公顷</w:t>
      </w:r>
      <w:r>
        <w:rPr>
          <w:rFonts w:hint="eastAsia" w:ascii="仿宋_GB2312" w:hAnsi="仿宋_GB2312" w:cs="仿宋_GB2312"/>
          <w:lang w:val="en-US" w:eastAsia="zh-CN"/>
        </w:rPr>
        <w:t>，规划进行提标改造</w:t>
      </w:r>
      <w:r>
        <w:rPr>
          <w:rFonts w:hint="eastAsia" w:ascii="仿宋_GB2312" w:hAnsi="仿宋_GB2312" w:eastAsia="仿宋_GB2312" w:cs="仿宋_GB2312"/>
          <w:lang w:val="en-US" w:eastAsia="zh-CN"/>
        </w:rPr>
        <w:t>；保留现状珠玉村、下卡力岗村幼儿园，其余村幼儿园就近撤并；优化教学生活用房、运动场及相关附属设施。</w:t>
      </w:r>
    </w:p>
    <w:p w14:paraId="181E2C45">
      <w:pPr>
        <w:pStyle w:val="11"/>
        <w:ind w:firstLine="640"/>
        <w:rPr>
          <w:rFonts w:hint="default"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体育设施布局。</w:t>
      </w:r>
      <w:r>
        <w:rPr>
          <w:rFonts w:hint="eastAsia" w:ascii="仿宋_GB2312" w:hAnsi="仿宋_GB2312" w:eastAsia="仿宋_GB2312" w:cs="仿宋_GB2312"/>
          <w:lang w:val="en-US" w:eastAsia="zh-CN"/>
        </w:rPr>
        <w:t>构建全民健身的体育服务体系，到2035年，人均体育场地面积均达到4.0平方米，社区体育设施15分钟覆盖率提高到90%。保留现状体育用地1处，即乡政府驻地体育场，规划结合现状各村组空闲地、村委会以及新增公园、广场配置体育健身设施。</w:t>
      </w:r>
    </w:p>
    <w:p w14:paraId="76EE7EB9">
      <w:pPr>
        <w:pStyle w:val="11"/>
        <w:ind w:firstLine="640"/>
        <w:rPr>
          <w:rFonts w:hint="eastAsia"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医疗设施布局。</w:t>
      </w:r>
      <w:r>
        <w:rPr>
          <w:rFonts w:hint="eastAsia" w:ascii="仿宋_GB2312" w:hAnsi="仿宋_GB2312" w:eastAsia="仿宋_GB2312" w:cs="仿宋_GB2312"/>
          <w:lang w:val="en-US" w:eastAsia="zh-CN"/>
        </w:rPr>
        <w:t>以乡卫生院为主体，以村卫生室为补充，合理控制各类设施床位数规模及用地指标，2035年达到每千人不小于8.0张床位数的配置水平。保留现状沙珠玉乡卫生院，占地面积0.22公顷</w:t>
      </w:r>
      <w:r>
        <w:rPr>
          <w:rFonts w:hint="eastAsia" w:ascii="仿宋_GB2312" w:hAnsi="仿宋_GB2312" w:eastAsia="仿宋_GB2312"/>
          <w:sz w:val="32"/>
          <w:szCs w:val="32"/>
          <w:lang w:val="en-US" w:eastAsia="zh-CN"/>
        </w:rPr>
        <w:t>，规划进行提标改造。</w:t>
      </w:r>
      <w:r>
        <w:rPr>
          <w:rFonts w:hint="eastAsia" w:ascii="仿宋_GB2312" w:hAnsi="仿宋_GB2312" w:eastAsia="仿宋_GB2312" w:cs="仿宋_GB2312"/>
          <w:lang w:val="en-US" w:eastAsia="zh-CN"/>
        </w:rPr>
        <w:t>村卫生室结合村委会设置，房屋建设规模不低于60平方米。</w:t>
      </w:r>
    </w:p>
    <w:p w14:paraId="1DA57329">
      <w:pPr>
        <w:pStyle w:val="11"/>
        <w:ind w:firstLine="640"/>
        <w:rPr>
          <w:rFonts w:hint="eastAsia"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养老设施布局。</w:t>
      </w:r>
      <w:r>
        <w:rPr>
          <w:rFonts w:hint="eastAsia" w:ascii="仿宋_GB2312" w:hAnsi="仿宋_GB2312" w:eastAsia="仿宋_GB2312" w:cs="仿宋_GB2312"/>
          <w:lang w:val="en-US" w:eastAsia="zh-CN"/>
        </w:rPr>
        <w:t>构建以“居家社区机构相协调、医养康养相结合”的养老服务体系。到2035年，按照人均用地不少于0.1平方米的标准，分区分级规划设置养老服务设施。规划于乡</w:t>
      </w:r>
      <w:r>
        <w:rPr>
          <w:rFonts w:hint="eastAsia" w:ascii="仿宋_GB2312" w:hAnsi="仿宋_GB2312" w:cs="仿宋_GB2312"/>
          <w:lang w:val="en-US" w:eastAsia="zh-CN"/>
        </w:rPr>
        <w:t>卫生院以东、供销社以北建设乡</w:t>
      </w:r>
      <w:r>
        <w:rPr>
          <w:rFonts w:hint="eastAsia" w:ascii="仿宋_GB2312" w:hAnsi="仿宋_GB2312" w:eastAsia="仿宋_GB2312" w:cs="仿宋_GB2312"/>
          <w:lang w:val="en-US" w:eastAsia="zh-CN"/>
        </w:rPr>
        <w:t>镇</w:t>
      </w:r>
      <w:r>
        <w:rPr>
          <w:rFonts w:hint="eastAsia" w:ascii="仿宋_GB2312" w:hAnsi="仿宋_GB2312" w:cs="仿宋_GB2312"/>
          <w:lang w:val="en-US" w:eastAsia="zh-CN"/>
        </w:rPr>
        <w:t>级</w:t>
      </w:r>
      <w:r>
        <w:rPr>
          <w:rFonts w:hint="eastAsia" w:ascii="仿宋_GB2312" w:hAnsi="仿宋_GB2312" w:eastAsia="仿宋_GB2312" w:cs="仿宋_GB2312"/>
          <w:lang w:val="en-US" w:eastAsia="zh-CN"/>
        </w:rPr>
        <w:t>老年人日间照料中心，</w:t>
      </w:r>
      <w:r>
        <w:rPr>
          <w:rFonts w:hint="eastAsia" w:ascii="仿宋_GB2312" w:hAnsi="仿宋_GB2312" w:cs="仿宋_GB2312"/>
          <w:lang w:val="en-US" w:eastAsia="zh-CN"/>
        </w:rPr>
        <w:t>便于及时医疗救护，</w:t>
      </w:r>
      <w:r>
        <w:rPr>
          <w:rFonts w:hint="eastAsia" w:ascii="仿宋_GB2312" w:hAnsi="仿宋_GB2312" w:eastAsia="仿宋_GB2312" w:cs="仿宋_GB2312"/>
          <w:lang w:val="en-US" w:eastAsia="zh-CN"/>
        </w:rPr>
        <w:t>提高乡镇养老设施服务水平，房屋建设规模不低于200平方米。规划新增3处农村互助幸福院，采取相邻村庄联合设置，分别位于上村村、耐海塔村、下卡力岗村村委会内。</w:t>
      </w:r>
    </w:p>
    <w:p w14:paraId="60B38A14">
      <w:pPr>
        <w:pStyle w:val="11"/>
        <w:ind w:firstLine="640"/>
        <w:rPr>
          <w:rFonts w:hint="default"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殡葬设施布局。</w:t>
      </w:r>
      <w:r>
        <w:rPr>
          <w:rFonts w:hint="eastAsia" w:ascii="仿宋_GB2312" w:hAnsi="仿宋_GB2312" w:eastAsia="仿宋_GB2312" w:cs="仿宋_GB2312"/>
          <w:lang w:val="en-US" w:eastAsia="zh-CN"/>
        </w:rPr>
        <w:t>集约殡葬用地供给，会同民政部门持续推进殡葬事业改革，稳妥推进公益性安葬设施规划建设，补齐公益性殡葬设施供给短板。鼓励农村公益性公墓建设或以村、村民小组划定农村集中安葬区域，开展散埋乱葬专项治理和移风易俗工作。</w:t>
      </w:r>
    </w:p>
    <w:p w14:paraId="3D5B8531">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加强公共服务用地管控和功能共享</w:t>
      </w:r>
    </w:p>
    <w:p w14:paraId="1CE125DE">
      <w:pPr>
        <w:pStyle w:val="11"/>
        <w:ind w:firstLine="64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在</w:t>
      </w:r>
      <w:r>
        <w:rPr>
          <w:rFonts w:hint="eastAsia" w:ascii="仿宋_GB2312" w:hAnsi="仿宋_GB2312" w:cs="仿宋_GB2312"/>
          <w:lang w:val="en-US" w:eastAsia="zh-CN"/>
        </w:rPr>
        <w:t>村庄</w:t>
      </w:r>
      <w:r>
        <w:rPr>
          <w:rFonts w:hint="eastAsia" w:ascii="仿宋_GB2312" w:hAnsi="仿宋_GB2312" w:eastAsia="仿宋_GB2312" w:cs="仿宋_GB2312"/>
          <w:lang w:val="en-US" w:eastAsia="zh-CN"/>
        </w:rPr>
        <w:t>规划编制中应充分保障各类公共服务用地，现状闲置的各类公共服务用地优先转为</w:t>
      </w:r>
      <w:r>
        <w:rPr>
          <w:rFonts w:hint="eastAsia" w:ascii="仿宋_GB2312" w:hAnsi="仿宋_GB2312" w:cs="仿宋_GB2312"/>
          <w:lang w:val="en-US" w:eastAsia="zh-CN"/>
        </w:rPr>
        <w:t>其他</w:t>
      </w:r>
      <w:r>
        <w:rPr>
          <w:rFonts w:hint="eastAsia" w:ascii="仿宋_GB2312" w:hAnsi="仿宋_GB2312" w:eastAsia="仿宋_GB2312" w:cs="仿宋_GB2312"/>
          <w:lang w:val="en-US" w:eastAsia="zh-CN"/>
        </w:rPr>
        <w:t>公共服务功能。鼓励利用存量空间完善公共服务设施供给，鼓励多功能公共服务设施复合建设，鼓励有条件的学校运动和文化设施对外开放共享，鼓励公园绿地建设或改造中合理安排适宜的文体设施。</w:t>
      </w:r>
    </w:p>
    <w:p w14:paraId="6B42D31C">
      <w:pPr>
        <w:pStyle w:val="6"/>
        <w:keepNext/>
        <w:keepLines/>
        <w:pageBreakBefore w:val="0"/>
        <w:widowControl w:val="0"/>
        <w:numPr>
          <w:ilvl w:val="1"/>
          <w:numId w:val="9"/>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64" w:name="_Toc8165"/>
      <w:r>
        <w:rPr>
          <w:rFonts w:hint="eastAsia" w:ascii="Arial" w:hAnsi="Arial" w:eastAsia="黑体" w:cs="Times New Roman"/>
          <w:b w:val="0"/>
          <w:lang w:val="zh-CN"/>
        </w:rPr>
        <w:t>促进城乡建设用地节约集约</w:t>
      </w:r>
      <w:bookmarkEnd w:id="64"/>
    </w:p>
    <w:p w14:paraId="0EBFD216">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提高建设用地节约集约用地水平</w:t>
      </w:r>
    </w:p>
    <w:p w14:paraId="41091B32">
      <w:pPr>
        <w:pStyle w:val="11"/>
        <w:ind w:firstLine="640"/>
        <w:rPr>
          <w:rFonts w:hint="eastAsia" w:ascii="仿宋_GB2312" w:hAnsi="仿宋_GB2312" w:eastAsia="仿宋_GB2312" w:cs="仿宋_GB2312"/>
          <w:lang w:val="en-US" w:eastAsia="zh-CN"/>
        </w:rPr>
      </w:pPr>
      <w:r>
        <w:rPr>
          <w:rFonts w:hint="eastAsia" w:ascii="楷体_GB2312" w:hAnsi="楷体_GB2312" w:eastAsia="楷体_GB2312" w:cs="楷体_GB2312"/>
          <w:lang w:val="en-US" w:eastAsia="zh-CN"/>
        </w:rPr>
        <w:t>强化国土空间规划的引领作用，加强新增建设用地管控。</w:t>
      </w:r>
      <w:r>
        <w:rPr>
          <w:rFonts w:hint="eastAsia" w:ascii="仿宋_GB2312" w:hAnsi="仿宋_GB2312" w:eastAsia="仿宋_GB2312" w:cs="仿宋_GB2312"/>
          <w:lang w:val="en-US" w:eastAsia="zh-CN"/>
        </w:rPr>
        <w:t>以</w:t>
      </w:r>
      <w:r>
        <w:rPr>
          <w:rFonts w:hint="eastAsia" w:ascii="仿宋_GB2312" w:hAnsi="仿宋_GB2312" w:cs="仿宋_GB2312"/>
          <w:lang w:val="en-US" w:eastAsia="zh-CN"/>
        </w:rPr>
        <w:t>村庄建设</w:t>
      </w:r>
      <w:r>
        <w:rPr>
          <w:rFonts w:hint="eastAsia" w:ascii="仿宋_GB2312" w:hAnsi="仿宋_GB2312" w:eastAsia="仿宋_GB2312" w:cs="仿宋_GB2312"/>
          <w:lang w:val="en-US" w:eastAsia="zh-CN"/>
        </w:rPr>
        <w:t>边界</w:t>
      </w:r>
      <w:r>
        <w:rPr>
          <w:rFonts w:hint="eastAsia" w:ascii="仿宋_GB2312" w:hAnsi="仿宋_GB2312" w:cs="仿宋_GB2312"/>
          <w:lang w:val="en-US" w:eastAsia="zh-CN"/>
        </w:rPr>
        <w:t>为</w:t>
      </w:r>
      <w:r>
        <w:rPr>
          <w:rFonts w:hint="eastAsia" w:ascii="仿宋_GB2312" w:hAnsi="仿宋_GB2312" w:eastAsia="仿宋_GB2312" w:cs="仿宋_GB2312"/>
          <w:lang w:val="en-US" w:eastAsia="zh-CN"/>
        </w:rPr>
        <w:t>约束，引导边界外建设用地</w:t>
      </w:r>
      <w:r>
        <w:rPr>
          <w:rFonts w:hint="eastAsia" w:ascii="仿宋_GB2312" w:hAnsi="仿宋_GB2312" w:cs="仿宋_GB2312"/>
          <w:lang w:val="en-US" w:eastAsia="zh-CN"/>
        </w:rPr>
        <w:t>向边界内集中</w:t>
      </w:r>
      <w:r>
        <w:rPr>
          <w:rFonts w:hint="eastAsia" w:ascii="仿宋_GB2312" w:hAnsi="仿宋_GB2312" w:eastAsia="仿宋_GB2312" w:cs="仿宋_GB2312"/>
          <w:lang w:val="en-US" w:eastAsia="zh-CN"/>
        </w:rPr>
        <w:t>。建设项目优先利用存量土地，严格落实“增存挂钩”工作机制，引导人口向</w:t>
      </w:r>
      <w:r>
        <w:rPr>
          <w:rFonts w:hint="eastAsia" w:ascii="仿宋_GB2312" w:hAnsi="仿宋_GB2312" w:cs="仿宋_GB2312"/>
          <w:lang w:val="en-US" w:eastAsia="zh-CN"/>
        </w:rPr>
        <w:t>集镇</w:t>
      </w:r>
      <w:r>
        <w:rPr>
          <w:rFonts w:hint="eastAsia" w:ascii="仿宋_GB2312" w:hAnsi="仿宋_GB2312" w:eastAsia="仿宋_GB2312" w:cs="仿宋_GB2312"/>
          <w:lang w:val="en-US" w:eastAsia="zh-CN"/>
        </w:rPr>
        <w:t>集中。优化土地资源配置，促进产业节约集约用地，建立土地储备机制，探索实行差别化用地政策，用地指标优先向基础设施和民生工程倾斜。挖掘潜力，加快实施低效用地清理整治。</w:t>
      </w:r>
    </w:p>
    <w:p w14:paraId="7CCFB38C">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盘活利用闲置土地</w:t>
      </w:r>
    </w:p>
    <w:p w14:paraId="7767FD32">
      <w:pPr>
        <w:pStyle w:val="11"/>
        <w:ind w:firstLine="640"/>
        <w:rPr>
          <w:rFonts w:hint="eastAsia" w:ascii="仿宋_GB2312" w:hAnsi="仿宋_GB2312" w:cs="仿宋_GB2312"/>
          <w:lang w:val="en-US" w:eastAsia="zh-CN"/>
        </w:rPr>
      </w:pPr>
      <w:r>
        <w:rPr>
          <w:rFonts w:hint="eastAsia" w:ascii="楷体_GB2312" w:hAnsi="楷体_GB2312" w:eastAsia="楷体_GB2312" w:cs="楷体_GB2312"/>
          <w:lang w:val="en-US" w:eastAsia="zh-CN"/>
        </w:rPr>
        <w:t>分类盘活闲置用地。</w:t>
      </w:r>
      <w:r>
        <w:rPr>
          <w:rFonts w:hint="eastAsia" w:ascii="仿宋_GB2312" w:hAnsi="仿宋_GB2312" w:eastAsia="仿宋_GB2312" w:cs="仿宋_GB2312"/>
          <w:lang w:val="en-US" w:eastAsia="zh-CN"/>
        </w:rPr>
        <w:t>沙珠玉乡闲置低效用地主要集中于乡政府驻地，重点用于增补配套基础设施、公共服务设施，完善乡集镇服务功能</w:t>
      </w:r>
      <w:r>
        <w:rPr>
          <w:rFonts w:hint="eastAsia" w:ascii="仿宋_GB2312" w:hAnsi="仿宋_GB2312" w:cs="仿宋_GB2312"/>
          <w:lang w:val="en-US" w:eastAsia="zh-CN"/>
        </w:rPr>
        <w:t>。乡村地区闲置用地主要为闲置宅基地，应结合村庄发展需求及土地权属合理进行改造利用。</w:t>
      </w:r>
    </w:p>
    <w:p w14:paraId="4FCDF35F">
      <w:pPr>
        <w:pStyle w:val="11"/>
        <w:ind w:firstLine="640"/>
        <w:rPr>
          <w:rFonts w:hint="default" w:ascii="仿宋_GB2312" w:hAnsi="仿宋_GB2312" w:eastAsia="仿宋_GB2312" w:cs="仿宋_GB2312"/>
          <w:lang w:val="en-US" w:eastAsia="zh-CN"/>
        </w:rPr>
      </w:pPr>
      <w:r>
        <w:rPr>
          <w:rFonts w:hint="eastAsia"/>
          <w:color w:val="000000" w:themeColor="text1"/>
          <w:highlight w:val="none"/>
          <w:lang w:val="en-US" w:eastAsia="zh-CN"/>
          <w14:textFill>
            <w14:solidFill>
              <w14:schemeClr w14:val="tx1"/>
            </w14:solidFill>
          </w14:textFill>
        </w:rPr>
        <w:t>通过</w:t>
      </w:r>
      <w:r>
        <w:rPr>
          <w:rFonts w:hint="eastAsia"/>
          <w:color w:val="000000" w:themeColor="text1"/>
          <w:highlight w:val="none"/>
          <w14:textFill>
            <w14:solidFill>
              <w14:schemeClr w14:val="tx1"/>
            </w14:solidFill>
          </w14:textFill>
        </w:rPr>
        <w:t>完善</w:t>
      </w:r>
      <w:r>
        <w:rPr>
          <w:rFonts w:hint="eastAsia"/>
          <w:color w:val="000000" w:themeColor="text1"/>
          <w:highlight w:val="none"/>
          <w:lang w:val="en-US" w:eastAsia="zh-CN"/>
          <w14:textFill>
            <w14:solidFill>
              <w14:schemeClr w14:val="tx1"/>
            </w14:solidFill>
          </w14:textFill>
        </w:rPr>
        <w:t>乡村</w:t>
      </w:r>
      <w:r>
        <w:rPr>
          <w:rFonts w:hint="eastAsia"/>
          <w:color w:val="000000" w:themeColor="text1"/>
          <w:highlight w:val="none"/>
          <w14:textFill>
            <w14:solidFill>
              <w14:schemeClr w14:val="tx1"/>
            </w14:solidFill>
          </w14:textFill>
        </w:rPr>
        <w:t>空间结构、实施生态修复与功能完善、强</w:t>
      </w:r>
      <w:r>
        <w:rPr>
          <w:rFonts w:hint="eastAsia"/>
          <w:color w:val="000000" w:themeColor="text1"/>
          <w:highlight w:val="none"/>
          <w:lang w:val="en-US" w:eastAsia="zh-CN"/>
          <w14:textFill>
            <w14:solidFill>
              <w14:schemeClr w14:val="tx1"/>
            </w14:solidFill>
          </w14:textFill>
        </w:rPr>
        <w:t>化历史文化保护、加强居民点建设等措施，积极盘活利用闲置土地，合理确定改造利用的目标任务、性质用途、规模布局、时序安排和保障措施等，确保低效用地再开发健康有序推进，推动乡镇全面发展与进步。</w:t>
      </w:r>
    </w:p>
    <w:p w14:paraId="3F1849BD">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稳妥推进城乡建设用地增减挂钩</w:t>
      </w:r>
    </w:p>
    <w:p w14:paraId="6ED11373">
      <w:pPr>
        <w:tabs>
          <w:tab w:val="left" w:pos="353"/>
        </w:tabs>
        <w:spacing w:line="600" w:lineRule="exact"/>
        <w:ind w:firstLine="640" w:firstLineChars="200"/>
        <w:rPr>
          <w:rFonts w:hint="eastAsia" w:ascii="仿宋_GB2312" w:hAnsi="仿宋_GB2312" w:eastAsia="仿宋_GB2312" w:cs="Times New Roman"/>
          <w:sz w:val="32"/>
          <w:szCs w:val="32"/>
        </w:rPr>
      </w:pPr>
      <w:r>
        <w:rPr>
          <w:rFonts w:hint="eastAsia" w:ascii="仿宋_GB2312" w:hAnsi="仿宋_GB2312" w:eastAsia="仿宋_GB2312" w:cs="Times New Roman"/>
          <w:sz w:val="32"/>
          <w:szCs w:val="32"/>
        </w:rPr>
        <w:t>顺应城乡发展规律和演变趋势，因地制宜</w:t>
      </w:r>
      <w:r>
        <w:rPr>
          <w:rFonts w:hint="eastAsia" w:ascii="仿宋_GB2312" w:hAnsi="仿宋_GB2312" w:eastAsia="仿宋_GB2312" w:cs="Times New Roman"/>
          <w:sz w:val="32"/>
          <w:szCs w:val="32"/>
          <w:lang w:eastAsia="zh-CN"/>
        </w:rPr>
        <w:t>、</w:t>
      </w:r>
      <w:r>
        <w:rPr>
          <w:rFonts w:hint="eastAsia" w:ascii="仿宋_GB2312" w:hAnsi="仿宋_GB2312" w:eastAsia="仿宋_GB2312" w:cs="Times New Roman"/>
          <w:sz w:val="32"/>
          <w:szCs w:val="32"/>
        </w:rPr>
        <w:t>统筹规划</w:t>
      </w:r>
      <w:r>
        <w:rPr>
          <w:rFonts w:hint="eastAsia" w:ascii="仿宋_GB2312" w:hAnsi="仿宋_GB2312" w:eastAsia="仿宋_GB2312" w:cs="Times New Roman"/>
          <w:sz w:val="32"/>
          <w:szCs w:val="32"/>
          <w:lang w:eastAsia="zh-CN"/>
        </w:rPr>
        <w:t>，</w:t>
      </w:r>
      <w:r>
        <w:rPr>
          <w:rFonts w:hint="eastAsia" w:ascii="仿宋_GB2312" w:hAnsi="仿宋_GB2312" w:eastAsia="仿宋_GB2312" w:cs="Times New Roman"/>
          <w:sz w:val="32"/>
          <w:szCs w:val="32"/>
        </w:rPr>
        <w:t>完善城乡建设用地增减挂钩制度，充分尊重农民意愿，稳妥有序推进农村低效建设用地整治。整合利用人口流出后腾出的各类土地，增加农业生产空间。</w:t>
      </w:r>
    </w:p>
    <w:p w14:paraId="48980150">
      <w:pPr>
        <w:rPr>
          <w:rFonts w:hint="eastAsia" w:ascii="仿宋_GB2312" w:hAnsi="仿宋_GB2312" w:eastAsia="仿宋_GB2312" w:cs="Times New Roman"/>
          <w:sz w:val="32"/>
          <w:szCs w:val="32"/>
        </w:rPr>
      </w:pPr>
      <w:r>
        <w:rPr>
          <w:rFonts w:hint="eastAsia" w:ascii="仿宋_GB2312" w:hAnsi="仿宋_GB2312" w:eastAsia="仿宋_GB2312" w:cs="Times New Roman"/>
          <w:sz w:val="32"/>
          <w:szCs w:val="32"/>
        </w:rPr>
        <w:br w:type="page"/>
      </w:r>
    </w:p>
    <w:p w14:paraId="75879B56">
      <w:pPr>
        <w:pStyle w:val="5"/>
        <w:keepNext/>
        <w:keepLines/>
        <w:pageBreakBefore w:val="0"/>
        <w:widowControl w:val="0"/>
        <w:numPr>
          <w:ilvl w:val="0"/>
          <w:numId w:val="2"/>
        </w:numPr>
        <w:kinsoku/>
        <w:wordWrap/>
        <w:overflowPunct/>
        <w:topLinePunct w:val="0"/>
        <w:autoSpaceDE/>
        <w:autoSpaceDN/>
        <w:bidi w:val="0"/>
        <w:adjustRightInd/>
        <w:snapToGrid/>
        <w:spacing w:before="313" w:beforeLines="100" w:after="313" w:afterLines="100" w:line="520" w:lineRule="exact"/>
        <w:ind w:left="0" w:leftChars="0" w:firstLine="0" w:firstLineChars="0"/>
        <w:jc w:val="center"/>
        <w:textAlignment w:val="auto"/>
        <w:rPr>
          <w:rFonts w:hint="eastAsia" w:ascii="Times New Roman" w:hAnsi="Times New Roman" w:eastAsia="方正小标宋简体" w:cs="Times New Roman"/>
          <w:b w:val="0"/>
          <w:bCs w:val="0"/>
          <w:sz w:val="36"/>
          <w:szCs w:val="36"/>
        </w:rPr>
      </w:pPr>
      <w:bookmarkStart w:id="65" w:name="_Toc22868"/>
      <w:r>
        <w:rPr>
          <w:rFonts w:hint="eastAsia" w:ascii="Times New Roman" w:hAnsi="Times New Roman" w:eastAsia="方正小标宋简体" w:cs="Times New Roman"/>
          <w:b w:val="0"/>
          <w:bCs w:val="0"/>
          <w:sz w:val="36"/>
          <w:szCs w:val="36"/>
          <w:lang w:val="en-US" w:eastAsia="zh-CN"/>
        </w:rPr>
        <w:t>集镇</w:t>
      </w:r>
      <w:r>
        <w:rPr>
          <w:rFonts w:hint="eastAsia" w:ascii="Times New Roman" w:hAnsi="Times New Roman" w:eastAsia="方正小标宋简体" w:cs="Times New Roman"/>
          <w:b w:val="0"/>
          <w:bCs w:val="0"/>
          <w:sz w:val="36"/>
          <w:szCs w:val="36"/>
        </w:rPr>
        <w:t>规划</w:t>
      </w:r>
      <w:bookmarkEnd w:id="65"/>
    </w:p>
    <w:p w14:paraId="61A55482">
      <w:pPr>
        <w:pStyle w:val="6"/>
        <w:keepNext/>
        <w:keepLines/>
        <w:pageBreakBefore w:val="0"/>
        <w:widowControl w:val="0"/>
        <w:numPr>
          <w:ilvl w:val="1"/>
          <w:numId w:val="10"/>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66" w:name="_Toc13219"/>
      <w:r>
        <w:rPr>
          <w:rFonts w:hint="eastAsia" w:ascii="Arial" w:hAnsi="Arial" w:eastAsia="黑体" w:cs="Times New Roman"/>
          <w:b w:val="0"/>
          <w:lang w:val="zh-CN"/>
        </w:rPr>
        <w:t>空间结构</w:t>
      </w:r>
      <w:bookmarkEnd w:id="66"/>
    </w:p>
    <w:p w14:paraId="0A6ADA80">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规划范围</w:t>
      </w:r>
    </w:p>
    <w:p w14:paraId="7CCCE1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沙珠玉乡政府驻地（即乡集镇）规划范围北至北干渠，南至珠玉村二社、四社边界，东至沙上线（即沙珠玉乡至上卡力岗村公路），西至珠玉岗山前，总面积58.06公顷，其中乡集镇建设用地51.50公顷。</w:t>
      </w:r>
    </w:p>
    <w:p w14:paraId="5A524F04">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空间布局结构</w:t>
      </w:r>
    </w:p>
    <w:p w14:paraId="1666BF39">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楷体_GB2312" w:hAnsi="楷体_GB2312" w:eastAsia="楷体_GB2312" w:cs="楷体_GB2312"/>
          <w:sz w:val="32"/>
          <w:szCs w:val="32"/>
        </w:rPr>
      </w:pPr>
      <w:bookmarkStart w:id="67" w:name="_Hlk148283658"/>
      <w:bookmarkStart w:id="68" w:name="_Hlk148346347"/>
      <w:r>
        <w:rPr>
          <w:rFonts w:hint="eastAsia" w:ascii="楷体_GB2312" w:hAnsi="楷体_GB2312" w:eastAsia="楷体_GB2312" w:cs="楷体_GB2312"/>
          <w:sz w:val="32"/>
          <w:szCs w:val="32"/>
        </w:rPr>
        <w:t>规划形成“一心、两轴、三片区”的</w:t>
      </w:r>
      <w:r>
        <w:rPr>
          <w:rFonts w:hint="eastAsia" w:ascii="楷体_GB2312" w:hAnsi="楷体_GB2312" w:eastAsia="楷体_GB2312" w:cs="楷体_GB2312"/>
          <w:sz w:val="32"/>
          <w:szCs w:val="32"/>
          <w:lang w:val="en-US" w:eastAsia="zh-CN"/>
        </w:rPr>
        <w:t>乡集镇</w:t>
      </w:r>
      <w:r>
        <w:rPr>
          <w:rFonts w:hint="eastAsia" w:ascii="楷体_GB2312" w:hAnsi="楷体_GB2312" w:eastAsia="楷体_GB2312" w:cs="楷体_GB2312"/>
          <w:sz w:val="32"/>
          <w:szCs w:val="32"/>
        </w:rPr>
        <w:t>空间结构。</w:t>
      </w:r>
    </w:p>
    <w:p w14:paraId="3C30AC33">
      <w:pPr>
        <w:tabs>
          <w:tab w:val="left" w:pos="353"/>
        </w:tabs>
        <w:spacing w:line="600" w:lineRule="exact"/>
        <w:ind w:firstLine="640" w:firstLineChars="200"/>
        <w:rPr>
          <w:rFonts w:hint="eastAsia" w:ascii="仿宋_GB2312" w:hAnsi="仿宋_GB2312" w:eastAsia="仿宋_GB2312" w:cs="Times New Roman"/>
          <w:sz w:val="32"/>
          <w:szCs w:val="32"/>
        </w:rPr>
      </w:pPr>
      <w:r>
        <w:rPr>
          <w:rFonts w:hint="eastAsia" w:ascii="仿宋_GB2312" w:hAnsi="仿宋_GB2312" w:eastAsia="仿宋_GB2312" w:cs="Times New Roman"/>
          <w:sz w:val="32"/>
          <w:szCs w:val="32"/>
        </w:rPr>
        <w:t>“一心”即综合服务核心，依托沙珠玉乡政府及相关公共管理与公共服务设施，发挥核心公共服务职能。“两轴”即依托主要道路形成东西向的集镇服务发展轴、南北向的生产生活发展轴。“三片区”</w:t>
      </w:r>
      <w:bookmarkEnd w:id="67"/>
      <w:r>
        <w:rPr>
          <w:rFonts w:hint="eastAsia" w:ascii="仿宋_GB2312" w:hAnsi="仿宋_GB2312" w:eastAsia="仿宋_GB2312" w:cs="Times New Roman"/>
          <w:sz w:val="32"/>
          <w:szCs w:val="32"/>
        </w:rPr>
        <w:t>即综合服务片区、产业发展片区、居住生活片区。</w:t>
      </w:r>
    </w:p>
    <w:bookmarkEnd w:id="68"/>
    <w:p w14:paraId="33B37E1F">
      <w:pPr>
        <w:pStyle w:val="6"/>
        <w:keepNext/>
        <w:keepLines/>
        <w:pageBreakBefore w:val="0"/>
        <w:widowControl w:val="0"/>
        <w:numPr>
          <w:ilvl w:val="1"/>
          <w:numId w:val="10"/>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69" w:name="_Toc19604"/>
      <w:r>
        <w:rPr>
          <w:rFonts w:hint="eastAsia" w:ascii="Arial" w:hAnsi="Arial" w:eastAsia="黑体" w:cs="Times New Roman"/>
          <w:b w:val="0"/>
          <w:lang w:val="zh-CN"/>
        </w:rPr>
        <w:t>功能与用地布局</w:t>
      </w:r>
      <w:bookmarkEnd w:id="69"/>
    </w:p>
    <w:p w14:paraId="2B32FAC1">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落实空间结构，细化用地布局</w:t>
      </w:r>
    </w:p>
    <w:p w14:paraId="37BF7F5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沿乡政府驻地十字道路增加沿街商业用地，营造集镇商贸氛围；省治沙试验站南侧新建有机蚕豆生产基地，壮大集体经济；各村组增加农村社区服务设施、活动广场、公园绿地、文化活动中心等设施，增强街区活力；细化联通村庄内部道路，于</w:t>
      </w:r>
      <w:r>
        <w:rPr>
          <w:rFonts w:hint="eastAsia" w:ascii="仿宋_GB2312" w:hAnsi="仿宋_GB2312" w:eastAsia="仿宋_GB2312" w:cs="仿宋_GB2312"/>
          <w:sz w:val="32"/>
          <w:szCs w:val="32"/>
          <w:lang w:val="en-US" w:eastAsia="zh-CN"/>
        </w:rPr>
        <w:t>珠玉村二社</w:t>
      </w:r>
      <w:r>
        <w:rPr>
          <w:rFonts w:hint="eastAsia" w:ascii="仿宋_GB2312" w:hAnsi="仿宋_GB2312" w:eastAsia="仿宋_GB2312" w:cs="仿宋_GB2312"/>
          <w:sz w:val="32"/>
          <w:szCs w:val="32"/>
        </w:rPr>
        <w:t>空闲地适量增补农村宅基地。</w:t>
      </w:r>
    </w:p>
    <w:p w14:paraId="087C62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规划居住用地面积32.</w:t>
      </w:r>
      <w:r>
        <w:rPr>
          <w:rFonts w:hint="eastAsia" w:ascii="仿宋_GB2312" w:hAnsi="仿宋_GB2312" w:eastAsia="仿宋_GB2312" w:cs="仿宋_GB2312"/>
          <w:sz w:val="32"/>
          <w:szCs w:val="32"/>
          <w:lang w:val="en-US" w:eastAsia="zh-CN"/>
        </w:rPr>
        <w:t>03</w:t>
      </w:r>
      <w:r>
        <w:rPr>
          <w:rFonts w:hint="eastAsia" w:ascii="仿宋_GB2312" w:hAnsi="仿宋_GB2312" w:eastAsia="仿宋_GB2312" w:cs="仿宋_GB2312"/>
          <w:sz w:val="32"/>
          <w:szCs w:val="32"/>
        </w:rPr>
        <w:t>公顷，占</w:t>
      </w:r>
      <w:r>
        <w:rPr>
          <w:rFonts w:hint="eastAsia" w:ascii="仿宋_GB2312" w:hAnsi="仿宋_GB2312" w:eastAsia="仿宋_GB2312" w:cs="仿宋_GB2312"/>
          <w:sz w:val="32"/>
          <w:szCs w:val="32"/>
          <w:lang w:eastAsia="zh-CN"/>
        </w:rPr>
        <w:t>乡集镇</w:t>
      </w:r>
      <w:r>
        <w:rPr>
          <w:rFonts w:hint="eastAsia" w:ascii="仿宋_GB2312" w:hAnsi="仿宋_GB2312" w:eastAsia="仿宋_GB2312" w:cs="仿宋_GB2312"/>
          <w:sz w:val="32"/>
          <w:szCs w:val="32"/>
        </w:rPr>
        <w:t>建设用地</w:t>
      </w:r>
      <w:r>
        <w:rPr>
          <w:rFonts w:hint="eastAsia" w:ascii="仿宋_GB2312" w:hAnsi="仿宋_GB2312" w:eastAsia="仿宋_GB2312" w:cs="仿宋_GB2312"/>
          <w:sz w:val="32"/>
          <w:szCs w:val="32"/>
          <w:lang w:val="en-US" w:eastAsia="zh-CN"/>
        </w:rPr>
        <w:t>62.20</w:t>
      </w:r>
      <w:r>
        <w:rPr>
          <w:rFonts w:hint="eastAsia" w:ascii="仿宋_GB2312" w:hAnsi="仿宋_GB2312" w:eastAsia="仿宋_GB2312" w:cs="仿宋_GB2312"/>
          <w:sz w:val="32"/>
          <w:szCs w:val="32"/>
        </w:rPr>
        <w:t>%；公共管理与公共服务用地面积</w:t>
      </w:r>
      <w:r>
        <w:rPr>
          <w:rFonts w:hint="eastAsia" w:ascii="仿宋_GB2312" w:hAnsi="仿宋_GB2312" w:eastAsia="仿宋_GB2312" w:cs="仿宋_GB2312"/>
          <w:sz w:val="32"/>
          <w:szCs w:val="32"/>
          <w:lang w:val="en-US" w:eastAsia="zh-CN"/>
        </w:rPr>
        <w:t>8.61</w:t>
      </w:r>
      <w:r>
        <w:rPr>
          <w:rFonts w:hint="eastAsia" w:ascii="仿宋_GB2312" w:hAnsi="仿宋_GB2312" w:eastAsia="仿宋_GB2312" w:cs="仿宋_GB2312"/>
          <w:sz w:val="32"/>
          <w:szCs w:val="32"/>
        </w:rPr>
        <w:t>公顷，占</w:t>
      </w:r>
      <w:r>
        <w:rPr>
          <w:rFonts w:hint="eastAsia" w:ascii="仿宋_GB2312" w:hAnsi="仿宋_GB2312" w:eastAsia="仿宋_GB2312" w:cs="仿宋_GB2312"/>
          <w:sz w:val="32"/>
          <w:szCs w:val="32"/>
          <w:lang w:eastAsia="zh-CN"/>
        </w:rPr>
        <w:t>乡集镇</w:t>
      </w:r>
      <w:r>
        <w:rPr>
          <w:rFonts w:hint="eastAsia" w:ascii="仿宋_GB2312" w:hAnsi="仿宋_GB2312" w:eastAsia="仿宋_GB2312" w:cs="仿宋_GB2312"/>
          <w:sz w:val="32"/>
          <w:szCs w:val="32"/>
        </w:rPr>
        <w:t>建设用地1</w:t>
      </w:r>
      <w:r>
        <w:rPr>
          <w:rFonts w:hint="eastAsia" w:ascii="仿宋_GB2312" w:hAnsi="仿宋_GB2312" w:eastAsia="仿宋_GB2312" w:cs="仿宋_GB2312"/>
          <w:sz w:val="32"/>
          <w:szCs w:val="32"/>
          <w:lang w:val="en-US" w:eastAsia="zh-CN"/>
        </w:rPr>
        <w:t>6.73</w:t>
      </w:r>
      <w:r>
        <w:rPr>
          <w:rFonts w:hint="eastAsia" w:ascii="仿宋_GB2312" w:hAnsi="仿宋_GB2312" w:eastAsia="仿宋_GB2312" w:cs="仿宋_GB2312"/>
          <w:sz w:val="32"/>
          <w:szCs w:val="32"/>
        </w:rPr>
        <w:t>%；规划商业服务业用地面积0.85公顷，占</w:t>
      </w:r>
      <w:r>
        <w:rPr>
          <w:rFonts w:hint="eastAsia" w:ascii="仿宋_GB2312" w:hAnsi="仿宋_GB2312" w:eastAsia="仿宋_GB2312" w:cs="仿宋_GB2312"/>
          <w:sz w:val="32"/>
          <w:szCs w:val="32"/>
          <w:lang w:eastAsia="zh-CN"/>
        </w:rPr>
        <w:t>乡集镇</w:t>
      </w:r>
      <w:r>
        <w:rPr>
          <w:rFonts w:hint="eastAsia" w:ascii="仿宋_GB2312" w:hAnsi="仿宋_GB2312" w:eastAsia="仿宋_GB2312" w:cs="仿宋_GB2312"/>
          <w:sz w:val="32"/>
          <w:szCs w:val="32"/>
        </w:rPr>
        <w:t>建设用地1.</w:t>
      </w:r>
      <w:r>
        <w:rPr>
          <w:rFonts w:hint="eastAsia" w:ascii="仿宋_GB2312" w:hAnsi="仿宋_GB2312" w:eastAsia="仿宋_GB2312" w:cs="仿宋_GB2312"/>
          <w:sz w:val="32"/>
          <w:szCs w:val="32"/>
          <w:lang w:val="en-US" w:eastAsia="zh-CN"/>
        </w:rPr>
        <w:t>64</w:t>
      </w:r>
      <w:r>
        <w:rPr>
          <w:rFonts w:hint="eastAsia" w:ascii="仿宋_GB2312" w:hAnsi="仿宋_GB2312" w:eastAsia="仿宋_GB2312" w:cs="仿宋_GB2312"/>
          <w:sz w:val="32"/>
          <w:szCs w:val="32"/>
        </w:rPr>
        <w:t>%；规划工业用地面积0.</w:t>
      </w:r>
      <w:r>
        <w:rPr>
          <w:rFonts w:hint="eastAsia" w:ascii="仿宋_GB2312" w:hAnsi="仿宋_GB2312" w:eastAsia="仿宋_GB2312" w:cs="仿宋_GB2312"/>
          <w:sz w:val="32"/>
          <w:szCs w:val="32"/>
          <w:lang w:val="en-US" w:eastAsia="zh-CN"/>
        </w:rPr>
        <w:t>48</w:t>
      </w:r>
      <w:r>
        <w:rPr>
          <w:rFonts w:hint="eastAsia" w:ascii="仿宋_GB2312" w:hAnsi="仿宋_GB2312" w:eastAsia="仿宋_GB2312" w:cs="仿宋_GB2312"/>
          <w:sz w:val="32"/>
          <w:szCs w:val="32"/>
        </w:rPr>
        <w:t>公顷，占</w:t>
      </w:r>
      <w:r>
        <w:rPr>
          <w:rFonts w:hint="eastAsia" w:ascii="仿宋_GB2312" w:hAnsi="仿宋_GB2312" w:eastAsia="仿宋_GB2312" w:cs="仿宋_GB2312"/>
          <w:sz w:val="32"/>
          <w:szCs w:val="32"/>
          <w:lang w:eastAsia="zh-CN"/>
        </w:rPr>
        <w:t>乡集镇</w:t>
      </w:r>
      <w:r>
        <w:rPr>
          <w:rFonts w:hint="eastAsia" w:ascii="仿宋_GB2312" w:hAnsi="仿宋_GB2312" w:eastAsia="仿宋_GB2312" w:cs="仿宋_GB2312"/>
          <w:sz w:val="32"/>
          <w:szCs w:val="32"/>
        </w:rPr>
        <w:t>建设用地</w:t>
      </w:r>
      <w:r>
        <w:rPr>
          <w:rFonts w:hint="eastAsia" w:ascii="仿宋_GB2312" w:hAnsi="仿宋_GB2312" w:eastAsia="仿宋_GB2312" w:cs="仿宋_GB2312"/>
          <w:sz w:val="32"/>
          <w:szCs w:val="32"/>
          <w:lang w:val="en-US" w:eastAsia="zh-CN"/>
        </w:rPr>
        <w:t>0.93</w:t>
      </w:r>
      <w:r>
        <w:rPr>
          <w:rFonts w:hint="eastAsia" w:ascii="仿宋_GB2312" w:hAnsi="仿宋_GB2312" w:eastAsia="仿宋_GB2312" w:cs="仿宋_GB2312"/>
          <w:sz w:val="32"/>
          <w:szCs w:val="32"/>
        </w:rPr>
        <w:t>%；规划道路与交通设施用地面积7.</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公顷，占</w:t>
      </w:r>
      <w:r>
        <w:rPr>
          <w:rFonts w:hint="eastAsia" w:ascii="仿宋_GB2312" w:hAnsi="仿宋_GB2312" w:eastAsia="仿宋_GB2312" w:cs="仿宋_GB2312"/>
          <w:sz w:val="32"/>
          <w:szCs w:val="32"/>
          <w:lang w:eastAsia="zh-CN"/>
        </w:rPr>
        <w:t>乡集镇</w:t>
      </w:r>
      <w:r>
        <w:rPr>
          <w:rFonts w:hint="eastAsia" w:ascii="仿宋_GB2312" w:hAnsi="仿宋_GB2312" w:eastAsia="仿宋_GB2312" w:cs="仿宋_GB2312"/>
          <w:sz w:val="32"/>
          <w:szCs w:val="32"/>
        </w:rPr>
        <w:t>建设用地1</w:t>
      </w:r>
      <w:r>
        <w:rPr>
          <w:rFonts w:hint="eastAsia" w:ascii="仿宋_GB2312" w:hAnsi="仿宋_GB2312" w:eastAsia="仿宋_GB2312" w:cs="仿宋_GB2312"/>
          <w:sz w:val="32"/>
          <w:szCs w:val="32"/>
          <w:lang w:val="en-US" w:eastAsia="zh-CN"/>
        </w:rPr>
        <w:t>4.00</w:t>
      </w:r>
      <w:r>
        <w:rPr>
          <w:rFonts w:hint="eastAsia" w:ascii="仿宋_GB2312" w:hAnsi="仿宋_GB2312" w:eastAsia="仿宋_GB2312" w:cs="仿宋_GB2312"/>
          <w:sz w:val="32"/>
          <w:szCs w:val="32"/>
        </w:rPr>
        <w:t>%；规划公用设施用地面积1.</w:t>
      </w:r>
      <w:r>
        <w:rPr>
          <w:rFonts w:hint="eastAsia" w:ascii="仿宋_GB2312" w:hAnsi="仿宋_GB2312" w:eastAsia="仿宋_GB2312" w:cs="仿宋_GB2312"/>
          <w:sz w:val="32"/>
          <w:szCs w:val="32"/>
          <w:lang w:val="en-US" w:eastAsia="zh-CN"/>
        </w:rPr>
        <w:t>47</w:t>
      </w:r>
      <w:r>
        <w:rPr>
          <w:rFonts w:hint="eastAsia" w:ascii="仿宋_GB2312" w:hAnsi="仿宋_GB2312" w:eastAsia="仿宋_GB2312" w:cs="仿宋_GB2312"/>
          <w:sz w:val="32"/>
          <w:szCs w:val="32"/>
        </w:rPr>
        <w:t>公顷，占</w:t>
      </w:r>
      <w:r>
        <w:rPr>
          <w:rFonts w:hint="eastAsia" w:ascii="仿宋_GB2312" w:hAnsi="仿宋_GB2312" w:eastAsia="仿宋_GB2312" w:cs="仿宋_GB2312"/>
          <w:sz w:val="32"/>
          <w:szCs w:val="32"/>
          <w:lang w:eastAsia="zh-CN"/>
        </w:rPr>
        <w:t>乡集镇</w:t>
      </w:r>
      <w:r>
        <w:rPr>
          <w:rFonts w:hint="eastAsia" w:ascii="仿宋_GB2312" w:hAnsi="仿宋_GB2312" w:eastAsia="仿宋_GB2312" w:cs="仿宋_GB2312"/>
          <w:sz w:val="32"/>
          <w:szCs w:val="32"/>
        </w:rPr>
        <w:t>建设用地2.</w:t>
      </w:r>
      <w:r>
        <w:rPr>
          <w:rFonts w:hint="eastAsia" w:ascii="仿宋_GB2312" w:hAnsi="仿宋_GB2312" w:eastAsia="仿宋_GB2312" w:cs="仿宋_GB2312"/>
          <w:sz w:val="32"/>
          <w:szCs w:val="32"/>
          <w:lang w:val="en-US" w:eastAsia="zh-CN"/>
        </w:rPr>
        <w:t>85</w:t>
      </w:r>
      <w:r>
        <w:rPr>
          <w:rFonts w:hint="eastAsia" w:ascii="仿宋_GB2312" w:hAnsi="仿宋_GB2312" w:eastAsia="仿宋_GB2312" w:cs="仿宋_GB2312"/>
          <w:sz w:val="32"/>
          <w:szCs w:val="32"/>
        </w:rPr>
        <w:t>%；规划绿地与开敞空间用地面积0.60公顷，占</w:t>
      </w:r>
      <w:r>
        <w:rPr>
          <w:rFonts w:hint="eastAsia" w:ascii="仿宋_GB2312" w:hAnsi="仿宋_GB2312" w:eastAsia="仿宋_GB2312" w:cs="仿宋_GB2312"/>
          <w:sz w:val="32"/>
          <w:szCs w:val="32"/>
          <w:lang w:eastAsia="zh-CN"/>
        </w:rPr>
        <w:t>乡集镇</w:t>
      </w:r>
      <w:r>
        <w:rPr>
          <w:rFonts w:hint="eastAsia" w:ascii="仿宋_GB2312" w:hAnsi="仿宋_GB2312" w:eastAsia="仿宋_GB2312" w:cs="仿宋_GB2312"/>
          <w:sz w:val="32"/>
          <w:szCs w:val="32"/>
        </w:rPr>
        <w:t>建设用地1.</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规划</w:t>
      </w:r>
      <w:r>
        <w:rPr>
          <w:rFonts w:hint="eastAsia" w:ascii="仿宋_GB2312" w:hAnsi="仿宋_GB2312" w:eastAsia="仿宋_GB2312" w:cs="仿宋_GB2312"/>
          <w:sz w:val="32"/>
          <w:szCs w:val="32"/>
          <w:lang w:val="en-US" w:eastAsia="zh-CN"/>
        </w:rPr>
        <w:t>留白</w:t>
      </w:r>
      <w:r>
        <w:rPr>
          <w:rFonts w:hint="eastAsia" w:ascii="仿宋_GB2312" w:hAnsi="仿宋_GB2312" w:eastAsia="仿宋_GB2312" w:cs="仿宋_GB2312"/>
          <w:sz w:val="32"/>
          <w:szCs w:val="32"/>
        </w:rPr>
        <w:t>用地面积0.</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公顷，占</w:t>
      </w:r>
      <w:r>
        <w:rPr>
          <w:rFonts w:hint="eastAsia" w:ascii="仿宋_GB2312" w:hAnsi="仿宋_GB2312" w:eastAsia="仿宋_GB2312" w:cs="仿宋_GB2312"/>
          <w:sz w:val="32"/>
          <w:szCs w:val="32"/>
          <w:lang w:eastAsia="zh-CN"/>
        </w:rPr>
        <w:t>乡集镇</w:t>
      </w:r>
      <w:r>
        <w:rPr>
          <w:rFonts w:hint="eastAsia" w:ascii="仿宋_GB2312" w:hAnsi="仿宋_GB2312" w:eastAsia="仿宋_GB2312" w:cs="仿宋_GB2312"/>
          <w:sz w:val="32"/>
          <w:szCs w:val="32"/>
        </w:rPr>
        <w:t>建设用地</w:t>
      </w:r>
      <w:r>
        <w:rPr>
          <w:rFonts w:hint="eastAsia" w:ascii="仿宋_GB2312" w:hAnsi="仿宋_GB2312" w:eastAsia="仿宋_GB2312" w:cs="仿宋_GB2312"/>
          <w:sz w:val="32"/>
          <w:szCs w:val="32"/>
          <w:lang w:val="en-US" w:eastAsia="zh-CN"/>
        </w:rPr>
        <w:t>0.48</w:t>
      </w:r>
      <w:r>
        <w:rPr>
          <w:rFonts w:hint="eastAsia" w:ascii="仿宋_GB2312" w:hAnsi="仿宋_GB2312" w:eastAsia="仿宋_GB2312" w:cs="仿宋_GB2312"/>
          <w:sz w:val="32"/>
          <w:szCs w:val="32"/>
        </w:rPr>
        <w:t>%。详见附表10。</w:t>
      </w:r>
    </w:p>
    <w:p w14:paraId="6D68D2BC">
      <w:pPr>
        <w:pStyle w:val="6"/>
        <w:keepNext/>
        <w:keepLines/>
        <w:pageBreakBefore w:val="0"/>
        <w:widowControl w:val="0"/>
        <w:numPr>
          <w:ilvl w:val="1"/>
          <w:numId w:val="10"/>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70" w:name="_Toc5909"/>
      <w:r>
        <w:rPr>
          <w:rFonts w:hint="eastAsia" w:ascii="Arial" w:hAnsi="Arial" w:eastAsia="黑体" w:cs="Times New Roman"/>
          <w:b w:val="0"/>
          <w:lang w:val="zh-CN"/>
        </w:rPr>
        <w:t>居住与住房保障</w:t>
      </w:r>
      <w:bookmarkEnd w:id="70"/>
    </w:p>
    <w:p w14:paraId="3C104A4E">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住房保障</w:t>
      </w:r>
    </w:p>
    <w:p w14:paraId="007DA9C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规划提升乡镇能级，吸引人口、用地、产业、资金等各类要素向</w:t>
      </w:r>
      <w:r>
        <w:rPr>
          <w:rFonts w:hint="eastAsia" w:ascii="仿宋_GB2312" w:hAnsi="仿宋_GB2312" w:eastAsia="仿宋_GB2312" w:cs="仿宋_GB2312"/>
          <w:sz w:val="32"/>
          <w:szCs w:val="32"/>
          <w:lang w:eastAsia="zh-CN"/>
        </w:rPr>
        <w:t>乡政府驻地</w:t>
      </w:r>
      <w:r>
        <w:rPr>
          <w:rFonts w:hint="eastAsia" w:ascii="仿宋_GB2312" w:hAnsi="仿宋_GB2312" w:eastAsia="仿宋_GB2312" w:cs="仿宋_GB2312"/>
          <w:sz w:val="32"/>
          <w:szCs w:val="32"/>
        </w:rPr>
        <w:t>集聚。注重改善居住功能和品质，满足配套完善、服务到位、环境改善要求。</w:t>
      </w:r>
    </w:p>
    <w:p w14:paraId="52057F9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部分农村宅基地实际功能为机关团体、农村社区服务设施用地、村庄内部道路或空闲地，规划进行用地性质调整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增加商业和公共服务用地，并于</w:t>
      </w:r>
      <w:r>
        <w:rPr>
          <w:rFonts w:hint="eastAsia" w:ascii="仿宋_GB2312" w:hAnsi="仿宋_GB2312" w:eastAsia="仿宋_GB2312" w:cs="仿宋_GB2312"/>
          <w:sz w:val="32"/>
          <w:szCs w:val="32"/>
          <w:lang w:val="en-US" w:eastAsia="zh-CN"/>
        </w:rPr>
        <w:t>珠玉村二社</w:t>
      </w:r>
      <w:r>
        <w:rPr>
          <w:rFonts w:hint="eastAsia" w:ascii="仿宋_GB2312" w:hAnsi="仿宋_GB2312" w:eastAsia="仿宋_GB2312" w:cs="仿宋_GB2312"/>
          <w:sz w:val="32"/>
          <w:szCs w:val="32"/>
        </w:rPr>
        <w:t>空闲地适量增补农村宅基地，居住用地保持总量变化不大，实际宅基地面积增长。规划期末居住用地面积3</w:t>
      </w:r>
      <w:r>
        <w:rPr>
          <w:rFonts w:hint="eastAsia" w:ascii="仿宋_GB2312" w:hAnsi="仿宋_GB2312" w:eastAsia="仿宋_GB2312" w:cs="仿宋_GB2312"/>
          <w:sz w:val="32"/>
          <w:szCs w:val="32"/>
          <w:lang w:val="en-US" w:eastAsia="zh-CN"/>
        </w:rPr>
        <w:t>2.03</w:t>
      </w:r>
      <w:r>
        <w:rPr>
          <w:rFonts w:hint="eastAsia" w:ascii="仿宋_GB2312" w:hAnsi="仿宋_GB2312" w:eastAsia="仿宋_GB2312" w:cs="仿宋_GB2312"/>
          <w:sz w:val="32"/>
          <w:szCs w:val="32"/>
        </w:rPr>
        <w:t>公顷，其中农村宅基地面积30.</w:t>
      </w:r>
      <w:r>
        <w:rPr>
          <w:rFonts w:hint="eastAsia" w:ascii="仿宋_GB2312" w:hAnsi="仿宋_GB2312" w:eastAsia="仿宋_GB2312" w:cs="仿宋_GB2312"/>
          <w:sz w:val="32"/>
          <w:szCs w:val="32"/>
          <w:lang w:val="en-US" w:eastAsia="zh-CN"/>
        </w:rPr>
        <w:t>06</w:t>
      </w:r>
      <w:r>
        <w:rPr>
          <w:rFonts w:hint="eastAsia" w:ascii="仿宋_GB2312" w:hAnsi="仿宋_GB2312" w:eastAsia="仿宋_GB2312" w:cs="仿宋_GB2312"/>
          <w:sz w:val="32"/>
          <w:szCs w:val="32"/>
        </w:rPr>
        <w:t>公顷。</w:t>
      </w:r>
    </w:p>
    <w:p w14:paraId="280240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农村住宅应严格执行“一户一宅”政策，新增宅基地原则上在规划确定的宅基地范围内相对集中布局。</w:t>
      </w:r>
      <w:r>
        <w:rPr>
          <w:rFonts w:hint="eastAsia" w:ascii="仿宋_GB2312" w:hAnsi="仿宋_GB2312" w:eastAsia="仿宋_GB2312" w:cs="仿宋_GB2312"/>
          <w:sz w:val="32"/>
          <w:szCs w:val="32"/>
          <w:lang w:val="en-US" w:eastAsia="zh-CN"/>
        </w:rPr>
        <w:t>规划新增宅基地每户面积控制在350平方米以内。</w:t>
      </w:r>
    </w:p>
    <w:p w14:paraId="1B470936">
      <w:pPr>
        <w:pStyle w:val="6"/>
        <w:keepNext/>
        <w:keepLines/>
        <w:pageBreakBefore w:val="0"/>
        <w:widowControl w:val="0"/>
        <w:numPr>
          <w:ilvl w:val="1"/>
          <w:numId w:val="10"/>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71" w:name="_Toc4293"/>
      <w:r>
        <w:rPr>
          <w:rFonts w:hint="eastAsia" w:ascii="Arial" w:hAnsi="Arial" w:eastAsia="黑体" w:cs="Times New Roman"/>
          <w:b w:val="0"/>
          <w:lang w:val="zh-CN"/>
        </w:rPr>
        <w:t>公共服务设施布局</w:t>
      </w:r>
      <w:bookmarkEnd w:id="71"/>
    </w:p>
    <w:p w14:paraId="05618550">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72" w:name="_Hlk148544565"/>
      <w:r>
        <w:rPr>
          <w:rFonts w:hint="eastAsia" w:ascii="楷体_GB2312" w:hAnsi="Times New Roman" w:eastAsia="楷体_GB2312" w:cs="Times New Roman"/>
          <w:bCs/>
          <w:sz w:val="32"/>
          <w:szCs w:val="32"/>
          <w:lang w:val="en-US" w:eastAsia="zh-CN"/>
        </w:rPr>
        <w:t>公共管理与公共服务用地布局</w:t>
      </w:r>
    </w:p>
    <w:p w14:paraId="544FFEA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规划期末，沙珠玉</w:t>
      </w:r>
      <w:r>
        <w:rPr>
          <w:rFonts w:hint="eastAsia" w:ascii="仿宋_GB2312" w:hAnsi="仿宋_GB2312" w:eastAsia="仿宋_GB2312" w:cs="仿宋_GB2312"/>
          <w:sz w:val="32"/>
          <w:szCs w:val="32"/>
          <w:lang w:val="en-US" w:eastAsia="zh-CN"/>
        </w:rPr>
        <w:t>乡集镇</w:t>
      </w:r>
      <w:r>
        <w:rPr>
          <w:rFonts w:hint="eastAsia" w:ascii="仿宋_GB2312" w:hAnsi="仿宋_GB2312" w:eastAsia="仿宋_GB2312" w:cs="仿宋_GB2312"/>
          <w:sz w:val="32"/>
          <w:szCs w:val="32"/>
        </w:rPr>
        <w:t>公共管理与公共服务用地</w:t>
      </w:r>
      <w:r>
        <w:rPr>
          <w:rFonts w:hint="eastAsia" w:ascii="仿宋_GB2312" w:hAnsi="仿宋_GB2312" w:eastAsia="仿宋_GB2312" w:cs="仿宋_GB2312"/>
          <w:sz w:val="32"/>
          <w:szCs w:val="32"/>
          <w:lang w:val="en-US" w:eastAsia="zh-CN"/>
        </w:rPr>
        <w:t>共</w:t>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61</w:t>
      </w:r>
      <w:r>
        <w:rPr>
          <w:rFonts w:hint="eastAsia" w:ascii="仿宋_GB2312" w:hAnsi="仿宋_GB2312" w:eastAsia="仿宋_GB2312" w:cs="仿宋_GB2312"/>
          <w:sz w:val="32"/>
          <w:szCs w:val="32"/>
        </w:rPr>
        <w:t>公顷，占</w:t>
      </w:r>
      <w:r>
        <w:rPr>
          <w:rFonts w:hint="eastAsia" w:ascii="仿宋_GB2312" w:hAnsi="仿宋_GB2312" w:eastAsia="仿宋_GB2312" w:cs="仿宋_GB2312"/>
          <w:sz w:val="32"/>
          <w:szCs w:val="32"/>
          <w:lang w:val="en-US" w:eastAsia="zh-CN"/>
        </w:rPr>
        <w:t>乡集镇</w:t>
      </w:r>
      <w:r>
        <w:rPr>
          <w:rFonts w:hint="eastAsia" w:ascii="仿宋_GB2312" w:hAnsi="仿宋_GB2312" w:eastAsia="仿宋_GB2312" w:cs="仿宋_GB2312"/>
          <w:sz w:val="32"/>
          <w:szCs w:val="32"/>
        </w:rPr>
        <w:t>建设用地的16.</w:t>
      </w:r>
      <w:r>
        <w:rPr>
          <w:rFonts w:hint="eastAsia" w:ascii="仿宋_GB2312" w:hAnsi="仿宋_GB2312" w:eastAsia="仿宋_GB2312" w:cs="仿宋_GB2312"/>
          <w:sz w:val="32"/>
          <w:szCs w:val="32"/>
          <w:lang w:val="en-US" w:eastAsia="zh-CN"/>
        </w:rPr>
        <w:t>73</w:t>
      </w:r>
      <w:r>
        <w:rPr>
          <w:rFonts w:hint="eastAsia" w:ascii="仿宋_GB2312" w:hAnsi="仿宋_GB2312" w:eastAsia="仿宋_GB2312" w:cs="仿宋_GB2312"/>
          <w:sz w:val="32"/>
          <w:szCs w:val="32"/>
        </w:rPr>
        <w:t>%，主要集中布局于乡政府附近。</w:t>
      </w:r>
      <w:bookmarkEnd w:id="72"/>
    </w:p>
    <w:p w14:paraId="3E51D7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机关团体用地。</w:t>
      </w:r>
      <w:r>
        <w:rPr>
          <w:rFonts w:hint="eastAsia" w:ascii="仿宋_GB2312" w:hAnsi="仿宋_GB2312" w:eastAsia="仿宋_GB2312" w:cs="仿宋_GB2312"/>
          <w:sz w:val="32"/>
          <w:szCs w:val="32"/>
          <w:lang w:val="en-US" w:eastAsia="zh-CN"/>
        </w:rPr>
        <w:t>规划机关团体</w:t>
      </w:r>
      <w:r>
        <w:rPr>
          <w:rFonts w:hint="eastAsia" w:ascii="仿宋_GB2312" w:hAnsi="仿宋_GB2312" w:eastAsia="仿宋_GB2312"/>
          <w:sz w:val="32"/>
          <w:szCs w:val="32"/>
          <w:lang w:val="en-US" w:eastAsia="zh-CN"/>
        </w:rPr>
        <w:t>用地面积3.45公顷，占</w:t>
      </w:r>
      <w:r>
        <w:rPr>
          <w:rFonts w:hint="eastAsia" w:ascii="仿宋_GB2312" w:hAnsi="仿宋_GB2312" w:eastAsia="仿宋_GB2312" w:cs="仿宋_GB2312"/>
          <w:sz w:val="32"/>
          <w:szCs w:val="32"/>
          <w:lang w:eastAsia="zh-CN"/>
        </w:rPr>
        <w:t>乡集镇</w:t>
      </w:r>
      <w:r>
        <w:rPr>
          <w:rFonts w:hint="eastAsia" w:ascii="仿宋_GB2312" w:hAnsi="仿宋_GB2312" w:eastAsia="仿宋_GB2312" w:cs="仿宋_GB2312"/>
          <w:sz w:val="32"/>
          <w:szCs w:val="32"/>
        </w:rPr>
        <w:t>建设用地</w:t>
      </w:r>
      <w:r>
        <w:rPr>
          <w:rFonts w:hint="eastAsia" w:ascii="仿宋_GB2312" w:hAnsi="仿宋_GB2312" w:eastAsia="仿宋_GB2312"/>
          <w:sz w:val="32"/>
          <w:szCs w:val="32"/>
          <w:lang w:val="en-US" w:eastAsia="zh-CN"/>
        </w:rPr>
        <w:t>6.69%。包括乡政府大院、派出所、水管所、</w:t>
      </w:r>
      <w:r>
        <w:rPr>
          <w:rFonts w:hint="eastAsia" w:ascii="仿宋_GB2312" w:hAnsi="仿宋_GB2312" w:eastAsia="仿宋_GB2312" w:cs="仿宋_GB2312"/>
          <w:sz w:val="32"/>
          <w:szCs w:val="32"/>
          <w:lang w:val="en-US" w:eastAsia="zh-CN"/>
        </w:rPr>
        <w:t>青海省治沙试验站、珠玉村村委会等。规划对水管所、派出所进行提标改造。</w:t>
      </w:r>
    </w:p>
    <w:p w14:paraId="00282FB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文化用地。</w:t>
      </w:r>
      <w:r>
        <w:rPr>
          <w:rFonts w:hint="eastAsia" w:ascii="仿宋_GB2312" w:hAnsi="仿宋_GB2312" w:eastAsia="仿宋_GB2312" w:cs="仿宋_GB2312"/>
          <w:sz w:val="32"/>
          <w:szCs w:val="32"/>
        </w:rPr>
        <w:t>规划文化用地</w:t>
      </w:r>
      <w:r>
        <w:rPr>
          <w:rFonts w:hint="eastAsia" w:ascii="仿宋_GB2312" w:hAnsi="仿宋_GB2312" w:eastAsia="仿宋_GB2312" w:cs="仿宋_GB2312"/>
          <w:sz w:val="32"/>
          <w:szCs w:val="32"/>
          <w:lang w:val="en-US" w:eastAsia="zh-CN"/>
        </w:rPr>
        <w:t>0.58</w:t>
      </w:r>
      <w:r>
        <w:rPr>
          <w:rFonts w:hint="eastAsia" w:ascii="仿宋_GB2312" w:hAnsi="仿宋_GB2312" w:eastAsia="仿宋_GB2312" w:cs="仿宋_GB2312"/>
          <w:sz w:val="32"/>
          <w:szCs w:val="32"/>
        </w:rPr>
        <w:t>公顷</w:t>
      </w:r>
      <w:r>
        <w:rPr>
          <w:rFonts w:hint="eastAsia" w:ascii="仿宋_GB2312" w:hAnsi="仿宋_GB2312" w:eastAsia="仿宋_GB2312" w:cs="仿宋_GB2312"/>
          <w:sz w:val="32"/>
          <w:szCs w:val="32"/>
          <w:lang w:eastAsia="zh-CN"/>
        </w:rPr>
        <w:t>，</w:t>
      </w:r>
      <w:r>
        <w:rPr>
          <w:rFonts w:hint="eastAsia" w:ascii="仿宋_GB2312" w:hAnsi="仿宋_GB2312" w:eastAsia="仿宋_GB2312"/>
          <w:sz w:val="32"/>
          <w:szCs w:val="32"/>
          <w:lang w:val="en-US" w:eastAsia="zh-CN"/>
        </w:rPr>
        <w:t>占</w:t>
      </w:r>
      <w:r>
        <w:rPr>
          <w:rFonts w:hint="eastAsia" w:ascii="仿宋_GB2312" w:hAnsi="仿宋_GB2312" w:eastAsia="仿宋_GB2312" w:cs="仿宋_GB2312"/>
          <w:sz w:val="32"/>
          <w:szCs w:val="32"/>
          <w:lang w:eastAsia="zh-CN"/>
        </w:rPr>
        <w:t>乡集镇</w:t>
      </w:r>
      <w:r>
        <w:rPr>
          <w:rFonts w:hint="eastAsia" w:ascii="仿宋_GB2312" w:hAnsi="仿宋_GB2312" w:eastAsia="仿宋_GB2312" w:cs="仿宋_GB2312"/>
          <w:sz w:val="32"/>
          <w:szCs w:val="32"/>
        </w:rPr>
        <w:t>建设用地</w:t>
      </w:r>
      <w:r>
        <w:rPr>
          <w:rFonts w:hint="eastAsia" w:ascii="仿宋_GB2312" w:hAnsi="仿宋_GB2312" w:eastAsia="仿宋_GB2312"/>
          <w:sz w:val="32"/>
          <w:szCs w:val="32"/>
          <w:lang w:val="en-US" w:eastAsia="zh-CN"/>
        </w:rPr>
        <w:t>1.12%。</w:t>
      </w:r>
      <w:r>
        <w:rPr>
          <w:rFonts w:hint="eastAsia" w:ascii="仿宋_GB2312" w:hAnsi="仿宋_GB2312" w:eastAsia="仿宋_GB2312" w:cs="仿宋_GB2312"/>
          <w:sz w:val="32"/>
          <w:szCs w:val="32"/>
          <w:lang w:val="en-US" w:eastAsia="zh-CN"/>
        </w:rPr>
        <w:t>其中图书与展览用地占地面积0.44公顷，包括现状治沙展览馆及规划新建防沙治沙科普馆；文化活动用地0.14公顷，规划于恰藏路南段新增一处村级文化活动站</w:t>
      </w:r>
      <w:r>
        <w:rPr>
          <w:rFonts w:hint="eastAsia" w:ascii="仿宋_GB2312" w:hAnsi="仿宋_GB2312" w:eastAsia="仿宋_GB2312" w:cs="仿宋_GB2312"/>
          <w:sz w:val="32"/>
          <w:szCs w:val="32"/>
        </w:rPr>
        <w:t>。</w:t>
      </w:r>
    </w:p>
    <w:p w14:paraId="5E71E24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教育用地。</w:t>
      </w:r>
      <w:r>
        <w:rPr>
          <w:rFonts w:hint="eastAsia" w:ascii="仿宋_GB2312" w:hAnsi="仿宋_GB2312" w:eastAsia="仿宋_GB2312" w:cs="仿宋_GB2312"/>
          <w:sz w:val="32"/>
          <w:szCs w:val="32"/>
          <w:lang w:val="en-US" w:eastAsia="zh-CN"/>
        </w:rPr>
        <w:t>规划教育用地面积3.73公顷，占乡集镇建设用地6.76%。规划保留现状小学及幼儿园，对其配套设施进行完善，整体建筑外立面进行整治，进行提标改造。</w:t>
      </w:r>
    </w:p>
    <w:p w14:paraId="5E972A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sz w:val="32"/>
          <w:szCs w:val="32"/>
          <w:lang w:val="en-US" w:eastAsia="zh-CN"/>
        </w:rPr>
      </w:pPr>
      <w:r>
        <w:rPr>
          <w:rFonts w:hint="eastAsia" w:ascii="楷体_GB2312" w:hAnsi="楷体_GB2312" w:eastAsia="楷体_GB2312" w:cs="楷体_GB2312"/>
          <w:sz w:val="32"/>
          <w:szCs w:val="32"/>
          <w:lang w:val="en-US" w:eastAsia="zh-CN"/>
        </w:rPr>
        <w:t>体育用地。</w:t>
      </w:r>
      <w:r>
        <w:rPr>
          <w:rFonts w:hint="eastAsia" w:ascii="仿宋_GB2312" w:hAnsi="仿宋_GB2312" w:eastAsia="仿宋_GB2312"/>
          <w:sz w:val="32"/>
          <w:szCs w:val="32"/>
          <w:lang w:val="en-US" w:eastAsia="zh-CN"/>
        </w:rPr>
        <w:t>规划体育用地0.63公顷，占乡集镇建设用地1.23%。</w:t>
      </w:r>
      <w:r>
        <w:rPr>
          <w:rFonts w:hint="eastAsia" w:ascii="仿宋_GB2312" w:hAnsi="仿宋_GB2312" w:eastAsia="仿宋_GB2312" w:cs="仿宋_GB2312"/>
          <w:sz w:val="32"/>
          <w:szCs w:val="32"/>
          <w:lang w:val="en-US" w:eastAsia="zh-CN"/>
        </w:rPr>
        <w:t>位于乡政府南侧，规划保持规模不变。</w:t>
      </w:r>
    </w:p>
    <w:p w14:paraId="5EC95161">
      <w:pPr>
        <w:ind w:firstLine="560"/>
        <w:rPr>
          <w:rFonts w:hint="default" w:ascii="仿宋_GB2312" w:hAnsi="仿宋_GB2312" w:eastAsia="仿宋_GB2312"/>
          <w:sz w:val="32"/>
          <w:szCs w:val="32"/>
          <w:lang w:val="en-US" w:eastAsia="zh-CN"/>
        </w:rPr>
      </w:pPr>
      <w:r>
        <w:rPr>
          <w:rFonts w:hint="eastAsia" w:ascii="楷体_GB2312" w:hAnsi="楷体_GB2312" w:eastAsia="楷体_GB2312" w:cs="楷体_GB2312"/>
          <w:sz w:val="32"/>
          <w:szCs w:val="32"/>
          <w:lang w:val="en-US" w:eastAsia="zh-CN"/>
        </w:rPr>
        <w:t>医疗卫生用地。</w:t>
      </w:r>
      <w:r>
        <w:rPr>
          <w:rFonts w:hint="eastAsia" w:ascii="仿宋_GB2312" w:hAnsi="仿宋_GB2312" w:eastAsia="仿宋_GB2312" w:cs="仿宋_GB2312"/>
          <w:sz w:val="32"/>
          <w:szCs w:val="32"/>
          <w:lang w:val="en-US" w:eastAsia="zh-CN"/>
        </w:rPr>
        <w:t>规划医疗卫生用地0.22公顷，占乡集镇建设用地0.44%。</w:t>
      </w:r>
      <w:r>
        <w:rPr>
          <w:rFonts w:hint="eastAsia" w:ascii="仿宋_GB2312" w:hAnsi="仿宋_GB2312" w:eastAsia="仿宋_GB2312"/>
          <w:sz w:val="32"/>
          <w:szCs w:val="32"/>
          <w:lang w:val="en-US" w:eastAsia="zh-CN"/>
        </w:rPr>
        <w:t>规划保留沙珠玉乡卫生院，位于乡政府东侧，保持规模不变，规划进行提标改造。</w:t>
      </w:r>
    </w:p>
    <w:p w14:paraId="199F74AF">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农村社区服务设施用地布局</w:t>
      </w:r>
    </w:p>
    <w:p w14:paraId="09BD55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规划期末，沙珠玉</w:t>
      </w:r>
      <w:r>
        <w:rPr>
          <w:rFonts w:hint="eastAsia" w:ascii="仿宋_GB2312" w:hAnsi="仿宋_GB2312" w:eastAsia="仿宋_GB2312" w:cs="仿宋_GB2312"/>
          <w:sz w:val="32"/>
          <w:szCs w:val="32"/>
          <w:lang w:val="en-US" w:eastAsia="zh-CN"/>
        </w:rPr>
        <w:t>乡集镇农村社区服务设施</w:t>
      </w:r>
      <w:r>
        <w:rPr>
          <w:rFonts w:hint="eastAsia" w:ascii="仿宋_GB2312" w:hAnsi="仿宋_GB2312" w:eastAsia="仿宋_GB2312" w:cs="仿宋_GB2312"/>
          <w:sz w:val="32"/>
          <w:szCs w:val="32"/>
        </w:rPr>
        <w:t>用地</w:t>
      </w:r>
      <w:r>
        <w:rPr>
          <w:rFonts w:hint="eastAsia" w:ascii="仿宋_GB2312" w:hAnsi="仿宋_GB2312" w:eastAsia="仿宋_GB2312" w:cs="仿宋_GB2312"/>
          <w:sz w:val="32"/>
          <w:szCs w:val="32"/>
          <w:lang w:val="en-US" w:eastAsia="zh-CN"/>
        </w:rPr>
        <w:t>共1.97</w:t>
      </w:r>
      <w:r>
        <w:rPr>
          <w:rFonts w:hint="eastAsia" w:ascii="仿宋_GB2312" w:hAnsi="仿宋_GB2312" w:eastAsia="仿宋_GB2312" w:cs="仿宋_GB2312"/>
          <w:sz w:val="32"/>
          <w:szCs w:val="32"/>
        </w:rPr>
        <w:t>公顷，占</w:t>
      </w:r>
      <w:r>
        <w:rPr>
          <w:rFonts w:hint="eastAsia" w:ascii="仿宋_GB2312" w:hAnsi="仿宋_GB2312" w:eastAsia="仿宋_GB2312" w:cs="仿宋_GB2312"/>
          <w:sz w:val="32"/>
          <w:szCs w:val="32"/>
          <w:lang w:val="en-US" w:eastAsia="zh-CN"/>
        </w:rPr>
        <w:t>乡集镇</w:t>
      </w:r>
      <w:r>
        <w:rPr>
          <w:rFonts w:hint="eastAsia" w:ascii="仿宋_GB2312" w:hAnsi="仿宋_GB2312" w:eastAsia="仿宋_GB2312" w:cs="仿宋_GB2312"/>
          <w:sz w:val="32"/>
          <w:szCs w:val="32"/>
        </w:rPr>
        <w:t>建设用地的</w:t>
      </w:r>
      <w:r>
        <w:rPr>
          <w:rFonts w:hint="eastAsia" w:ascii="仿宋_GB2312" w:hAnsi="仿宋_GB2312" w:eastAsia="仿宋_GB2312" w:cs="仿宋_GB2312"/>
          <w:sz w:val="32"/>
          <w:szCs w:val="32"/>
          <w:lang w:val="en-US" w:eastAsia="zh-CN"/>
        </w:rPr>
        <w:t>3.83</w:t>
      </w:r>
      <w:r>
        <w:rPr>
          <w:rFonts w:hint="eastAsia" w:ascii="仿宋_GB2312" w:hAnsi="仿宋_GB2312" w:eastAsia="仿宋_GB2312" w:cs="仿宋_GB2312"/>
          <w:sz w:val="32"/>
          <w:szCs w:val="32"/>
        </w:rPr>
        <w:t>%，主要</w:t>
      </w:r>
      <w:r>
        <w:rPr>
          <w:rFonts w:hint="eastAsia" w:ascii="仿宋_GB2312" w:hAnsi="仿宋_GB2312" w:eastAsia="仿宋_GB2312" w:cs="仿宋_GB2312"/>
          <w:sz w:val="32"/>
          <w:szCs w:val="32"/>
          <w:lang w:val="en-US" w:eastAsia="zh-CN"/>
        </w:rPr>
        <w:t>分布</w:t>
      </w:r>
      <w:r>
        <w:rPr>
          <w:rFonts w:hint="eastAsia" w:ascii="仿宋_GB2312" w:hAnsi="仿宋_GB2312" w:eastAsia="仿宋_GB2312" w:cs="仿宋_GB2312"/>
          <w:sz w:val="32"/>
          <w:szCs w:val="32"/>
        </w:rPr>
        <w:t>于乡政府附近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珠玉村二社、四社</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设施类型包括现状兽医站、现状供销社、规划老年人日间照料中心、规划珠玉村集体经济合作社及规划服务于二社、四社的其他农村社区服务设施。规划对兽医站进行提标改造。</w:t>
      </w:r>
    </w:p>
    <w:p w14:paraId="72A1DC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规划于乡卫生院以东、供销社以北建设乡镇级老年人日间照料中心，便于及时医疗救护，提高乡镇养老设施服务水平，房屋建设规模不低于200平方米。</w:t>
      </w:r>
    </w:p>
    <w:p w14:paraId="351ABA23">
      <w:pPr>
        <w:pStyle w:val="6"/>
        <w:keepNext/>
        <w:keepLines/>
        <w:pageBreakBefore w:val="0"/>
        <w:widowControl w:val="0"/>
        <w:numPr>
          <w:ilvl w:val="1"/>
          <w:numId w:val="10"/>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73" w:name="_Toc3212"/>
      <w:r>
        <w:rPr>
          <w:rFonts w:hint="eastAsia" w:ascii="Arial" w:hAnsi="Arial" w:eastAsia="黑体" w:cs="Times New Roman"/>
          <w:b w:val="0"/>
          <w:lang w:val="zh-CN"/>
        </w:rPr>
        <w:t>绿地和开敞空间</w:t>
      </w:r>
      <w:bookmarkEnd w:id="73"/>
    </w:p>
    <w:p w14:paraId="53110D4A">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绿</w:t>
      </w:r>
      <w:r>
        <w:rPr>
          <w:rFonts w:hint="eastAsia" w:ascii="楷体_GB2312" w:hAnsi="Times New Roman" w:eastAsia="楷体_GB2312" w:cs="Times New Roman"/>
          <w:bCs/>
          <w:sz w:val="32"/>
          <w:szCs w:val="32"/>
          <w:lang w:val="en-US" w:eastAsia="zh-CN"/>
        </w:rPr>
        <w:t>地系统和开敞空间布局</w:t>
      </w:r>
    </w:p>
    <w:p w14:paraId="08AE8D57">
      <w:pPr>
        <w:ind w:firstLine="560"/>
        <w:rPr>
          <w:rFonts w:hint="eastAsia" w:ascii="仿宋_GB2312" w:hAnsi="仿宋_GB2312" w:eastAsia="仿宋_GB2312" w:cs="仿宋_GB2312"/>
          <w:sz w:val="32"/>
          <w:szCs w:val="32"/>
          <w:lang w:val="zh-CN" w:eastAsia="zh-CN"/>
        </w:rPr>
      </w:pPr>
      <w:r>
        <w:rPr>
          <w:rFonts w:hint="eastAsia" w:ascii="楷体_GB2312" w:hAnsi="楷体_GB2312" w:eastAsia="楷体_GB2312" w:cs="楷体_GB2312"/>
          <w:sz w:val="32"/>
          <w:szCs w:val="32"/>
          <w:lang w:val="en-US" w:eastAsia="zh-CN"/>
        </w:rPr>
        <w:t>规划形成绿化布局合理、生态功能完善的绿地和开敞空间系统。</w:t>
      </w:r>
      <w:r>
        <w:rPr>
          <w:rFonts w:hint="eastAsia" w:ascii="仿宋_GB2312" w:hAnsi="仿宋_GB2312" w:eastAsia="仿宋_GB2312" w:cs="仿宋_GB2312"/>
          <w:sz w:val="32"/>
          <w:szCs w:val="32"/>
          <w:lang w:val="zh-CN" w:eastAsia="zh-CN"/>
        </w:rPr>
        <w:t>优化调整绿地布局，完善绿地类型，科学配置绿地植物群落，丰富公共活动空间，提升乡政府驻地生活品质。</w:t>
      </w:r>
    </w:p>
    <w:p w14:paraId="2397DDC6">
      <w:pPr>
        <w:ind w:firstLine="560"/>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规划绿地与开敞空间用地0.60公顷，其中公园绿地0.20公顷，防护绿地0.04公顷，广场用地0.36公顷。广场共2处，1处位于</w:t>
      </w:r>
      <w:r>
        <w:rPr>
          <w:rFonts w:hint="eastAsia" w:ascii="仿宋_GB2312" w:hAnsi="仿宋_GB2312" w:eastAsia="仿宋_GB2312" w:cs="仿宋_GB2312"/>
          <w:sz w:val="32"/>
          <w:szCs w:val="32"/>
          <w:lang w:val="en-US" w:eastAsia="zh-CN"/>
        </w:rPr>
        <w:t>珠玉村四社</w:t>
      </w:r>
      <w:r>
        <w:rPr>
          <w:rFonts w:hint="eastAsia" w:ascii="仿宋_GB2312" w:hAnsi="仿宋_GB2312" w:eastAsia="仿宋_GB2312" w:cs="仿宋_GB2312"/>
          <w:sz w:val="32"/>
          <w:szCs w:val="32"/>
          <w:lang w:val="zh-CN" w:eastAsia="zh-CN"/>
        </w:rPr>
        <w:t>居民点嘛尼康以北，1处位于</w:t>
      </w:r>
      <w:r>
        <w:rPr>
          <w:rFonts w:hint="eastAsia" w:ascii="仿宋_GB2312" w:hAnsi="仿宋_GB2312" w:eastAsia="仿宋_GB2312" w:cs="仿宋_GB2312"/>
          <w:sz w:val="32"/>
          <w:szCs w:val="32"/>
          <w:lang w:val="en-US" w:eastAsia="zh-CN"/>
        </w:rPr>
        <w:t>珠玉村二社</w:t>
      </w:r>
      <w:r>
        <w:rPr>
          <w:rFonts w:hint="eastAsia" w:ascii="仿宋_GB2312" w:hAnsi="仿宋_GB2312" w:eastAsia="仿宋_GB2312" w:cs="仿宋_GB2312"/>
          <w:sz w:val="32"/>
          <w:szCs w:val="32"/>
          <w:lang w:val="zh-CN" w:eastAsia="zh-CN"/>
        </w:rPr>
        <w:t>居民点恰藏路与和谐路交叉口东北角。公园绿地2处，位于沙珠玉大街以南、小学两侧。</w:t>
      </w:r>
    </w:p>
    <w:p w14:paraId="3E758572">
      <w:pPr>
        <w:pStyle w:val="6"/>
        <w:keepNext/>
        <w:keepLines/>
        <w:pageBreakBefore w:val="0"/>
        <w:widowControl w:val="0"/>
        <w:numPr>
          <w:ilvl w:val="1"/>
          <w:numId w:val="10"/>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74" w:name="_Toc16733"/>
      <w:r>
        <w:rPr>
          <w:rFonts w:hint="eastAsia" w:ascii="Arial" w:hAnsi="Arial" w:eastAsia="黑体" w:cs="Times New Roman"/>
          <w:b w:val="0"/>
          <w:lang w:val="en-US" w:eastAsia="zh-CN"/>
        </w:rPr>
        <w:t>道路</w:t>
      </w:r>
      <w:r>
        <w:rPr>
          <w:rFonts w:hint="eastAsia" w:ascii="Arial" w:hAnsi="Arial" w:eastAsia="黑体" w:cs="Times New Roman"/>
          <w:b w:val="0"/>
          <w:lang w:val="zh-CN"/>
        </w:rPr>
        <w:t>交通体系</w:t>
      </w:r>
      <w:bookmarkEnd w:id="74"/>
    </w:p>
    <w:p w14:paraId="2C4DC4DA">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道路系统</w:t>
      </w:r>
    </w:p>
    <w:p w14:paraId="24365AD0">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提升乡政府驻地道路效能，优化道路网络结构，构建“两横两纵”的干路网体系。“两横”：沙珠玉大街（</w:t>
      </w:r>
      <w:r>
        <w:rPr>
          <w:rFonts w:hint="eastAsia" w:ascii="仿宋_GB2312" w:hAnsi="仿宋_GB2312" w:eastAsia="仿宋_GB2312" w:cs="仿宋_GB2312"/>
          <w:sz w:val="32"/>
          <w:szCs w:val="32"/>
          <w:lang w:val="en-US" w:eastAsia="zh-CN"/>
        </w:rPr>
        <w:t>县道</w:t>
      </w:r>
      <w:r>
        <w:rPr>
          <w:rFonts w:hint="eastAsia" w:ascii="仿宋_GB2312" w:hAnsi="仿宋_GB2312" w:eastAsia="仿宋_GB2312" w:cs="仿宋_GB2312"/>
          <w:sz w:val="32"/>
          <w:szCs w:val="32"/>
          <w:lang w:val="zh-CN" w:eastAsia="zh-CN"/>
        </w:rPr>
        <w:t>306）、和谐路（联通扎布达村与珠玉村东西向道路）。“两纵”：恰藏路、希望路（</w:t>
      </w:r>
      <w:r>
        <w:rPr>
          <w:rFonts w:hint="eastAsia" w:ascii="仿宋_GB2312" w:hAnsi="仿宋_GB2312" w:eastAsia="仿宋_GB2312" w:cs="仿宋_GB2312"/>
          <w:sz w:val="32"/>
          <w:szCs w:val="32"/>
          <w:lang w:val="en-US" w:eastAsia="zh-CN"/>
        </w:rPr>
        <w:t>沙上线、</w:t>
      </w:r>
      <w:r>
        <w:rPr>
          <w:rFonts w:hint="eastAsia" w:ascii="仿宋_GB2312" w:hAnsi="仿宋_GB2312" w:eastAsia="仿宋_GB2312" w:cs="仿宋_GB2312"/>
          <w:sz w:val="32"/>
          <w:szCs w:val="32"/>
          <w:lang w:val="zh-CN" w:eastAsia="zh-CN"/>
        </w:rPr>
        <w:t>珠玉村与种子村分界道路）。</w:t>
      </w:r>
    </w:p>
    <w:p w14:paraId="0E4248C0">
      <w:pPr>
        <w:widowControl/>
        <w:ind w:firstLine="560"/>
        <w:jc w:val="left"/>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zh-CN" w:eastAsia="zh-CN"/>
        </w:rPr>
        <w:t>构建干支协同、布局合理的</w:t>
      </w:r>
      <w:r>
        <w:rPr>
          <w:rFonts w:hint="eastAsia" w:ascii="楷体_GB2312" w:hAnsi="楷体_GB2312" w:eastAsia="楷体_GB2312" w:cs="楷体_GB2312"/>
          <w:sz w:val="32"/>
          <w:szCs w:val="32"/>
          <w:lang w:val="en-US" w:eastAsia="zh-CN"/>
        </w:rPr>
        <w:t>城镇</w:t>
      </w:r>
      <w:r>
        <w:rPr>
          <w:rFonts w:hint="eastAsia" w:ascii="楷体_GB2312" w:hAnsi="楷体_GB2312" w:eastAsia="楷体_GB2312" w:cs="楷体_GB2312"/>
          <w:sz w:val="32"/>
          <w:szCs w:val="32"/>
          <w:lang w:val="zh-CN" w:eastAsia="zh-CN"/>
        </w:rPr>
        <w:t>道路系统。</w:t>
      </w:r>
      <w:r>
        <w:rPr>
          <w:rFonts w:hint="eastAsia" w:ascii="仿宋_GB2312" w:hAnsi="仿宋_GB2312" w:eastAsia="仿宋_GB2312" w:cs="仿宋_GB2312"/>
          <w:sz w:val="32"/>
          <w:szCs w:val="32"/>
          <w:lang w:val="zh-CN" w:eastAsia="zh-CN"/>
        </w:rPr>
        <w:t>规划乡政府驻地道路系统分为</w:t>
      </w:r>
      <w:r>
        <w:rPr>
          <w:rFonts w:hint="eastAsia" w:ascii="仿宋_GB2312" w:hAnsi="仿宋_GB2312" w:eastAsia="仿宋_GB2312" w:cs="仿宋_GB2312"/>
          <w:sz w:val="32"/>
          <w:szCs w:val="32"/>
          <w:lang w:val="en-US" w:eastAsia="zh-CN"/>
        </w:rPr>
        <w:t>干路</w:t>
      </w:r>
      <w:r>
        <w:rPr>
          <w:rFonts w:hint="eastAsia" w:ascii="仿宋_GB2312" w:hAnsi="仿宋_GB2312" w:eastAsia="仿宋_GB2312" w:cs="仿宋_GB2312"/>
          <w:sz w:val="32"/>
          <w:szCs w:val="32"/>
          <w:lang w:val="zh-CN" w:eastAsia="zh-CN"/>
        </w:rPr>
        <w:t>、支路、</w:t>
      </w:r>
      <w:r>
        <w:rPr>
          <w:rFonts w:hint="eastAsia" w:ascii="仿宋_GB2312" w:hAnsi="仿宋_GB2312" w:eastAsia="仿宋_GB2312" w:cs="仿宋_GB2312"/>
          <w:sz w:val="32"/>
          <w:szCs w:val="32"/>
          <w:lang w:val="en-US" w:eastAsia="zh-CN"/>
        </w:rPr>
        <w:t>巷路</w:t>
      </w:r>
      <w:r>
        <w:rPr>
          <w:rFonts w:hint="eastAsia" w:ascii="仿宋_GB2312" w:hAnsi="仿宋_GB2312" w:eastAsia="仿宋_GB2312" w:cs="仿宋_GB2312"/>
          <w:sz w:val="32"/>
          <w:szCs w:val="32"/>
          <w:lang w:val="zh-CN" w:eastAsia="zh-CN"/>
        </w:rPr>
        <w:t>三个等级，适度增加</w:t>
      </w:r>
      <w:r>
        <w:rPr>
          <w:rFonts w:hint="eastAsia" w:ascii="仿宋_GB2312" w:hAnsi="仿宋_GB2312" w:eastAsia="仿宋_GB2312" w:cs="仿宋_GB2312"/>
          <w:sz w:val="32"/>
          <w:szCs w:val="32"/>
          <w:lang w:val="en-US" w:eastAsia="zh-CN"/>
        </w:rPr>
        <w:t>巷路</w:t>
      </w:r>
      <w:r>
        <w:rPr>
          <w:rFonts w:hint="eastAsia" w:ascii="仿宋_GB2312" w:hAnsi="仿宋_GB2312" w:eastAsia="仿宋_GB2312" w:cs="仿宋_GB2312"/>
          <w:sz w:val="32"/>
          <w:szCs w:val="32"/>
          <w:lang w:val="zh-CN" w:eastAsia="zh-CN"/>
        </w:rPr>
        <w:t>联通村组，增加路网密度。</w:t>
      </w:r>
      <w:r>
        <w:rPr>
          <w:rFonts w:hint="eastAsia" w:ascii="仿宋_GB2312" w:hAnsi="仿宋_GB2312" w:eastAsia="仿宋_GB2312" w:cs="仿宋_GB2312"/>
          <w:sz w:val="32"/>
          <w:szCs w:val="32"/>
          <w:lang w:val="en-US" w:eastAsia="zh-CN"/>
        </w:rPr>
        <w:t>规划期末道路网密度15.9千米/平方公里。</w:t>
      </w:r>
    </w:p>
    <w:p w14:paraId="046DCCFA">
      <w:pPr>
        <w:widowControl/>
        <w:ind w:firstLine="560"/>
        <w:jc w:val="left"/>
        <w:rPr>
          <w:rFonts w:hint="eastAsia" w:ascii="仿宋_GB2312" w:hAnsi="仿宋_GB2312" w:eastAsia="仿宋_GB2312" w:cs="仿宋_GB2312"/>
          <w:sz w:val="32"/>
          <w:szCs w:val="32"/>
          <w:lang w:val="zh-CN" w:eastAsia="zh-CN"/>
        </w:rPr>
      </w:pPr>
      <w:r>
        <w:rPr>
          <w:rFonts w:hint="eastAsia" w:ascii="楷体_GB2312" w:hAnsi="楷体_GB2312" w:eastAsia="楷体_GB2312" w:cs="楷体_GB2312"/>
          <w:sz w:val="32"/>
          <w:szCs w:val="32"/>
          <w:lang w:val="zh-CN" w:eastAsia="zh-CN"/>
        </w:rPr>
        <w:t>合理控制道路红线宽度。</w:t>
      </w:r>
      <w:r>
        <w:rPr>
          <w:rFonts w:hint="eastAsia" w:ascii="仿宋_GB2312" w:hAnsi="仿宋_GB2312" w:eastAsia="仿宋_GB2312" w:cs="仿宋_GB2312"/>
          <w:sz w:val="32"/>
          <w:szCs w:val="32"/>
          <w:lang w:val="zh-CN" w:eastAsia="zh-CN"/>
        </w:rPr>
        <w:t>节约用地，打造尺度宜居的街道空间，规划</w:t>
      </w:r>
      <w:r>
        <w:rPr>
          <w:rFonts w:hint="eastAsia" w:ascii="仿宋_GB2312" w:hAnsi="仿宋_GB2312" w:eastAsia="仿宋_GB2312" w:cs="仿宋_GB2312"/>
          <w:sz w:val="32"/>
          <w:szCs w:val="32"/>
          <w:lang w:val="en-US" w:eastAsia="zh-CN"/>
        </w:rPr>
        <w:t>干路</w:t>
      </w:r>
      <w:r>
        <w:rPr>
          <w:rFonts w:hint="eastAsia" w:ascii="仿宋_GB2312" w:hAnsi="仿宋_GB2312" w:eastAsia="仿宋_GB2312" w:cs="仿宋_GB2312"/>
          <w:sz w:val="32"/>
          <w:szCs w:val="32"/>
          <w:lang w:val="zh-CN" w:eastAsia="zh-CN"/>
        </w:rPr>
        <w:t>红线宽度控制在8-12米，支路红线宽度控制在5-8米，</w:t>
      </w:r>
      <w:r>
        <w:rPr>
          <w:rFonts w:hint="eastAsia" w:ascii="仿宋_GB2312" w:hAnsi="仿宋_GB2312" w:eastAsia="仿宋_GB2312" w:cs="仿宋_GB2312"/>
          <w:sz w:val="32"/>
          <w:szCs w:val="32"/>
          <w:lang w:val="en-US" w:eastAsia="zh-CN"/>
        </w:rPr>
        <w:t>巷路</w:t>
      </w:r>
      <w:r>
        <w:rPr>
          <w:rFonts w:hint="eastAsia" w:ascii="仿宋_GB2312" w:hAnsi="仿宋_GB2312" w:eastAsia="仿宋_GB2312" w:cs="仿宋_GB2312"/>
          <w:sz w:val="32"/>
          <w:szCs w:val="32"/>
          <w:lang w:val="zh-CN" w:eastAsia="zh-CN"/>
        </w:rPr>
        <w:t>红线宽度控制在3-5米。</w:t>
      </w:r>
      <w:r>
        <w:rPr>
          <w:rFonts w:hint="eastAsia" w:ascii="仿宋_GB2312" w:hAnsi="仿宋_GB2312" w:eastAsia="仿宋_GB2312" w:cs="仿宋_GB2312"/>
          <w:sz w:val="32"/>
          <w:szCs w:val="32"/>
          <w:lang w:val="en-US" w:eastAsia="zh-CN"/>
        </w:rPr>
        <w:t>道路</w:t>
      </w:r>
      <w:r>
        <w:rPr>
          <w:rFonts w:hint="eastAsia" w:ascii="仿宋_GB2312" w:hAnsi="仿宋_GB2312" w:eastAsia="仿宋_GB2312" w:cs="仿宋_GB2312"/>
          <w:sz w:val="32"/>
          <w:szCs w:val="32"/>
          <w:lang w:val="zh-CN" w:eastAsia="zh-CN"/>
        </w:rPr>
        <w:t>横断面以一块板形式为主。</w:t>
      </w:r>
    </w:p>
    <w:p w14:paraId="1B10B96E">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公共交通</w:t>
      </w:r>
      <w:r>
        <w:rPr>
          <w:rFonts w:hint="eastAsia" w:ascii="楷体_GB2312" w:hAnsi="Times New Roman" w:eastAsia="楷体_GB2312" w:cs="Times New Roman"/>
          <w:bCs/>
          <w:sz w:val="32"/>
          <w:szCs w:val="32"/>
          <w:lang w:val="en-US" w:eastAsia="zh-CN"/>
        </w:rPr>
        <w:t>场站</w:t>
      </w:r>
    </w:p>
    <w:p w14:paraId="5E6158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保留现状沙珠玉乡公路</w:t>
      </w:r>
      <w:r>
        <w:rPr>
          <w:rFonts w:hint="eastAsia" w:ascii="仿宋_GB2312" w:hAnsi="仿宋_GB2312" w:eastAsia="仿宋_GB2312" w:cs="仿宋_GB2312"/>
          <w:sz w:val="32"/>
          <w:szCs w:val="32"/>
          <w:lang w:val="zh-CN" w:eastAsia="zh-CN"/>
        </w:rPr>
        <w:t>客运站1处，</w:t>
      </w:r>
      <w:r>
        <w:rPr>
          <w:rFonts w:hint="eastAsia" w:ascii="仿宋_GB2312" w:hAnsi="仿宋_GB2312" w:eastAsia="仿宋_GB2312" w:cs="仿宋_GB2312"/>
          <w:sz w:val="32"/>
          <w:szCs w:val="32"/>
          <w:lang w:val="en-US" w:eastAsia="zh-CN"/>
        </w:rPr>
        <w:t>占地面积0.28公顷，规划对现状客运站进行提升改造，提升基础设施规范化水平，提升旅客服务体验感，鼓励新建的公交场站设施与公园、广场、商业综合体、其他市政配套设施等用地混合开发、—体化建设。规划期末，提升为共和县客运交通三级枢纽，服务共和县域城乡交通集散。</w:t>
      </w:r>
    </w:p>
    <w:p w14:paraId="21877A06">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社会</w:t>
      </w:r>
      <w:r>
        <w:rPr>
          <w:rFonts w:hint="eastAsia" w:ascii="楷体_GB2312" w:hAnsi="Times New Roman" w:eastAsia="楷体_GB2312" w:cs="Times New Roman"/>
          <w:bCs/>
          <w:sz w:val="32"/>
          <w:szCs w:val="32"/>
        </w:rPr>
        <w:t>停车设施</w:t>
      </w:r>
    </w:p>
    <w:p w14:paraId="0B17EB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充分考虑沙珠玉乡在旅游高峰期间的停车需求，结合商业商务、休闲娱乐、旅游中心等公共服务设施，合理布局公共停车设施。</w:t>
      </w:r>
    </w:p>
    <w:p w14:paraId="668A67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规划新增2处停车场地，分别为乡政府大院前临街停车设施、恰藏路南端社会停车场，用地面积共0.50公顷，预计可提供公共停车泊位200个。同时考虑过境车辆日常需求，在集镇主要道路沿街设置路内停车位。</w:t>
      </w:r>
    </w:p>
    <w:p w14:paraId="0D3B9B4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鼓励结合各类公共服务设施，完善配建停车场，</w:t>
      </w:r>
      <w:r>
        <w:rPr>
          <w:rFonts w:hint="default" w:ascii="仿宋_GB2312" w:hAnsi="仿宋_GB2312" w:eastAsia="仿宋_GB2312" w:cs="仿宋_GB2312"/>
          <w:sz w:val="32"/>
          <w:szCs w:val="32"/>
          <w:lang w:val="en-US" w:eastAsia="zh-CN"/>
        </w:rPr>
        <w:t>根据停车设施产权、共享等要求，合理确定配建标准</w:t>
      </w:r>
      <w:r>
        <w:rPr>
          <w:rFonts w:hint="eastAsia" w:ascii="仿宋_GB2312" w:hAnsi="仿宋_GB2312" w:eastAsia="仿宋_GB2312" w:cs="仿宋_GB2312"/>
          <w:sz w:val="32"/>
          <w:szCs w:val="32"/>
          <w:lang w:val="en-US" w:eastAsia="zh-CN"/>
        </w:rPr>
        <w:t>。</w:t>
      </w:r>
    </w:p>
    <w:p w14:paraId="62E42D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各类公共停车场应配置一定数量的新能源公共充电桩，充电停车位宜控制在总停车位的10%以上。</w:t>
      </w:r>
    </w:p>
    <w:p w14:paraId="7D45D483">
      <w:pPr>
        <w:pStyle w:val="6"/>
        <w:keepNext/>
        <w:keepLines/>
        <w:pageBreakBefore w:val="0"/>
        <w:widowControl w:val="0"/>
        <w:numPr>
          <w:ilvl w:val="1"/>
          <w:numId w:val="10"/>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75" w:name="_Toc17004"/>
      <w:r>
        <w:rPr>
          <w:rFonts w:hint="eastAsia" w:ascii="Arial" w:hAnsi="Arial" w:eastAsia="黑体" w:cs="Times New Roman"/>
          <w:b w:val="0"/>
          <w:lang w:val="zh-CN"/>
        </w:rPr>
        <w:t>市政基础设施布局</w:t>
      </w:r>
      <w:bookmarkEnd w:id="75"/>
    </w:p>
    <w:p w14:paraId="2E378F35">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给水工程</w:t>
      </w:r>
    </w:p>
    <w:p w14:paraId="4BE555E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用水量预测。</w:t>
      </w:r>
      <w:r>
        <w:rPr>
          <w:rFonts w:hint="eastAsia" w:ascii="仿宋_GB2312" w:hAnsi="仿宋_GB2312" w:eastAsia="仿宋_GB2312" w:cs="仿宋_GB2312"/>
          <w:sz w:val="32"/>
          <w:szCs w:val="32"/>
          <w:lang w:val="en-US" w:eastAsia="zh-CN"/>
        </w:rPr>
        <w:t>规划乡集镇综合用水总量146立方米／日。</w:t>
      </w:r>
    </w:p>
    <w:p w14:paraId="3BB6042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供水水源。</w:t>
      </w:r>
      <w:r>
        <w:rPr>
          <w:rFonts w:hint="eastAsia" w:ascii="仿宋_GB2312" w:hAnsi="仿宋_GB2312" w:eastAsia="仿宋_GB2312" w:cs="仿宋_GB2312"/>
          <w:sz w:val="32"/>
          <w:szCs w:val="32"/>
          <w:lang w:val="en-US" w:eastAsia="zh-CN"/>
        </w:rPr>
        <w:t>近期仍采用地下水水源供水，扩大乡政府北侧（北台）高位水池容量，新建、改扩建给水管网，增设水质净化设施和消毒设备。规划远期将现有地下水源置换，水源地为哈干水库，并配套水厂给予供水。通过引水工程输送至乡政府北侧（北台）高位水池，水厂及高位水池周边应采取安全隔离措施。</w:t>
      </w:r>
    </w:p>
    <w:p w14:paraId="6BC0CB5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配水管网布置。</w:t>
      </w:r>
      <w:r>
        <w:rPr>
          <w:rFonts w:hint="eastAsia" w:ascii="仿宋_GB2312" w:hAnsi="仿宋_GB2312" w:eastAsia="仿宋_GB2312" w:cs="仿宋_GB2312"/>
          <w:sz w:val="32"/>
          <w:szCs w:val="32"/>
          <w:lang w:val="en-US" w:eastAsia="zh-CN"/>
        </w:rPr>
        <w:t>优化输配水管网布局，增加管网密度，以环状为主，枝状为辅，形成环状和枝状相结合的供水系统，保障供水安全。给水管线沿乡政府驻地主要道路铺设，干管管径DN100-DN150，支管管径DN50。</w:t>
      </w:r>
    </w:p>
    <w:p w14:paraId="7D6F543D">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排水工程</w:t>
      </w:r>
    </w:p>
    <w:p w14:paraId="105FB8F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排水体制。</w:t>
      </w:r>
      <w:r>
        <w:rPr>
          <w:rFonts w:hint="eastAsia" w:ascii="仿宋_GB2312" w:hAnsi="仿宋_GB2312" w:eastAsia="仿宋_GB2312" w:cs="仿宋_GB2312"/>
          <w:sz w:val="32"/>
          <w:szCs w:val="32"/>
          <w:lang w:val="en-US" w:eastAsia="zh-CN"/>
        </w:rPr>
        <w:t>规划乡集镇采用雨污分流制排水体制，即雨、雪水沿道路边沟、采用重力自流方式就近排入绿地、农田、河流，居民生活和公共建筑污水经污水管网系统收集后排入规划新建污水处理厂处理。</w:t>
      </w:r>
    </w:p>
    <w:p w14:paraId="0A09CB2A">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污水处理量预测。</w:t>
      </w:r>
      <w:r>
        <w:rPr>
          <w:rFonts w:hint="eastAsia" w:ascii="仿宋_GB2312" w:hAnsi="仿宋_GB2312" w:eastAsia="仿宋_GB2312" w:cs="仿宋_GB2312"/>
          <w:sz w:val="32"/>
          <w:szCs w:val="32"/>
          <w:lang w:val="en-US" w:eastAsia="zh-CN"/>
        </w:rPr>
        <w:t>规划乡集镇平均日污水量约69立方米／日。</w:t>
      </w:r>
    </w:p>
    <w:p w14:paraId="7B31DE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污水处理设施。</w:t>
      </w:r>
      <w:r>
        <w:rPr>
          <w:rFonts w:hint="eastAsia" w:ascii="仿宋_GB2312" w:hAnsi="仿宋_GB2312" w:eastAsia="仿宋_GB2312" w:cs="仿宋_GB2312"/>
          <w:sz w:val="32"/>
          <w:szCs w:val="32"/>
          <w:lang w:val="en-US" w:eastAsia="zh-CN"/>
        </w:rPr>
        <w:t>结合道路竖向，布局沙珠玉乡新建污水处理厂，位于珠玉村四社东南角、希望路南段，占地约0.15公顷，日处理生活污水能力0.1万立方米。处理后水质应达到国家规定的排放标准。</w:t>
      </w:r>
    </w:p>
    <w:p w14:paraId="3D1E3A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污水管网布置。</w:t>
      </w:r>
      <w:r>
        <w:rPr>
          <w:rFonts w:hint="eastAsia" w:ascii="仿宋_GB2312" w:hAnsi="仿宋_GB2312" w:eastAsia="仿宋_GB2312" w:cs="仿宋_GB2312"/>
          <w:sz w:val="32"/>
          <w:szCs w:val="32"/>
        </w:rPr>
        <w:t>污水管道系统布置按照地形趋势和道路坡度，采用重力流形式排放</w:t>
      </w:r>
      <w:r>
        <w:rPr>
          <w:rFonts w:hint="eastAsia" w:ascii="仿宋_GB2312" w:hAnsi="仿宋_GB2312" w:eastAsia="仿宋_GB2312" w:cs="仿宋_GB2312"/>
          <w:sz w:val="32"/>
          <w:szCs w:val="32"/>
          <w:lang w:val="en-US" w:eastAsia="zh-CN"/>
        </w:rPr>
        <w:t>，管网沿主要道路敷设，污水管径为DN300-DN400。</w:t>
      </w:r>
    </w:p>
    <w:p w14:paraId="1C1BE423">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电力工程</w:t>
      </w:r>
    </w:p>
    <w:p w14:paraId="348E10A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供电电源。</w:t>
      </w:r>
      <w:r>
        <w:rPr>
          <w:rFonts w:hint="eastAsia" w:ascii="仿宋_GB2312" w:hAnsi="仿宋_GB2312" w:eastAsia="仿宋_GB2312" w:cs="仿宋_GB2312"/>
          <w:sz w:val="32"/>
          <w:szCs w:val="32"/>
          <w:lang w:val="en-US" w:eastAsia="zh-CN"/>
        </w:rPr>
        <w:t>电源来自沙珠玉35千伏变电站，规划进行主变增容改造工程，扩建新增建设用地0.27公顷。</w:t>
      </w:r>
    </w:p>
    <w:p w14:paraId="1B31E93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用电量预测。</w:t>
      </w:r>
      <w:r>
        <w:rPr>
          <w:rFonts w:hint="eastAsia" w:ascii="仿宋_GB2312" w:hAnsi="仿宋_GB2312" w:eastAsia="仿宋_GB2312" w:cs="仿宋_GB2312"/>
          <w:sz w:val="32"/>
          <w:szCs w:val="32"/>
          <w:lang w:val="en-US" w:eastAsia="zh-CN"/>
        </w:rPr>
        <w:t>规划期末乡集镇总生活用电量为185万千瓦时。</w:t>
      </w:r>
    </w:p>
    <w:p w14:paraId="29409A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电力线路。</w:t>
      </w:r>
      <w:r>
        <w:rPr>
          <w:rFonts w:hint="eastAsia" w:ascii="仿宋_GB2312" w:hAnsi="仿宋_GB2312" w:eastAsia="仿宋_GB2312" w:cs="仿宋_GB2312"/>
          <w:sz w:val="32"/>
          <w:szCs w:val="32"/>
          <w:lang w:val="en-US" w:eastAsia="zh-CN"/>
        </w:rPr>
        <w:t>35千伏输电线路接自110千伏恰卜恰变。10KV电力线路沿主要道路架设，低压配电采用220/380V，电力线采用架空线路形式敷设在道路的西侧或南侧。</w:t>
      </w:r>
    </w:p>
    <w:p w14:paraId="6D55911E">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燃气工程</w:t>
      </w:r>
    </w:p>
    <w:p w14:paraId="500E22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规划乡集镇近期仍采用罐装液化石油气为主要燃料，远期自共和县综合门站接燃气管道，10个村通天然气。为便于燃气输送，结合乡镇需求，乡集镇周边预留2处燃气配气站。发展以秸秆、人畜粪便、沼气等为原料的生物质能利用，提升农村清洁用能比例。</w:t>
      </w:r>
    </w:p>
    <w:p w14:paraId="6939862F">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供热工程</w:t>
      </w:r>
    </w:p>
    <w:p w14:paraId="5EDB49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规划乡集镇采用电锅炉供暖方式，建设电锅炉蓄热站。推广普及电力、太阳能等清洁取暖方式，逐步将农村地区散烧煤、粪区域全部改为清洁取暖。至规划期末，清洁取暖率达到100%。</w:t>
      </w:r>
    </w:p>
    <w:p w14:paraId="0684E9D8">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通信工程</w:t>
      </w:r>
    </w:p>
    <w:p w14:paraId="68B78C8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用户预测。</w:t>
      </w:r>
      <w:r>
        <w:rPr>
          <w:rFonts w:hint="eastAsia" w:ascii="仿宋_GB2312" w:hAnsi="仿宋_GB2312" w:eastAsia="仿宋_GB2312" w:cs="仿宋_GB2312"/>
          <w:sz w:val="32"/>
          <w:szCs w:val="32"/>
          <w:lang w:val="en-US" w:eastAsia="zh-CN"/>
        </w:rPr>
        <w:t>规划期末沙珠玉乡集镇移动电话普及率取130部/百人，移动电话用户为1995部；家庭宽带普及率取100%，家庭宽带用户为407户；家庭用户有线电视覆盖率取100%，家庭有线电视用户为407户。</w:t>
      </w:r>
    </w:p>
    <w:p w14:paraId="549F23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通信设施。</w:t>
      </w:r>
      <w:r>
        <w:rPr>
          <w:rFonts w:hint="eastAsia" w:ascii="仿宋_GB2312" w:hAnsi="仿宋_GB2312" w:eastAsia="仿宋_GB2312" w:cs="仿宋_GB2312"/>
          <w:sz w:val="32"/>
          <w:szCs w:val="32"/>
          <w:lang w:val="en-US" w:eastAsia="zh-CN"/>
        </w:rPr>
        <w:t>保留现状信号塔，近期保持电信线与有线电视线路同杆架设，规划新建各类通信线路均采用管道埋地敷设方式。铺设5G通信基站，推进通信设施改造升级，提高信号覆盖率。保留现状邮政所，继续加强乡域邮政业务覆盖率和服务水平，健全和完善乡政府驻地、村庄邮政服务体系。</w:t>
      </w:r>
    </w:p>
    <w:p w14:paraId="46B0F85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5G基站建设。</w:t>
      </w:r>
      <w:r>
        <w:rPr>
          <w:rFonts w:hint="eastAsia" w:ascii="仿宋_GB2312" w:hAnsi="仿宋_GB2312" w:eastAsia="仿宋_GB2312" w:cs="仿宋_GB2312"/>
          <w:sz w:val="32"/>
          <w:szCs w:val="32"/>
          <w:lang w:val="en-US" w:eastAsia="zh-CN"/>
        </w:rPr>
        <w:t>加快推进5G基站建设，基站按“统一规划、集约建设、资源共享、规范管理”的原则，运营商新建基站共享共建比例达到100%，乡政府驻地宏基站设置密度为7个基站/平方千米，基站站间距400-450米。</w:t>
      </w:r>
    </w:p>
    <w:p w14:paraId="19268C12">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环卫工程</w:t>
      </w:r>
    </w:p>
    <w:p w14:paraId="7BDCBE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规划乡集镇新建1处垃圾压缩中转站，位于恰藏路以东，占地面积约700平方米。采用“村收集-乡转运-乡镇统一处理”的模式，垃圾收集点分类收集，经垃圾压缩中转站压缩处理，运至耐海塔村北部的垃圾填埋场处理。垃圾收集点按服务半径70-150m配置，与建筑物间隔不小于5m。</w:t>
      </w:r>
    </w:p>
    <w:p w14:paraId="3731C1D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积极推进“厕所革命”，因地制宜开展农村厕所无害化卫生改造，全面提升人居环境质量。依托行政办公、小学幼儿园、公园广场和旅游景点等人群密集场所设置附建式节水型公共厕所，建筑面积不小于30平方米；集镇新建高标准水冲式公厕2座，占地面积不小于60平方米。</w:t>
      </w:r>
    </w:p>
    <w:p w14:paraId="3A115D77">
      <w:pPr>
        <w:pStyle w:val="6"/>
        <w:keepNext/>
        <w:keepLines/>
        <w:pageBreakBefore w:val="0"/>
        <w:widowControl w:val="0"/>
        <w:numPr>
          <w:ilvl w:val="1"/>
          <w:numId w:val="10"/>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76" w:name="_Toc22766"/>
      <w:r>
        <w:rPr>
          <w:rFonts w:hint="eastAsia" w:ascii="Arial" w:hAnsi="Arial" w:eastAsia="黑体" w:cs="Times New Roman"/>
          <w:b w:val="0"/>
          <w:lang w:val="zh-CN"/>
        </w:rPr>
        <w:t>综合防灾减灾</w:t>
      </w:r>
      <w:bookmarkEnd w:id="76"/>
    </w:p>
    <w:p w14:paraId="067A398E">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抗震减灾</w:t>
      </w:r>
    </w:p>
    <w:p w14:paraId="13A995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none"/>
          <w:lang w:val="en-US" w:eastAsia="zh-CN"/>
        </w:rPr>
        <w:t>沙珠玉乡政府驻地地震动峰值加速度0.10g，</w:t>
      </w:r>
      <w:r>
        <w:rPr>
          <w:rFonts w:hint="eastAsia" w:ascii="仿宋_GB2312" w:hAnsi="仿宋_GB2312" w:eastAsia="仿宋_GB2312" w:cs="仿宋_GB2312"/>
          <w:sz w:val="32"/>
          <w:szCs w:val="32"/>
          <w:u w:val="single"/>
          <w:lang w:val="en-US" w:eastAsia="zh-CN"/>
        </w:rPr>
        <w:t>抗震设防基本烈度7度。学校、医院、体育场馆、文化场馆等大型公共建筑和重要生命线工程应按高于基本烈度1度要求设防。重大建设工程和可能发生严重次生灾害的建设工程，应当进行地震安全性评价，并按地震安全性评价报告结果确定其抗震设防要求。</w:t>
      </w:r>
    </w:p>
    <w:p w14:paraId="40986674">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防洪工程</w:t>
      </w:r>
    </w:p>
    <w:p w14:paraId="4F0D49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u w:val="single"/>
          <w:lang w:val="en-US" w:eastAsia="zh-CN"/>
        </w:rPr>
      </w:pPr>
      <w:r>
        <w:rPr>
          <w:rFonts w:hint="eastAsia" w:ascii="楷体_GB2312" w:hAnsi="楷体_GB2312" w:eastAsia="楷体_GB2312" w:cs="楷体_GB2312"/>
          <w:sz w:val="32"/>
          <w:szCs w:val="32"/>
          <w:lang w:val="en-US" w:eastAsia="zh-CN"/>
        </w:rPr>
        <w:t>防洪标准。</w:t>
      </w:r>
      <w:r>
        <w:rPr>
          <w:rFonts w:hint="eastAsia" w:ascii="仿宋_GB2312" w:hAnsi="仿宋_GB2312" w:eastAsia="仿宋_GB2312" w:cs="仿宋_GB2312"/>
          <w:sz w:val="32"/>
          <w:szCs w:val="32"/>
          <w:u w:val="single"/>
          <w:lang w:val="en-US" w:eastAsia="zh-CN"/>
        </w:rPr>
        <w:t>沙珠玉乡政府驻地的防洪标准为20年一遇。</w:t>
      </w:r>
    </w:p>
    <w:p w14:paraId="6D1D8A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u w:val="none"/>
          <w:lang w:val="en-US" w:eastAsia="zh-CN"/>
        </w:rPr>
      </w:pPr>
      <w:r>
        <w:rPr>
          <w:rFonts w:hint="eastAsia" w:ascii="楷体_GB2312" w:hAnsi="楷体_GB2312" w:eastAsia="楷体_GB2312" w:cs="楷体_GB2312"/>
          <w:sz w:val="32"/>
          <w:szCs w:val="32"/>
          <w:lang w:val="en-US" w:eastAsia="zh-CN"/>
        </w:rPr>
        <w:t>防洪措施。</w:t>
      </w:r>
      <w:r>
        <w:rPr>
          <w:rFonts w:hint="eastAsia" w:ascii="仿宋_GB2312" w:hAnsi="仿宋_GB2312" w:eastAsia="仿宋_GB2312" w:cs="仿宋_GB2312"/>
          <w:sz w:val="32"/>
          <w:szCs w:val="32"/>
          <w:u w:val="none"/>
          <w:lang w:val="en-US" w:eastAsia="zh-CN"/>
        </w:rPr>
        <w:t>实施乡政府驻地及周边村庄排洪渠维修改造，整治排洪沟、道路边沟，实施清障疏浚，必要地段采取工程措施进行加固处理，保障行洪排涝的系统性和通达性，提高乡政府驻地防洪能力。</w:t>
      </w:r>
    </w:p>
    <w:p w14:paraId="60F8EFF7">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消防工程</w:t>
      </w:r>
    </w:p>
    <w:p w14:paraId="6C29BE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消防设施。</w:t>
      </w:r>
      <w:r>
        <w:rPr>
          <w:rFonts w:hint="eastAsia" w:ascii="仿宋_GB2312" w:hAnsi="仿宋_GB2312" w:eastAsia="仿宋_GB2312" w:cs="仿宋_GB2312"/>
          <w:sz w:val="32"/>
          <w:szCs w:val="32"/>
          <w:lang w:val="en-US" w:eastAsia="zh-CN"/>
        </w:rPr>
        <w:t>完善消防设施建设，</w:t>
      </w:r>
      <w:r>
        <w:rPr>
          <w:rFonts w:hint="eastAsia" w:eastAsia="仿宋_GB2312" w:asciiTheme="minorHAnsi" w:hAnsiTheme="minorHAnsi" w:cstheme="minorBidi"/>
          <w:kern w:val="2"/>
          <w:sz w:val="32"/>
          <w:szCs w:val="22"/>
          <w:lang w:val="en-US" w:eastAsia="zh-CN" w:bidi="ar-SA"/>
        </w:rPr>
        <w:t>建立沙珠玉乡政府专职消防队，</w:t>
      </w:r>
      <w:r>
        <w:rPr>
          <w:rFonts w:hint="eastAsia" w:ascii="仿宋_GB2312" w:hAnsi="仿宋_GB2312" w:eastAsia="仿宋_GB2312" w:cs="仿宋_GB2312"/>
          <w:sz w:val="32"/>
          <w:szCs w:val="32"/>
          <w:lang w:val="en-US" w:eastAsia="zh-CN"/>
        </w:rPr>
        <w:t>各类公共场所设置消防设施，村委会内设置微型消防站，提升灾害事故快速响应、高效救援能力。</w:t>
      </w:r>
    </w:p>
    <w:p w14:paraId="36F85FB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消防供水。</w:t>
      </w:r>
      <w:r>
        <w:rPr>
          <w:rFonts w:hint="eastAsia" w:ascii="仿宋_GB2312" w:hAnsi="仿宋_GB2312" w:eastAsia="仿宋_GB2312" w:cs="仿宋_GB2312"/>
          <w:sz w:val="32"/>
          <w:szCs w:val="32"/>
          <w:lang w:val="en-US" w:eastAsia="zh-CN"/>
        </w:rPr>
        <w:t>加强消防供水建设，形成市政水源为主、天然水源为辅的消防供水体系。规划在乡政府驻地南端新建200立方米消防水池及配套设施，消防用水近期取自消防水池，远期取自给水管网，消防给水管径不应小于100毫米，消火栓最大间距不应超过120米。</w:t>
      </w:r>
    </w:p>
    <w:p w14:paraId="273EDF87">
      <w:pPr>
        <w:ind w:firstLine="643"/>
        <w:jc w:val="left"/>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sz w:val="32"/>
          <w:szCs w:val="32"/>
          <w:lang w:val="en-US" w:eastAsia="zh-CN"/>
        </w:rPr>
        <w:t>消防通道。</w:t>
      </w:r>
      <w:r>
        <w:rPr>
          <w:rFonts w:hint="eastAsia" w:ascii="仿宋_GB2312" w:hAnsi="仿宋_GB2312" w:eastAsia="仿宋_GB2312" w:cs="仿宋_GB2312"/>
          <w:color w:val="auto"/>
          <w:sz w:val="32"/>
          <w:szCs w:val="32"/>
          <w:lang w:val="en-US" w:eastAsia="zh-CN"/>
        </w:rPr>
        <w:t>消防车通道应符合消防车辆安全、快捷通行的要求。加强消防车通道建设，提高集镇道路承载大型消防车的能力，确保消防车辆安全、快捷通行。</w:t>
      </w:r>
    </w:p>
    <w:p w14:paraId="072FC77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sz w:val="32"/>
          <w:szCs w:val="32"/>
          <w:lang w:val="en-US" w:eastAsia="zh-CN"/>
        </w:rPr>
        <w:t>耐火等级。</w:t>
      </w:r>
      <w:r>
        <w:rPr>
          <w:rFonts w:hint="eastAsia" w:ascii="仿宋_GB2312" w:hAnsi="仿宋_GB2312" w:eastAsia="仿宋_GB2312" w:cs="仿宋_GB2312"/>
          <w:b w:val="0"/>
          <w:bCs w:val="0"/>
          <w:sz w:val="32"/>
          <w:szCs w:val="32"/>
          <w:lang w:val="en-US" w:eastAsia="zh-CN"/>
        </w:rPr>
        <w:t>新建建筑应当达到一、二级耐火等级标准，控制三级建筑，严格限制四级建筑，不准易燃简易搭盖。</w:t>
      </w:r>
    </w:p>
    <w:p w14:paraId="7CACE77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sz w:val="32"/>
          <w:szCs w:val="32"/>
          <w:lang w:val="en-US" w:eastAsia="zh-CN"/>
        </w:rPr>
        <w:t>防火间距。</w:t>
      </w:r>
      <w:r>
        <w:rPr>
          <w:rFonts w:hint="eastAsia" w:ascii="仿宋_GB2312" w:hAnsi="仿宋_GB2312" w:eastAsia="仿宋_GB2312" w:cs="仿宋_GB2312"/>
          <w:b w:val="0"/>
          <w:bCs w:val="0"/>
          <w:sz w:val="32"/>
          <w:szCs w:val="32"/>
          <w:lang w:val="en-US" w:eastAsia="zh-CN"/>
        </w:rPr>
        <w:t>工业与民用建筑应根据建筑使用性质、建筑高度、耐火等级及火灾危险性等合理确定防火间距。建筑之间的防火间距应保证任意一侧建筑外墙受到的相邻建筑火灾辐射热强度均低于其临界引燃辐射热强度。</w:t>
      </w:r>
    </w:p>
    <w:p w14:paraId="050E90D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sz w:val="32"/>
          <w:szCs w:val="32"/>
          <w:lang w:val="en-US" w:eastAsia="zh-CN"/>
        </w:rPr>
        <w:t>消防科技赋能。</w:t>
      </w:r>
      <w:r>
        <w:rPr>
          <w:rFonts w:hint="eastAsia" w:ascii="仿宋_GB2312" w:hAnsi="仿宋_GB2312" w:eastAsia="仿宋_GB2312" w:cs="仿宋_GB2312"/>
          <w:b w:val="0"/>
          <w:bCs w:val="0"/>
          <w:sz w:val="32"/>
          <w:szCs w:val="32"/>
          <w:lang w:val="en-US" w:eastAsia="zh-CN"/>
        </w:rPr>
        <w:t>推进消防信息化建设，利用物联网、人工智能等技术手段，构建火灾防控体系，实现火灾的智能化预警和快速响应，提高消防救援的效率和准确性。</w:t>
      </w:r>
    </w:p>
    <w:p w14:paraId="6C0D4D9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lang w:val="en-US" w:eastAsia="zh-CN"/>
        </w:rPr>
      </w:pPr>
      <w:r>
        <w:rPr>
          <w:rFonts w:hint="eastAsia" w:ascii="楷体_GB2312" w:hAnsi="楷体_GB2312" w:eastAsia="楷体_GB2312" w:cs="楷体_GB2312"/>
          <w:sz w:val="32"/>
          <w:szCs w:val="32"/>
          <w:lang w:val="en-US" w:eastAsia="zh-CN"/>
        </w:rPr>
        <w:t>重点区域消防管控。</w:t>
      </w:r>
      <w:r>
        <w:rPr>
          <w:rFonts w:hint="eastAsia" w:ascii="仿宋_GB2312" w:hAnsi="仿宋_GB2312" w:eastAsia="仿宋_GB2312" w:cs="仿宋_GB2312"/>
          <w:b w:val="0"/>
          <w:bCs w:val="0"/>
          <w:sz w:val="32"/>
          <w:szCs w:val="32"/>
          <w:lang w:val="en-US" w:eastAsia="zh-CN"/>
        </w:rPr>
        <w:t>针对建筑密集、人员和物资集中区域，加强消防设施和应急救援设施配置，完善道路交通，实现快速疏散，提高救援效率；工业企业应结合火灾危险性类别，完善设施配置，设置防火分隔和消防通道。</w:t>
      </w:r>
    </w:p>
    <w:p w14:paraId="0BA29595">
      <w:pPr>
        <w:keepNext/>
        <w:keepLines/>
        <w:numPr>
          <w:ilvl w:val="0"/>
          <w:numId w:val="4"/>
        </w:numPr>
        <w:tabs>
          <w:tab w:val="left" w:pos="851"/>
        </w:tabs>
        <w:spacing w:before="300" w:line="420" w:lineRule="exact"/>
        <w:ind w:left="0" w:firstLine="640"/>
        <w:jc w:val="left"/>
        <w:outlineLvl w:val="2"/>
        <w:rPr>
          <w:rFonts w:ascii="楷体_GB2312" w:eastAsia="楷体_GB2312"/>
          <w:bCs/>
          <w:color w:val="auto"/>
          <w:sz w:val="32"/>
          <w:szCs w:val="32"/>
        </w:rPr>
      </w:pPr>
      <w:r>
        <w:rPr>
          <w:rFonts w:hint="eastAsia" w:ascii="楷体_GB2312" w:eastAsia="楷体_GB2312"/>
          <w:bCs/>
          <w:color w:val="auto"/>
          <w:sz w:val="32"/>
          <w:szCs w:val="32"/>
        </w:rPr>
        <w:t>应急体系</w:t>
      </w:r>
    </w:p>
    <w:p w14:paraId="03284C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u w:val="single"/>
          <w:lang w:val="en-US" w:eastAsia="zh-CN"/>
        </w:rPr>
        <w:t>沙珠玉乡政府作为乡域及乡政府驻地的综合防灾应急指挥中心。</w:t>
      </w:r>
      <w:r>
        <w:rPr>
          <w:rFonts w:hint="eastAsia" w:ascii="仿宋_GB2312" w:hAnsi="仿宋_GB2312" w:eastAsia="仿宋_GB2312" w:cs="仿宋_GB2312"/>
          <w:sz w:val="32"/>
          <w:szCs w:val="32"/>
          <w:lang w:val="en-US" w:eastAsia="zh-CN"/>
        </w:rPr>
        <w:t>构建以部门和乡镇为主要救援力量、以志愿消防队伍为补充的</w:t>
      </w:r>
      <w:r>
        <w:rPr>
          <w:rFonts w:hint="eastAsia" w:ascii="仿宋_GB2312" w:hAnsi="仿宋_GB2312" w:eastAsia="仿宋_GB2312" w:cs="仿宋_GB2312"/>
          <w:sz w:val="32"/>
          <w:szCs w:val="32"/>
          <w:lang w:val="zh-CN" w:eastAsia="zh-CN"/>
        </w:rPr>
        <w:t>应急</w:t>
      </w:r>
      <w:r>
        <w:rPr>
          <w:rFonts w:hint="eastAsia" w:ascii="仿宋_GB2312" w:hAnsi="仿宋_GB2312" w:eastAsia="仿宋_GB2312" w:cs="仿宋_GB2312"/>
          <w:sz w:val="32"/>
          <w:szCs w:val="32"/>
          <w:lang w:val="en-US" w:eastAsia="zh-CN"/>
        </w:rPr>
        <w:t>救援</w:t>
      </w:r>
      <w:r>
        <w:rPr>
          <w:rFonts w:hint="eastAsia" w:ascii="仿宋_GB2312" w:hAnsi="仿宋_GB2312" w:eastAsia="仿宋_GB2312" w:cs="仿宋_GB2312"/>
          <w:sz w:val="32"/>
          <w:szCs w:val="32"/>
          <w:lang w:val="zh-CN" w:eastAsia="zh-CN"/>
        </w:rPr>
        <w:t>力量</w:t>
      </w:r>
      <w:r>
        <w:rPr>
          <w:rFonts w:hint="eastAsia" w:ascii="仿宋_GB2312" w:hAnsi="仿宋_GB2312" w:eastAsia="仿宋_GB2312" w:cs="仿宋_GB2312"/>
          <w:sz w:val="32"/>
          <w:szCs w:val="32"/>
          <w:lang w:val="en-US" w:eastAsia="zh-CN"/>
        </w:rPr>
        <w:t>体系；建设乡集镇应急救灾物资储备点，建设森林草原消防应急物资装备库。</w:t>
      </w:r>
    </w:p>
    <w:p w14:paraId="7EB059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沙珠玉乡卫生院作为乡域及乡政府驻地的医疗救护中心，承担对伤员的早期治疗，</w:t>
      </w:r>
      <w:r>
        <w:rPr>
          <w:rFonts w:hint="eastAsia" w:ascii="仿宋_GB2312" w:hAnsi="仿宋_GB2312" w:eastAsia="仿宋_GB2312" w:cs="仿宋_GB2312"/>
          <w:sz w:val="32"/>
          <w:szCs w:val="32"/>
          <w:lang w:val="zh-CN" w:eastAsia="zh-CN"/>
        </w:rPr>
        <w:t>应对突发性公共卫生事件</w:t>
      </w:r>
      <w:r>
        <w:rPr>
          <w:rFonts w:hint="eastAsia" w:ascii="仿宋_GB2312" w:hAnsi="仿宋_GB2312" w:eastAsia="仿宋_GB2312" w:cs="仿宋_GB2312"/>
          <w:sz w:val="32"/>
          <w:szCs w:val="32"/>
          <w:lang w:val="en-US" w:eastAsia="zh-CN"/>
        </w:rPr>
        <w:t>。</w:t>
      </w:r>
    </w:p>
    <w:p w14:paraId="48A190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lang w:val="en-US" w:eastAsia="zh-CN"/>
        </w:rPr>
        <w:t>结合公园、绿地、广场、学校操场、体育场馆等设置避难场所，</w:t>
      </w:r>
      <w:r>
        <w:rPr>
          <w:rFonts w:hint="eastAsia" w:ascii="仿宋_GB2312" w:hAnsi="仿宋_GB2312" w:eastAsia="仿宋_GB2312" w:cs="仿宋_GB2312"/>
          <w:sz w:val="32"/>
          <w:szCs w:val="32"/>
          <w:u w:val="single"/>
          <w:lang w:val="en-US" w:eastAsia="zh-CN"/>
        </w:rPr>
        <w:t>规划期末，人均应急避难场所面积不小于2平方米。</w:t>
      </w:r>
    </w:p>
    <w:p w14:paraId="1126E0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规划以县道及干路作为主要疏散通道，以支路作为次要疏散通道。</w:t>
      </w:r>
    </w:p>
    <w:p w14:paraId="54A24208">
      <w:pPr>
        <w:pStyle w:val="6"/>
        <w:keepNext/>
        <w:keepLines/>
        <w:pageBreakBefore w:val="0"/>
        <w:widowControl w:val="0"/>
        <w:numPr>
          <w:ilvl w:val="1"/>
          <w:numId w:val="10"/>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color w:val="auto"/>
          <w:lang w:val="zh-CN"/>
        </w:rPr>
      </w:pPr>
      <w:bookmarkStart w:id="77" w:name="_Toc8138"/>
      <w:r>
        <w:rPr>
          <w:rFonts w:hint="eastAsia" w:ascii="Arial" w:hAnsi="Arial" w:eastAsia="黑体" w:cs="Times New Roman"/>
          <w:b w:val="0"/>
          <w:color w:val="auto"/>
          <w:lang w:val="en-US" w:eastAsia="zh-CN"/>
        </w:rPr>
        <w:t>集</w:t>
      </w:r>
      <w:r>
        <w:rPr>
          <w:rFonts w:hint="eastAsia" w:ascii="Arial" w:hAnsi="Arial" w:eastAsia="黑体" w:cs="Times New Roman"/>
          <w:b w:val="0"/>
          <w:color w:val="auto"/>
          <w:lang w:val="zh-CN"/>
        </w:rPr>
        <w:t>镇风貌引导与管控</w:t>
      </w:r>
      <w:bookmarkEnd w:id="77"/>
    </w:p>
    <w:p w14:paraId="50DDA444">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集镇</w:t>
      </w:r>
      <w:r>
        <w:rPr>
          <w:rFonts w:hint="eastAsia" w:ascii="楷体_GB2312" w:hAnsi="Times New Roman" w:eastAsia="楷体_GB2312" w:cs="Times New Roman"/>
          <w:bCs/>
          <w:sz w:val="32"/>
          <w:szCs w:val="32"/>
        </w:rPr>
        <w:t>风貌定位</w:t>
      </w:r>
    </w:p>
    <w:p w14:paraId="64C373A4">
      <w:pPr>
        <w:pStyle w:val="11"/>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规划沙珠玉</w:t>
      </w:r>
      <w:r>
        <w:rPr>
          <w:rFonts w:hint="eastAsia" w:ascii="仿宋_GB2312" w:hAnsi="仿宋_GB2312" w:cs="仿宋_GB2312"/>
          <w:szCs w:val="32"/>
          <w:lang w:val="en-US" w:eastAsia="zh-CN"/>
        </w:rPr>
        <w:t>乡集镇</w:t>
      </w:r>
      <w:r>
        <w:rPr>
          <w:rFonts w:hint="eastAsia" w:ascii="仿宋_GB2312" w:hAnsi="仿宋_GB2312" w:eastAsia="仿宋_GB2312" w:cs="仿宋_GB2312"/>
          <w:szCs w:val="32"/>
        </w:rPr>
        <w:t>的风貌特色定位为“活力集镇、生态绿洲”。</w:t>
      </w:r>
    </w:p>
    <w:p w14:paraId="2D63E9B3">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集镇</w:t>
      </w:r>
      <w:r>
        <w:rPr>
          <w:rFonts w:hint="eastAsia" w:ascii="楷体_GB2312" w:hAnsi="Times New Roman" w:eastAsia="楷体_GB2312" w:cs="Times New Roman"/>
          <w:bCs/>
          <w:sz w:val="32"/>
          <w:szCs w:val="32"/>
        </w:rPr>
        <w:t>风貌引导</w:t>
      </w:r>
    </w:p>
    <w:p w14:paraId="241006E2">
      <w:pPr>
        <w:pStyle w:val="11"/>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保留</w:t>
      </w:r>
      <w:r>
        <w:rPr>
          <w:rFonts w:hint="eastAsia" w:ascii="仿宋_GB2312" w:hAnsi="仿宋_GB2312" w:cs="仿宋_GB2312"/>
          <w:szCs w:val="32"/>
          <w:lang w:val="en-US" w:eastAsia="zh-CN"/>
        </w:rPr>
        <w:t>集镇</w:t>
      </w:r>
      <w:r>
        <w:rPr>
          <w:rFonts w:hint="eastAsia" w:ascii="仿宋_GB2312" w:hAnsi="仿宋_GB2312" w:eastAsia="仿宋_GB2312" w:cs="仿宋_GB2312"/>
          <w:szCs w:val="32"/>
        </w:rPr>
        <w:t>原有乡村肌理，即以沙珠玉大街串联东、西两大居住组团，内部村庄布局形态为棋盘式，规划强化恰藏路南北向空间轴线，重点打造十字交叉空间节点景观，形成“一心引领、轴带联动、三区多点”的空间风貌格局。</w:t>
      </w:r>
    </w:p>
    <w:p w14:paraId="4A30C0CD">
      <w:pPr>
        <w:pStyle w:val="11"/>
        <w:ind w:firstLine="640"/>
        <w:rPr>
          <w:rFonts w:hint="eastAsia" w:ascii="仿宋_GB2312" w:hAnsi="仿宋_GB2312" w:eastAsia="仿宋_GB2312" w:cs="仿宋_GB2312"/>
          <w:szCs w:val="32"/>
        </w:rPr>
      </w:pPr>
      <w:r>
        <w:rPr>
          <w:rFonts w:hint="eastAsia" w:ascii="楷体_GB2312" w:hAnsi="楷体_GB2312" w:eastAsia="楷体_GB2312" w:cs="楷体_GB2312"/>
          <w:kern w:val="2"/>
          <w:sz w:val="32"/>
          <w:szCs w:val="32"/>
          <w:lang w:val="en-US" w:eastAsia="zh-CN" w:bidi="ar-SA"/>
        </w:rPr>
        <w:t>“一心”</w:t>
      </w:r>
      <w:r>
        <w:rPr>
          <w:rFonts w:hint="eastAsia" w:ascii="仿宋_GB2312" w:hAnsi="仿宋_GB2312" w:eastAsia="仿宋_GB2312" w:cs="仿宋_GB2312"/>
          <w:szCs w:val="32"/>
        </w:rPr>
        <w:t>指行政景观核心，围绕乡政府形成的一组公共建筑，利用十字路口空间，打造</w:t>
      </w:r>
      <w:r>
        <w:rPr>
          <w:rFonts w:hint="eastAsia" w:ascii="仿宋_GB2312" w:hAnsi="仿宋_GB2312" w:eastAsia="仿宋_GB2312" w:cs="仿宋_GB2312"/>
          <w:szCs w:val="32"/>
          <w:lang w:eastAsia="zh-CN"/>
        </w:rPr>
        <w:t>乡政府驻地</w:t>
      </w:r>
      <w:r>
        <w:rPr>
          <w:rFonts w:hint="eastAsia" w:ascii="仿宋_GB2312" w:hAnsi="仿宋_GB2312" w:eastAsia="仿宋_GB2312" w:cs="仿宋_GB2312"/>
          <w:szCs w:val="32"/>
        </w:rPr>
        <w:t>的核心景观，塑造</w:t>
      </w:r>
      <w:r>
        <w:rPr>
          <w:rFonts w:hint="eastAsia" w:ascii="仿宋_GB2312" w:hAnsi="仿宋_GB2312" w:eastAsia="仿宋_GB2312" w:cs="仿宋_GB2312"/>
          <w:szCs w:val="32"/>
          <w:lang w:val="en-US" w:eastAsia="zh-CN"/>
        </w:rPr>
        <w:t>体现沙珠玉人民治沙精神的</w:t>
      </w:r>
      <w:r>
        <w:rPr>
          <w:rFonts w:hint="eastAsia" w:ascii="仿宋_GB2312" w:hAnsi="仿宋_GB2312" w:eastAsia="仿宋_GB2312" w:cs="仿宋_GB2312"/>
          <w:szCs w:val="32"/>
        </w:rPr>
        <w:t>简约大气建筑形象。</w:t>
      </w:r>
    </w:p>
    <w:p w14:paraId="55BAE325">
      <w:pPr>
        <w:pStyle w:val="11"/>
        <w:ind w:firstLine="640"/>
        <w:rPr>
          <w:rFonts w:hint="eastAsia" w:ascii="仿宋_GB2312" w:hAnsi="仿宋_GB2312" w:eastAsia="仿宋_GB2312" w:cs="仿宋_GB2312"/>
          <w:szCs w:val="32"/>
        </w:rPr>
      </w:pPr>
      <w:r>
        <w:rPr>
          <w:rFonts w:hint="eastAsia" w:ascii="楷体_GB2312" w:hAnsi="楷体_GB2312" w:eastAsia="楷体_GB2312" w:cs="楷体_GB2312"/>
          <w:kern w:val="2"/>
          <w:sz w:val="32"/>
          <w:szCs w:val="32"/>
          <w:lang w:val="en-US" w:eastAsia="zh-CN" w:bidi="ar-SA"/>
        </w:rPr>
        <w:t>“轴带联动”</w:t>
      </w:r>
      <w:r>
        <w:rPr>
          <w:rFonts w:hint="eastAsia" w:ascii="仿宋_GB2312" w:hAnsi="仿宋_GB2312" w:eastAsia="仿宋_GB2312" w:cs="仿宋_GB2312"/>
          <w:szCs w:val="32"/>
        </w:rPr>
        <w:t>指东西向的集镇风貌景观轴和南北向的人文景观带。沿沙珠玉大街布局集镇公共服务设施和商业设施，塑造</w:t>
      </w:r>
      <w:r>
        <w:rPr>
          <w:rFonts w:hint="eastAsia" w:ascii="仿宋_GB2312" w:hAnsi="仿宋_GB2312" w:eastAsia="仿宋_GB2312" w:cs="仿宋_GB2312"/>
          <w:szCs w:val="32"/>
          <w:lang w:val="en-US" w:eastAsia="zh-CN"/>
        </w:rPr>
        <w:t>沙珠玉乡政府驻地</w:t>
      </w:r>
      <w:r>
        <w:rPr>
          <w:rFonts w:hint="eastAsia" w:ascii="仿宋_GB2312" w:hAnsi="仿宋_GB2312" w:eastAsia="仿宋_GB2312" w:cs="仿宋_GB2312"/>
          <w:szCs w:val="32"/>
        </w:rPr>
        <w:t>活力形象；沿恰藏路营造道路景观，依托珠玉岗、嘛呢康、治沙站、治沙展览馆等文化元素，打造</w:t>
      </w:r>
      <w:r>
        <w:rPr>
          <w:rFonts w:hint="eastAsia" w:ascii="仿宋_GB2312" w:hAnsi="仿宋_GB2312" w:eastAsia="仿宋_GB2312" w:cs="仿宋_GB2312"/>
          <w:szCs w:val="32"/>
          <w:lang w:val="en-US" w:eastAsia="zh-CN"/>
        </w:rPr>
        <w:t>体现沙珠玉治沙精神的</w:t>
      </w:r>
      <w:r>
        <w:rPr>
          <w:rFonts w:hint="eastAsia" w:ascii="仿宋_GB2312" w:hAnsi="仿宋_GB2312" w:eastAsia="仿宋_GB2312" w:cs="仿宋_GB2312"/>
          <w:szCs w:val="32"/>
        </w:rPr>
        <w:t>人文景观展示带。</w:t>
      </w:r>
    </w:p>
    <w:p w14:paraId="4D1D4EB9">
      <w:pPr>
        <w:pStyle w:val="11"/>
        <w:ind w:firstLine="640"/>
        <w:rPr>
          <w:rFonts w:hint="eastAsia" w:ascii="仿宋_GB2312" w:hAnsi="仿宋_GB2312" w:eastAsia="仿宋_GB2312" w:cs="仿宋_GB2312"/>
          <w:szCs w:val="32"/>
        </w:rPr>
      </w:pPr>
      <w:r>
        <w:rPr>
          <w:rFonts w:hint="eastAsia" w:ascii="楷体_GB2312" w:hAnsi="楷体_GB2312" w:eastAsia="楷体_GB2312" w:cs="楷体_GB2312"/>
          <w:kern w:val="2"/>
          <w:sz w:val="32"/>
          <w:szCs w:val="32"/>
          <w:lang w:val="en-US" w:eastAsia="zh-CN" w:bidi="ar-SA"/>
        </w:rPr>
        <w:t>“三区”</w:t>
      </w:r>
      <w:r>
        <w:rPr>
          <w:rFonts w:hint="eastAsia" w:ascii="仿宋_GB2312" w:hAnsi="仿宋_GB2312" w:eastAsia="仿宋_GB2312" w:cs="仿宋_GB2312"/>
          <w:szCs w:val="32"/>
        </w:rPr>
        <w:t>指行政文化风貌片区、特色产业风貌片区、田园宜居风貌片区。行政文化风貌片区展现沙珠玉</w:t>
      </w:r>
      <w:r>
        <w:rPr>
          <w:rFonts w:hint="eastAsia" w:ascii="仿宋_GB2312" w:hAnsi="仿宋_GB2312" w:eastAsia="仿宋_GB2312" w:cs="仿宋_GB2312"/>
          <w:szCs w:val="32"/>
          <w:lang w:eastAsia="zh-CN"/>
        </w:rPr>
        <w:t>乡政府驻地</w:t>
      </w:r>
      <w:r>
        <w:rPr>
          <w:rFonts w:hint="eastAsia" w:ascii="仿宋_GB2312" w:hAnsi="仿宋_GB2312" w:eastAsia="仿宋_GB2312" w:cs="仿宋_GB2312"/>
          <w:szCs w:val="32"/>
        </w:rPr>
        <w:t>形象特色，建筑风格以现代风格为主，</w:t>
      </w:r>
      <w:r>
        <w:rPr>
          <w:rFonts w:hint="eastAsia" w:ascii="仿宋_GB2312" w:hAnsi="仿宋_GB2312" w:eastAsia="仿宋_GB2312" w:cs="仿宋_GB2312"/>
          <w:szCs w:val="32"/>
          <w:lang w:val="en-US" w:eastAsia="zh-CN"/>
        </w:rPr>
        <w:t>各类标识突出治沙历史，</w:t>
      </w:r>
      <w:r>
        <w:rPr>
          <w:rFonts w:hint="eastAsia" w:ascii="仿宋_GB2312" w:hAnsi="仿宋_GB2312" w:eastAsia="仿宋_GB2312" w:cs="仿宋_GB2312"/>
          <w:szCs w:val="32"/>
        </w:rPr>
        <w:t>鼓励传统建筑风格的现代演绎。特色产业风貌片区突出现代农牧加工新风貌，以有机蚕豆生产基地为核心，建筑风格以现代风格为主，办公、展示等功能建筑沿恰藏路布局，不出现高度、体量、色彩、界面尺度过于突兀的建筑或建筑群组。田园宜居风貌区体现与田园环境相协调的村居风貌，增加街巷绿化，建筑风格以仿藏式风格为主，保留村庄肌理，严控建筑体量。</w:t>
      </w:r>
    </w:p>
    <w:p w14:paraId="596D1A87">
      <w:pPr>
        <w:pStyle w:val="11"/>
        <w:ind w:firstLine="640"/>
        <w:rPr>
          <w:rFonts w:hint="eastAsia" w:ascii="仿宋_GB2312" w:hAnsi="仿宋_GB2312" w:eastAsia="仿宋_GB2312" w:cs="仿宋_GB2312"/>
          <w:szCs w:val="32"/>
        </w:rPr>
      </w:pPr>
      <w:r>
        <w:rPr>
          <w:rFonts w:hint="eastAsia" w:ascii="楷体_GB2312" w:hAnsi="楷体_GB2312" w:eastAsia="楷体_GB2312" w:cs="楷体_GB2312"/>
          <w:kern w:val="2"/>
          <w:sz w:val="32"/>
          <w:szCs w:val="32"/>
          <w:lang w:val="en-US" w:eastAsia="zh-CN" w:bidi="ar-SA"/>
        </w:rPr>
        <w:t>“多点”</w:t>
      </w:r>
      <w:r>
        <w:rPr>
          <w:rFonts w:hint="eastAsia" w:ascii="仿宋_GB2312" w:hAnsi="仿宋_GB2312" w:eastAsia="仿宋_GB2312" w:cs="仿宋_GB2312"/>
          <w:szCs w:val="32"/>
        </w:rPr>
        <w:t>即由各类开敞空间、公园、广场等形成的景观节点。通过科学配置绿地植物群落，塑造良好的景观形象。</w:t>
      </w:r>
    </w:p>
    <w:p w14:paraId="225EC855">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重点要素管控</w:t>
      </w:r>
    </w:p>
    <w:p w14:paraId="41F04DEE">
      <w:pPr>
        <w:pStyle w:val="11"/>
        <w:ind w:firstLine="640"/>
        <w:rPr>
          <w:rFonts w:hint="eastAsia" w:ascii="仿宋_GB2312" w:hAnsi="仿宋_GB2312" w:eastAsia="仿宋_GB2312" w:cs="仿宋_GB2312"/>
          <w:szCs w:val="32"/>
        </w:rPr>
      </w:pPr>
      <w:r>
        <w:rPr>
          <w:rFonts w:hint="eastAsia" w:ascii="楷体_GB2312" w:hAnsi="楷体_GB2312" w:eastAsia="楷体_GB2312" w:cs="楷体_GB2312"/>
          <w:kern w:val="2"/>
          <w:sz w:val="32"/>
          <w:szCs w:val="32"/>
          <w:lang w:val="en-US" w:eastAsia="zh-CN" w:bidi="ar-SA"/>
        </w:rPr>
        <w:t>建筑高度。</w:t>
      </w:r>
      <w:r>
        <w:rPr>
          <w:rFonts w:hint="eastAsia" w:ascii="仿宋_GB2312" w:hAnsi="仿宋_GB2312" w:eastAsia="仿宋_GB2312" w:cs="仿宋_GB2312"/>
          <w:szCs w:val="32"/>
        </w:rPr>
        <w:t>临街商业建筑层数一般应设置为1至2层；重要的公共建筑及标志性建筑不</w:t>
      </w:r>
      <w:r>
        <w:rPr>
          <w:rFonts w:hint="eastAsia" w:ascii="仿宋_GB2312" w:hAnsi="仿宋_GB2312" w:eastAsia="仿宋_GB2312" w:cs="仿宋_GB2312"/>
          <w:szCs w:val="32"/>
          <w:lang w:val="en-US" w:eastAsia="zh-CN"/>
        </w:rPr>
        <w:t>宜</w:t>
      </w:r>
      <w:r>
        <w:rPr>
          <w:rFonts w:hint="eastAsia" w:ascii="仿宋_GB2312" w:hAnsi="仿宋_GB2312" w:eastAsia="仿宋_GB2312" w:cs="仿宋_GB2312"/>
          <w:szCs w:val="32"/>
        </w:rPr>
        <w:t>超过4层；居住建筑以1-2层为宜。</w:t>
      </w:r>
    </w:p>
    <w:p w14:paraId="307E53A1">
      <w:pPr>
        <w:pStyle w:val="11"/>
        <w:ind w:firstLine="640"/>
        <w:rPr>
          <w:rFonts w:hint="eastAsia" w:ascii="仿宋_GB2312" w:hAnsi="仿宋_GB2312" w:eastAsia="仿宋_GB2312" w:cs="仿宋_GB2312"/>
          <w:szCs w:val="32"/>
        </w:rPr>
      </w:pPr>
      <w:r>
        <w:rPr>
          <w:rFonts w:hint="eastAsia" w:ascii="楷体_GB2312" w:hAnsi="楷体_GB2312" w:eastAsia="楷体_GB2312" w:cs="楷体_GB2312"/>
          <w:kern w:val="2"/>
          <w:sz w:val="32"/>
          <w:szCs w:val="32"/>
          <w:lang w:val="en-US" w:eastAsia="zh-CN" w:bidi="ar-SA"/>
        </w:rPr>
        <w:t>建筑风格。</w:t>
      </w:r>
      <w:r>
        <w:rPr>
          <w:rFonts w:hint="eastAsia" w:ascii="仿宋_GB2312" w:hAnsi="仿宋_GB2312" w:eastAsia="仿宋_GB2312" w:cs="仿宋_GB2312"/>
          <w:szCs w:val="32"/>
        </w:rPr>
        <w:t>公共建筑以现代风格为主，加强裙房部分、屋顶和檐口建筑设计，屋顶形式宜采用平屋顶，鼓励传统建筑风格的现代演绎，适量体现藏式元素。民居建筑以仿藏式风格为主，抽象、简化藏式元素，弱化符号化的装饰，宜采用传统肌理演绎形式，包括围合式、簇群式、行列式，鼓励丰富多样的建筑组合形式。</w:t>
      </w:r>
    </w:p>
    <w:p w14:paraId="5BFA88E2">
      <w:pPr>
        <w:pStyle w:val="11"/>
        <w:ind w:firstLine="640"/>
        <w:rPr>
          <w:rFonts w:hint="eastAsia" w:ascii="仿宋_GB2312" w:hAnsi="仿宋_GB2312" w:eastAsia="仿宋_GB2312" w:cs="仿宋_GB2312"/>
          <w:szCs w:val="32"/>
        </w:rPr>
      </w:pPr>
      <w:r>
        <w:rPr>
          <w:rFonts w:hint="eastAsia" w:ascii="楷体_GB2312" w:hAnsi="楷体_GB2312" w:eastAsia="楷体_GB2312" w:cs="楷体_GB2312"/>
          <w:kern w:val="2"/>
          <w:sz w:val="32"/>
          <w:szCs w:val="32"/>
          <w:lang w:val="en-US" w:eastAsia="zh-CN" w:bidi="ar-SA"/>
        </w:rPr>
        <w:t>建筑体量。</w:t>
      </w:r>
      <w:r>
        <w:rPr>
          <w:rFonts w:hint="eastAsia" w:ascii="仿宋_GB2312" w:hAnsi="仿宋_GB2312" w:eastAsia="仿宋_GB2312" w:cs="仿宋_GB2312"/>
          <w:sz w:val="32"/>
          <w:szCs w:val="32"/>
          <w:lang w:eastAsia="zh-CN"/>
        </w:rPr>
        <w:t>总体形成中低开发强度、集约紧凑的建设模式</w:t>
      </w:r>
      <w:r>
        <w:rPr>
          <w:rFonts w:hint="eastAsia" w:ascii="仿宋_GB2312" w:hAnsi="仿宋_GB2312" w:cs="仿宋_GB2312"/>
          <w:sz w:val="32"/>
          <w:szCs w:val="32"/>
          <w:lang w:eastAsia="zh-CN"/>
        </w:rPr>
        <w:t>，</w:t>
      </w:r>
      <w:r>
        <w:rPr>
          <w:rFonts w:hint="eastAsia" w:ascii="仿宋_GB2312" w:hAnsi="仿宋_GB2312" w:eastAsia="仿宋_GB2312" w:cs="仿宋_GB2312"/>
          <w:szCs w:val="32"/>
        </w:rPr>
        <w:t>单体建筑长度不应超过80米。</w:t>
      </w:r>
    </w:p>
    <w:p w14:paraId="26233E78">
      <w:pPr>
        <w:pStyle w:val="11"/>
        <w:ind w:firstLine="640"/>
        <w:rPr>
          <w:rFonts w:hint="eastAsia" w:ascii="仿宋_GB2312" w:hAnsi="仿宋_GB2312" w:eastAsia="仿宋_GB2312" w:cs="仿宋_GB2312"/>
          <w:szCs w:val="32"/>
        </w:rPr>
      </w:pPr>
      <w:r>
        <w:rPr>
          <w:rFonts w:hint="eastAsia" w:ascii="楷体_GB2312" w:hAnsi="楷体_GB2312" w:eastAsia="楷体_GB2312" w:cs="楷体_GB2312"/>
          <w:kern w:val="2"/>
          <w:sz w:val="32"/>
          <w:szCs w:val="32"/>
          <w:lang w:val="en-US" w:eastAsia="zh-CN" w:bidi="ar-SA"/>
        </w:rPr>
        <w:t>建筑色彩。</w:t>
      </w:r>
      <w:r>
        <w:rPr>
          <w:rFonts w:hint="eastAsia" w:ascii="仿宋_GB2312" w:hAnsi="仿宋_GB2312" w:eastAsia="仿宋_GB2312" w:cs="仿宋_GB2312"/>
          <w:szCs w:val="32"/>
        </w:rPr>
        <w:t>外墙采用白色或土黄色，木料、檐口采用暗红色，保持色彩朴素协调。</w:t>
      </w:r>
    </w:p>
    <w:p w14:paraId="0FF30F52">
      <w:pPr>
        <w:pStyle w:val="11"/>
        <w:ind w:firstLine="640"/>
        <w:rPr>
          <w:rFonts w:hint="eastAsia" w:ascii="仿宋_GB2312" w:hAnsi="仿宋_GB2312" w:eastAsia="仿宋_GB2312" w:cs="仿宋_GB2312"/>
          <w:szCs w:val="32"/>
        </w:rPr>
      </w:pPr>
      <w:r>
        <w:rPr>
          <w:rFonts w:hint="eastAsia" w:ascii="楷体_GB2312" w:hAnsi="楷体_GB2312" w:eastAsia="楷体_GB2312" w:cs="楷体_GB2312"/>
          <w:kern w:val="2"/>
          <w:sz w:val="32"/>
          <w:szCs w:val="32"/>
          <w:lang w:val="en-US" w:eastAsia="zh-CN" w:bidi="ar-SA"/>
        </w:rPr>
        <w:t>绿化要求。</w:t>
      </w:r>
      <w:r>
        <w:rPr>
          <w:rFonts w:hint="eastAsia" w:ascii="仿宋_GB2312" w:hAnsi="仿宋_GB2312" w:eastAsia="仿宋_GB2312" w:cs="仿宋_GB2312"/>
          <w:szCs w:val="32"/>
        </w:rPr>
        <w:t>按照道路性质，采用绿化、小品等进行街景设计。重要节点完善绿地植物配景，提升绿化质量。保护驻地北侧林带。</w:t>
      </w:r>
    </w:p>
    <w:p w14:paraId="1BDCD955">
      <w:pPr>
        <w:rPr>
          <w:rFonts w:hint="eastAsia" w:ascii="Times New Roman" w:hAnsi="Times New Roman" w:eastAsia="方正小标宋简体" w:cs="Times New Roman"/>
          <w:b w:val="0"/>
          <w:bCs w:val="0"/>
          <w:sz w:val="36"/>
          <w:szCs w:val="36"/>
        </w:rPr>
      </w:pPr>
      <w:r>
        <w:rPr>
          <w:rFonts w:hint="eastAsia" w:ascii="Times New Roman" w:hAnsi="Times New Roman" w:eastAsia="方正小标宋简体" w:cs="Times New Roman"/>
          <w:b w:val="0"/>
          <w:bCs w:val="0"/>
          <w:sz w:val="36"/>
          <w:szCs w:val="36"/>
        </w:rPr>
        <w:br w:type="page"/>
      </w:r>
    </w:p>
    <w:p w14:paraId="4251B563">
      <w:pPr>
        <w:pStyle w:val="5"/>
        <w:keepNext/>
        <w:keepLines/>
        <w:pageBreakBefore w:val="0"/>
        <w:widowControl w:val="0"/>
        <w:numPr>
          <w:ilvl w:val="0"/>
          <w:numId w:val="2"/>
        </w:numPr>
        <w:kinsoku/>
        <w:wordWrap/>
        <w:overflowPunct/>
        <w:topLinePunct w:val="0"/>
        <w:autoSpaceDE/>
        <w:autoSpaceDN/>
        <w:bidi w:val="0"/>
        <w:adjustRightInd/>
        <w:snapToGrid/>
        <w:spacing w:before="313" w:beforeLines="100" w:after="313" w:afterLines="100" w:line="520" w:lineRule="exact"/>
        <w:ind w:left="0" w:leftChars="0" w:firstLine="0" w:firstLineChars="0"/>
        <w:jc w:val="center"/>
        <w:textAlignment w:val="auto"/>
        <w:rPr>
          <w:rFonts w:hint="eastAsia" w:ascii="Times New Roman" w:hAnsi="Times New Roman" w:eastAsia="方正小标宋简体" w:cs="Times New Roman"/>
          <w:b w:val="0"/>
          <w:bCs w:val="0"/>
          <w:sz w:val="36"/>
          <w:szCs w:val="36"/>
        </w:rPr>
      </w:pPr>
      <w:bookmarkStart w:id="78" w:name="_Toc26044"/>
      <w:r>
        <w:rPr>
          <w:rFonts w:hint="eastAsia" w:ascii="Times New Roman" w:hAnsi="Times New Roman" w:eastAsia="方正小标宋简体" w:cs="Times New Roman"/>
          <w:b w:val="0"/>
          <w:bCs w:val="0"/>
          <w:sz w:val="36"/>
          <w:szCs w:val="36"/>
        </w:rPr>
        <w:t>历史文化保护与景观风貌引导</w:t>
      </w:r>
      <w:bookmarkEnd w:id="78"/>
    </w:p>
    <w:p w14:paraId="761B70B6">
      <w:pPr>
        <w:pStyle w:val="6"/>
        <w:keepNext/>
        <w:keepLines/>
        <w:pageBreakBefore w:val="0"/>
        <w:widowControl w:val="0"/>
        <w:numPr>
          <w:ilvl w:val="1"/>
          <w:numId w:val="11"/>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79" w:name="_Toc22335"/>
      <w:r>
        <w:rPr>
          <w:rFonts w:hint="eastAsia" w:ascii="Arial" w:hAnsi="Arial" w:eastAsia="黑体" w:cs="Times New Roman"/>
          <w:b w:val="0"/>
          <w:lang w:val="en-US" w:eastAsia="zh-CN"/>
        </w:rPr>
        <w:t>历史文化保护与传承</w:t>
      </w:r>
      <w:bookmarkEnd w:id="79"/>
    </w:p>
    <w:p w14:paraId="3E244D83">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历史文化资源保护体系</w:t>
      </w:r>
    </w:p>
    <w:p w14:paraId="5831C9E9">
      <w:pPr>
        <w:pStyle w:val="11"/>
        <w:ind w:firstLine="640"/>
        <w:rPr>
          <w:rFonts w:hint="eastAsia" w:ascii="仿宋_GB2312" w:hAnsi="仿宋_GB2312" w:eastAsia="仿宋_GB2312" w:cs="仿宋_GB2312"/>
          <w:szCs w:val="32"/>
          <w:lang w:val="en-US" w:eastAsia="zh-CN"/>
        </w:rPr>
      </w:pPr>
      <w:r>
        <w:rPr>
          <w:rFonts w:hint="eastAsia" w:ascii="楷体_GB2312" w:hAnsi="楷体_GB2312" w:eastAsia="楷体_GB2312" w:cs="楷体_GB2312"/>
          <w:szCs w:val="32"/>
          <w:lang w:val="en-US" w:eastAsia="zh-CN"/>
        </w:rPr>
        <w:t>构建“三区多点”的保护与利用格局。</w:t>
      </w:r>
      <w:r>
        <w:rPr>
          <w:rFonts w:hint="eastAsia" w:ascii="仿宋_GB2312" w:hAnsi="仿宋_GB2312" w:eastAsia="仿宋_GB2312" w:cs="仿宋_GB2312"/>
          <w:szCs w:val="32"/>
          <w:lang w:val="en-US" w:eastAsia="zh-CN"/>
        </w:rPr>
        <w:t>按主导文化类型划分为3个历史文化体验片区，包括：以沙珠玉乡居民点为主的治沙精神与民俗文化体验片区；以中部沙漠地区为主的治沙观摩与沙漠观光体验区；以南部为主的生态草场体验片区。</w:t>
      </w:r>
    </w:p>
    <w:p w14:paraId="6A511C80">
      <w:pPr>
        <w:pStyle w:val="11"/>
        <w:ind w:firstLine="640"/>
        <w:rPr>
          <w:rFonts w:hint="eastAsia" w:ascii="仿宋_GB2312" w:hAnsi="仿宋_GB2312" w:eastAsia="仿宋_GB2312" w:cs="仿宋_GB2312"/>
          <w:szCs w:val="32"/>
          <w:lang w:val="en-US" w:eastAsia="zh-CN"/>
        </w:rPr>
      </w:pPr>
      <w:r>
        <w:rPr>
          <w:rFonts w:hint="eastAsia" w:ascii="楷体_GB2312" w:hAnsi="楷体_GB2312" w:eastAsia="楷体_GB2312" w:cs="楷体_GB2312"/>
          <w:szCs w:val="32"/>
          <w:lang w:val="en-US" w:eastAsia="zh-CN"/>
        </w:rPr>
        <w:t>系统保护历史文化资源。</w:t>
      </w:r>
      <w:r>
        <w:rPr>
          <w:rFonts w:hint="eastAsia" w:ascii="仿宋_GB2312" w:hAnsi="仿宋_GB2312" w:eastAsia="仿宋_GB2312" w:cs="仿宋_GB2312"/>
          <w:szCs w:val="32"/>
          <w:lang w:val="en-US" w:eastAsia="zh-CN"/>
        </w:rPr>
        <w:t>系统保护省级文物保护单位1处</w:t>
      </w:r>
      <w:r>
        <w:rPr>
          <w:rFonts w:hint="eastAsia"/>
        </w:rPr>
        <w:t>，</w:t>
      </w:r>
      <w:r>
        <w:rPr>
          <w:rFonts w:hint="eastAsia"/>
          <w:lang w:val="en-US" w:eastAsia="zh-CN"/>
        </w:rPr>
        <w:t>即</w:t>
      </w:r>
      <w:r>
        <w:rPr>
          <w:rFonts w:hint="eastAsia"/>
        </w:rPr>
        <w:t>朱乃亥台遗址</w:t>
      </w:r>
      <w:r>
        <w:rPr>
          <w:rFonts w:hint="eastAsia"/>
          <w:lang w:eastAsia="zh-CN"/>
        </w:rPr>
        <w:t>，</w:t>
      </w:r>
      <w:r>
        <w:rPr>
          <w:rFonts w:hint="eastAsia"/>
          <w:lang w:val="en-US" w:eastAsia="zh-CN"/>
        </w:rPr>
        <w:t>系沙珠玉河北岸台地，属卡约文化时期遗址</w:t>
      </w:r>
      <w:r>
        <w:rPr>
          <w:rFonts w:hint="eastAsia"/>
          <w:lang w:eastAsia="zh-CN"/>
        </w:rPr>
        <w:t>；</w:t>
      </w:r>
      <w:r>
        <w:rPr>
          <w:rFonts w:hint="eastAsia"/>
        </w:rPr>
        <w:t>未定级不可移动文物</w:t>
      </w:r>
      <w:r>
        <w:rPr>
          <w:rFonts w:hint="eastAsia" w:ascii="仿宋_GB2312" w:hAnsi="仿宋_GB2312" w:eastAsia="仿宋_GB2312" w:cs="仿宋_GB2312"/>
          <w:lang w:val="en-US" w:eastAsia="zh-CN"/>
        </w:rPr>
        <w:t>共24处，除2</w:t>
      </w:r>
      <w:r>
        <w:rPr>
          <w:rFonts w:hint="eastAsia"/>
        </w:rPr>
        <w:t>处古生物化石点</w:t>
      </w:r>
      <w:r>
        <w:rPr>
          <w:rFonts w:hint="eastAsia"/>
          <w:lang w:val="en-US" w:eastAsia="zh-CN"/>
        </w:rPr>
        <w:t>外，其余</w:t>
      </w:r>
      <w:r>
        <w:rPr>
          <w:rFonts w:hint="eastAsia"/>
        </w:rPr>
        <w:t>类型以古遗址为主。</w:t>
      </w:r>
      <w:r>
        <w:rPr>
          <w:rFonts w:hint="eastAsia" w:ascii="仿宋_GB2312" w:hAnsi="仿宋_GB2312" w:eastAsia="仿宋_GB2312" w:cs="仿宋_GB2312"/>
          <w:szCs w:val="32"/>
          <w:lang w:val="en-US" w:eastAsia="zh-CN"/>
        </w:rPr>
        <w:t>促进历史文化资源有序转化为发展资源。</w:t>
      </w:r>
    </w:p>
    <w:p w14:paraId="5C5B1A44">
      <w:pPr>
        <w:pStyle w:val="11"/>
        <w:ind w:firstLine="640"/>
        <w:rPr>
          <w:rFonts w:hint="eastAsia"/>
        </w:rPr>
      </w:pPr>
      <w:r>
        <w:rPr>
          <w:rFonts w:hint="eastAsia" w:ascii="楷体_GB2312" w:hAnsi="楷体_GB2312" w:eastAsia="楷体_GB2312" w:cs="楷体_GB2312"/>
          <w:szCs w:val="32"/>
          <w:lang w:val="en-US" w:eastAsia="zh-CN"/>
        </w:rPr>
        <w:t>划定历史文化保护线。</w:t>
      </w:r>
      <w:r>
        <w:rPr>
          <w:rFonts w:hint="eastAsia"/>
          <w:u w:val="single"/>
          <w:lang w:val="en-US" w:eastAsia="zh-CN"/>
        </w:rPr>
        <w:t>落实上位规划</w:t>
      </w:r>
      <w:r>
        <w:rPr>
          <w:rFonts w:hint="eastAsia"/>
          <w:u w:val="single"/>
          <w:lang w:eastAsia="zh-CN"/>
        </w:rPr>
        <w:t>划定的历史文</w:t>
      </w:r>
      <w:r>
        <w:rPr>
          <w:rFonts w:hint="eastAsia"/>
          <w:u w:val="single"/>
        </w:rPr>
        <w:t>化保护线</w:t>
      </w:r>
      <w:r>
        <w:rPr>
          <w:rFonts w:hint="eastAsia"/>
          <w:u w:val="single"/>
          <w:lang w:eastAsia="zh-CN"/>
        </w:rPr>
        <w:t>，</w:t>
      </w:r>
      <w:r>
        <w:rPr>
          <w:rFonts w:hint="eastAsia" w:ascii="仿宋_GB2312" w:hAnsi="仿宋_GB2312" w:eastAsia="仿宋_GB2312" w:cs="仿宋_GB2312"/>
          <w:szCs w:val="32"/>
          <w:u w:val="single"/>
          <w:lang w:val="en-US" w:eastAsia="zh-CN"/>
        </w:rPr>
        <w:t>包括1处省级文物保护单位</w:t>
      </w:r>
      <w:r>
        <w:rPr>
          <w:rFonts w:hint="eastAsia"/>
          <w:u w:val="single"/>
        </w:rPr>
        <w:t>朱乃亥台遗址</w:t>
      </w:r>
      <w:r>
        <w:rPr>
          <w:rFonts w:hint="eastAsia"/>
          <w:u w:val="single"/>
          <w:lang w:eastAsia="zh-CN"/>
        </w:rPr>
        <w:t>的</w:t>
      </w:r>
      <w:r>
        <w:rPr>
          <w:rFonts w:hint="eastAsia"/>
          <w:u w:val="single"/>
        </w:rPr>
        <w:t>保护范围和建设控制地带范围边界，</w:t>
      </w:r>
      <w:r>
        <w:rPr>
          <w:rFonts w:hint="eastAsia"/>
          <w:u w:val="single"/>
          <w:lang w:val="en-US" w:eastAsia="zh-CN"/>
        </w:rPr>
        <w:t>其中</w:t>
      </w:r>
      <w:r>
        <w:rPr>
          <w:rFonts w:hint="eastAsia"/>
          <w:u w:val="single"/>
        </w:rPr>
        <w:t>保护</w:t>
      </w:r>
      <w:r>
        <w:rPr>
          <w:rFonts w:hint="eastAsia" w:ascii="仿宋_GB2312" w:hAnsi="仿宋_GB2312" w:eastAsia="仿宋_GB2312" w:cs="仿宋_GB2312"/>
          <w:szCs w:val="32"/>
          <w:u w:val="single"/>
          <w:lang w:val="en-US" w:eastAsia="zh-CN"/>
        </w:rPr>
        <w:t>范围6.09公顷，建设控制地带2.17公顷，历史文化保护线总面积8.27公顷</w:t>
      </w:r>
      <w:r>
        <w:rPr>
          <w:rFonts w:hint="eastAsia"/>
          <w:u w:val="single"/>
          <w:lang w:val="en-US" w:eastAsia="zh-CN"/>
        </w:rPr>
        <w:t>，</w:t>
      </w:r>
      <w:r>
        <w:rPr>
          <w:rFonts w:hint="eastAsia"/>
          <w:u w:val="single"/>
        </w:rPr>
        <w:t>按相应法律法规和批复的保护规划进行保护管理。</w:t>
      </w:r>
    </w:p>
    <w:p w14:paraId="2F571900">
      <w:pPr>
        <w:pStyle w:val="11"/>
        <w:ind w:firstLine="640"/>
        <w:rPr>
          <w:rFonts w:hint="eastAsia" w:ascii="仿宋_GB2312" w:hAnsi="仿宋_GB2312" w:eastAsia="仿宋_GB2312" w:cs="仿宋_GB2312"/>
          <w:szCs w:val="32"/>
          <w:lang w:val="en-US" w:eastAsia="zh-CN"/>
        </w:rPr>
      </w:pPr>
      <w:r>
        <w:rPr>
          <w:rFonts w:hint="eastAsia" w:ascii="楷体_GB2312" w:hAnsi="楷体_GB2312" w:eastAsia="楷体_GB2312" w:cs="楷体_GB2312"/>
          <w:szCs w:val="32"/>
          <w:lang w:val="en-US" w:eastAsia="zh-CN"/>
        </w:rPr>
        <w:t>建立保护利用与展示空间。</w:t>
      </w:r>
      <w:r>
        <w:rPr>
          <w:rFonts w:hint="eastAsia" w:ascii="仿宋_GB2312" w:hAnsi="仿宋_GB2312" w:eastAsia="仿宋_GB2312" w:cs="仿宋_GB2312"/>
          <w:szCs w:val="32"/>
          <w:lang w:val="en-US" w:eastAsia="zh-CN"/>
        </w:rPr>
        <w:t>在上卡力岗村、扎布达村、下卡力岗村共建设5个项目，用于保护、展示、利用历史文化遗产与非物质文化遗产。</w:t>
      </w:r>
    </w:p>
    <w:p w14:paraId="785F22F6">
      <w:pPr>
        <w:pStyle w:val="11"/>
        <w:ind w:firstLine="640"/>
        <w:rPr>
          <w:rFonts w:hint="eastAsia" w:ascii="仿宋_GB2312" w:hAnsi="仿宋_GB2312" w:eastAsia="仿宋_GB2312" w:cs="仿宋_GB2312"/>
          <w:szCs w:val="32"/>
          <w:lang w:val="en-US" w:eastAsia="zh-CN"/>
        </w:rPr>
      </w:pPr>
      <w:bookmarkStart w:id="80" w:name="_Hlk148273251"/>
      <w:r>
        <w:rPr>
          <w:rFonts w:hint="eastAsia" w:ascii="楷体_GB2312" w:hAnsi="楷体_GB2312" w:eastAsia="楷体_GB2312" w:cs="楷体_GB2312"/>
          <w:szCs w:val="32"/>
          <w:lang w:val="en-US" w:eastAsia="zh-CN"/>
        </w:rPr>
        <w:t>活化利用文化资源。</w:t>
      </w:r>
      <w:r>
        <w:rPr>
          <w:rFonts w:hint="eastAsia" w:ascii="仿宋_GB2312" w:hAnsi="仿宋_GB2312" w:eastAsia="仿宋_GB2312" w:cs="仿宋_GB2312"/>
          <w:szCs w:val="32"/>
          <w:lang w:val="en-US" w:eastAsia="zh-CN"/>
        </w:rPr>
        <w:t>立足沙珠玉治沙精神，打造红色文化旅游产业。</w:t>
      </w:r>
      <w:r>
        <w:rPr>
          <w:rFonts w:hint="eastAsia" w:ascii="仿宋_GB2312" w:hAnsi="仿宋_GB2312" w:cs="仿宋_GB2312"/>
          <w:szCs w:val="32"/>
          <w:lang w:val="en-US" w:eastAsia="zh-CN"/>
        </w:rPr>
        <w:t>持续优化提升</w:t>
      </w:r>
      <w:r>
        <w:rPr>
          <w:rFonts w:hint="eastAsia"/>
          <w:lang w:val="en-US" w:eastAsia="zh-CN"/>
        </w:rPr>
        <w:t>沙珠玉治沙历史展览馆、治沙精神教育基地等重要红色文化旅游资源。</w:t>
      </w:r>
      <w:r>
        <w:rPr>
          <w:rFonts w:hint="eastAsia" w:ascii="仿宋_GB2312" w:hAnsi="仿宋_GB2312" w:eastAsia="仿宋_GB2312" w:cs="仿宋_GB2312"/>
          <w:szCs w:val="32"/>
          <w:lang w:val="en-US" w:eastAsia="zh-CN"/>
        </w:rPr>
        <w:t>建立完善的历史文化展示与传承体系，将文保单位、文物点、非物质文化遗产、传统文化、治沙文化等历史文化资源与乡村旅游项目结合，融入乡村景观和村民生活，彰显沙珠玉文化特色。</w:t>
      </w:r>
    </w:p>
    <w:bookmarkEnd w:id="80"/>
    <w:p w14:paraId="1109A4E0">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历史文化</w:t>
      </w:r>
      <w:r>
        <w:rPr>
          <w:rFonts w:hint="eastAsia" w:ascii="楷体_GB2312" w:hAnsi="Times New Roman" w:eastAsia="楷体_GB2312" w:cs="Times New Roman"/>
          <w:bCs/>
          <w:sz w:val="32"/>
          <w:szCs w:val="32"/>
          <w:lang w:val="en-US" w:eastAsia="zh-CN"/>
        </w:rPr>
        <w:t>资源</w:t>
      </w:r>
      <w:r>
        <w:rPr>
          <w:rFonts w:hint="eastAsia" w:ascii="楷体_GB2312" w:hAnsi="Times New Roman" w:eastAsia="楷体_GB2312" w:cs="Times New Roman"/>
          <w:bCs/>
          <w:sz w:val="32"/>
          <w:szCs w:val="32"/>
        </w:rPr>
        <w:t>保护管控</w:t>
      </w:r>
    </w:p>
    <w:p w14:paraId="47C6B58D">
      <w:pPr>
        <w:pStyle w:val="11"/>
        <w:ind w:firstLine="640"/>
        <w:rPr>
          <w:rFonts w:hint="eastAsia"/>
          <w:u w:val="none"/>
        </w:rPr>
      </w:pPr>
      <w:r>
        <w:rPr>
          <w:rFonts w:hint="eastAsia" w:ascii="楷体_GB2312" w:hAnsi="楷体_GB2312" w:eastAsia="楷体_GB2312" w:cs="楷体_GB2312"/>
          <w:szCs w:val="32"/>
        </w:rPr>
        <w:t>文物保护单位保护</w:t>
      </w:r>
      <w:r>
        <w:rPr>
          <w:rFonts w:hint="eastAsia" w:ascii="楷体_GB2312" w:hAnsi="楷体_GB2312" w:eastAsia="楷体_GB2312" w:cs="楷体_GB2312"/>
        </w:rPr>
        <w:t>。</w:t>
      </w:r>
      <w:r>
        <w:rPr>
          <w:rFonts w:hint="eastAsia" w:ascii="仿宋_GB2312" w:hAnsi="仿宋_GB2312" w:cs="仿宋_GB2312"/>
        </w:rPr>
        <w:t>保护省级文物保护单位1处，即朱乃亥台遗址。</w:t>
      </w:r>
      <w:r>
        <w:rPr>
          <w:rFonts w:hint="eastAsia" w:ascii="仿宋_GB2312" w:hAnsi="仿宋_GB2312" w:cs="仿宋_GB2312"/>
          <w:u w:val="none"/>
          <w:lang w:val="en-US" w:eastAsia="zh-CN"/>
        </w:rPr>
        <w:t>严格落实上位规划确定的文</w:t>
      </w:r>
      <w:r>
        <w:rPr>
          <w:rFonts w:hint="eastAsia" w:ascii="仿宋_GB2312" w:hAnsi="仿宋_GB2312" w:cs="仿宋_GB2312"/>
          <w:u w:val="none"/>
        </w:rPr>
        <w:t>物保护单位保护范围和建设控制地带。</w:t>
      </w:r>
      <w:r>
        <w:rPr>
          <w:rFonts w:hint="eastAsia" w:ascii="仿宋_GB2312" w:hAnsi="仿宋_GB2312" w:cs="仿宋_GB2312"/>
          <w:u w:val="none"/>
          <w:lang w:val="en-US" w:eastAsia="zh-CN"/>
        </w:rPr>
        <w:t>建设控制地带为遗址保护范围线向外20米。</w:t>
      </w:r>
      <w:r>
        <w:rPr>
          <w:rFonts w:hint="eastAsia"/>
          <w:u w:val="none"/>
        </w:rPr>
        <w:t>严格遵照文物保护相关法律法规进行保护，不允许改变文物的原有状况、面貌及环境。</w:t>
      </w:r>
    </w:p>
    <w:p w14:paraId="0274884B">
      <w:pPr>
        <w:pStyle w:val="11"/>
        <w:ind w:firstLine="640"/>
        <w:rPr>
          <w:rFonts w:hint="eastAsia" w:ascii="仿宋_GB2312" w:hAnsi="仿宋_GB2312" w:cs="仿宋_GB2312"/>
        </w:rPr>
      </w:pPr>
      <w:r>
        <w:rPr>
          <w:rFonts w:hint="eastAsia" w:ascii="楷体_GB2312" w:hAnsi="楷体_GB2312" w:eastAsia="楷体_GB2312" w:cs="楷体_GB2312"/>
          <w:szCs w:val="32"/>
          <w:lang w:val="en-US" w:eastAsia="zh-CN"/>
        </w:rPr>
        <w:t>未定级不可移动文物保护。</w:t>
      </w:r>
      <w:r>
        <w:rPr>
          <w:rFonts w:hint="eastAsia" w:ascii="仿宋_GB2312" w:hAnsi="仿宋_GB2312" w:cs="仿宋_GB2312"/>
        </w:rPr>
        <w:t>保护未定级不可移动文物24处。不可移动文物应按照原址保护、整体保护、不改变文物原状的原则实施保护，并加强管理，继续予以登记并公布为文物保护单位。</w:t>
      </w:r>
    </w:p>
    <w:p w14:paraId="33C94ACE">
      <w:pPr>
        <w:pStyle w:val="11"/>
        <w:ind w:firstLine="640"/>
        <w:rPr>
          <w:rFonts w:hint="eastAsia" w:ascii="仿宋_GB2312" w:hAnsi="仿宋_GB2312" w:eastAsia="仿宋_GB2312" w:cs="仿宋_GB2312"/>
          <w:szCs w:val="32"/>
        </w:rPr>
      </w:pPr>
      <w:r>
        <w:rPr>
          <w:rFonts w:hint="eastAsia" w:ascii="楷体_GB2312" w:hAnsi="楷体_GB2312" w:eastAsia="楷体_GB2312" w:cs="楷体_GB2312"/>
          <w:szCs w:val="32"/>
          <w:lang w:val="en-US" w:eastAsia="zh-CN"/>
        </w:rPr>
        <w:t>非物质文化遗产保护。</w:t>
      </w:r>
      <w:r>
        <w:rPr>
          <w:rFonts w:hint="eastAsia" w:ascii="仿宋_GB2312" w:hAnsi="仿宋_GB2312" w:eastAsia="仿宋_GB2312" w:cs="仿宋_GB2312"/>
          <w:szCs w:val="32"/>
          <w:lang w:val="en-US" w:eastAsia="zh-CN"/>
        </w:rPr>
        <w:t>系统保护沙珠玉乡非物质文化遗产，包括藏族农牧民间的表演艺术、民间技艺、传统手工艺、社会风俗、习俗等，建立保护名录，</w:t>
      </w:r>
      <w:r>
        <w:rPr>
          <w:rFonts w:hint="eastAsia" w:ascii="仿宋_GB2312" w:hAnsi="仿宋_GB2312" w:eastAsia="仿宋_GB2312" w:cs="仿宋_GB2312"/>
          <w:szCs w:val="32"/>
        </w:rPr>
        <w:t>制定非物质文化遗产分级保护制度</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lang w:val="en-US" w:eastAsia="zh-CN"/>
        </w:rPr>
        <w:t>构建完善的非物质文化遗产保护体系。重点突出对下卡力岗村安多则柔舞蹈及安多特色民居、扎布达窑洞的保护利用，对唐蕃古道汉藏交流遗产廊道及重要驿站莫离驿、进行宣传展示。</w:t>
      </w:r>
      <w:r>
        <w:rPr>
          <w:rFonts w:hint="eastAsia" w:ascii="仿宋_GB2312" w:hAnsi="仿宋_GB2312" w:eastAsia="仿宋_GB2312" w:cs="仿宋_GB2312"/>
          <w:szCs w:val="32"/>
        </w:rPr>
        <w:t>积极利用各类公共空间、广场，定期举办非物质文化遗产节庆活动，保护、培养非物质文化遗产的传承人</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rPr>
        <w:t>积极开发非物质文化遗产和传统文化为主要内容的旅游活动，提供小型博物馆、传统艺术表演场所、藏式餐厅、藏式旅馆等适宜的文化空间，积极利用旅游文化建设保护和推广当地非物质文化遗产。</w:t>
      </w:r>
    </w:p>
    <w:p w14:paraId="2C827495">
      <w:pPr>
        <w:pStyle w:val="6"/>
        <w:keepNext/>
        <w:keepLines/>
        <w:pageBreakBefore w:val="0"/>
        <w:widowControl w:val="0"/>
        <w:numPr>
          <w:ilvl w:val="1"/>
          <w:numId w:val="11"/>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81" w:name="_Toc16352"/>
      <w:r>
        <w:rPr>
          <w:rFonts w:hint="eastAsia" w:ascii="Arial" w:hAnsi="Arial" w:eastAsia="黑体" w:cs="Times New Roman"/>
          <w:b w:val="0"/>
          <w:lang w:val="en-US" w:eastAsia="zh-CN"/>
        </w:rPr>
        <w:t>景观</w:t>
      </w:r>
      <w:r>
        <w:rPr>
          <w:rFonts w:hint="eastAsia" w:ascii="Arial" w:hAnsi="Arial" w:eastAsia="黑体" w:cs="Times New Roman"/>
          <w:b w:val="0"/>
          <w:lang w:val="zh-CN"/>
        </w:rPr>
        <w:t>风貌引导</w:t>
      </w:r>
      <w:r>
        <w:rPr>
          <w:rFonts w:hint="eastAsia" w:ascii="Arial" w:hAnsi="Arial" w:eastAsia="黑体" w:cs="Times New Roman"/>
          <w:b w:val="0"/>
          <w:lang w:val="en-US" w:eastAsia="zh-CN"/>
        </w:rPr>
        <w:t>与管控</w:t>
      </w:r>
      <w:bookmarkEnd w:id="81"/>
    </w:p>
    <w:p w14:paraId="6226BC53">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公共空间</w:t>
      </w:r>
    </w:p>
    <w:p w14:paraId="694F4DE2">
      <w:pPr>
        <w:pStyle w:val="11"/>
        <w:ind w:firstLine="64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各类公共空间应凸显沙珠玉乡治沙精神特色，结合集镇和村庄的历史文化，塑造景观特色，丰富空间内容，提升乡村魅力。在公园、广场等公共空间设置休憩座椅、健身器材、宣传栏、雕塑装置、文化长廊等设施，辅以绿化景观，反映沙珠玉乡防风治沙文化气息。材料选取具有地方特征的原材料，营造出自然清新的乡村环境。</w:t>
      </w:r>
    </w:p>
    <w:p w14:paraId="169D24DA">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标识节点</w:t>
      </w:r>
    </w:p>
    <w:p w14:paraId="24BCC6DD">
      <w:pPr>
        <w:pStyle w:val="11"/>
        <w:ind w:firstLine="64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通过强化自然标志物和人工标志物的景观特色，合理布局，构建最具代表沙珠玉乡景观风貌特色的标志物体系，打造沙珠玉乡景观亮点，突出沙珠玉河流、水渠、林草、沙漠的关系，展示自然景观特色。</w:t>
      </w:r>
    </w:p>
    <w:p w14:paraId="2C9DB655">
      <w:pPr>
        <w:pStyle w:val="11"/>
        <w:ind w:firstLine="64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在各村入口、集镇入口、重要景点、治沙展览馆等节点设置标识，包括交通标识、村庄景观标识、科普宣传栏、文化墙等，强化标志性与引导性，展示沙珠玉形象与精神风貌。材料选取具有地方特征的原材料，标识系统应与乡村整体风貌协调统一。</w:t>
      </w:r>
    </w:p>
    <w:p w14:paraId="09FA553C">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景观廊道</w:t>
      </w:r>
    </w:p>
    <w:p w14:paraId="76FA4E6D">
      <w:pPr>
        <w:pStyle w:val="11"/>
        <w:ind w:firstLine="64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沿沙珠玉乡内东西向交通，串联各村，</w:t>
      </w:r>
      <w:r>
        <w:rPr>
          <w:rFonts w:hint="eastAsia" w:ascii="仿宋_GB2312" w:hAnsi="仿宋_GB2312" w:cs="仿宋_GB2312"/>
          <w:szCs w:val="32"/>
          <w:lang w:val="en-US" w:eastAsia="zh-CN"/>
        </w:rPr>
        <w:t>打造</w:t>
      </w:r>
      <w:r>
        <w:rPr>
          <w:rFonts w:hint="eastAsia" w:ascii="仿宋_GB2312" w:hAnsi="仿宋_GB2312" w:eastAsia="仿宋_GB2312" w:cs="仿宋_GB2312"/>
          <w:szCs w:val="32"/>
          <w:lang w:val="en-US" w:eastAsia="zh-CN"/>
        </w:rPr>
        <w:t>沿线</w:t>
      </w:r>
      <w:r>
        <w:rPr>
          <w:rFonts w:hint="eastAsia" w:ascii="仿宋_GB2312" w:hAnsi="仿宋_GB2312" w:cs="仿宋_GB2312"/>
          <w:szCs w:val="32"/>
          <w:lang w:val="en-US" w:eastAsia="zh-CN"/>
        </w:rPr>
        <w:t>魅力景观带</w:t>
      </w:r>
      <w:r>
        <w:rPr>
          <w:rFonts w:hint="eastAsia" w:ascii="仿宋_GB2312" w:hAnsi="仿宋_GB2312" w:eastAsia="仿宋_GB2312" w:cs="仿宋_GB2312"/>
          <w:szCs w:val="32"/>
          <w:lang w:val="en-US" w:eastAsia="zh-CN"/>
        </w:rPr>
        <w:t>，形成横贯东西、植被绵延的景观廊道，展现沙珠玉丰富的自然和人文景观。持续封沙育草造林建设，强化沙漠绿洲形象，畅通生态景观廊道，减少风沙灾害影响，提升生态系统质量。</w:t>
      </w:r>
    </w:p>
    <w:p w14:paraId="63B9E545">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街巷空间</w:t>
      </w:r>
    </w:p>
    <w:p w14:paraId="65DBC5F4">
      <w:pPr>
        <w:pStyle w:val="11"/>
        <w:ind w:firstLine="64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县乡道路在保障交通连续通畅的前提下，对两侧重要界面进行绿化、亮化或艺术性处理，突出沙珠玉乡文化特色和治沙精神，同时符合功能需求，形成良好的形象界面。</w:t>
      </w:r>
    </w:p>
    <w:p w14:paraId="2B237281">
      <w:pPr>
        <w:pStyle w:val="11"/>
        <w:ind w:firstLine="64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乡村内主要道路结合建筑后退、广场等创造多变空间，提供良好的步行空间和社交场所。村内巷道延续街巷空间尺度，利用乡土材料，增加富有层次的花池、植物，营造活力街巷空间，提升乡村居民归属感和幸福感。充分利用沙珠玉乡文化元素，营造与乡村和谐统一的街巷景观风貌。</w:t>
      </w:r>
    </w:p>
    <w:p w14:paraId="4121BCDC">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建筑风貌</w:t>
      </w:r>
    </w:p>
    <w:p w14:paraId="48E7758C">
      <w:pPr>
        <w:pStyle w:val="11"/>
        <w:ind w:firstLine="64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公共建筑体量应合理控制，建筑主色彩宜采用浅灰、白、赭石等色，装饰色彩适当丰富，可采用黄、黑等色，建筑形态以现代建筑风格为主，适量点缀</w:t>
      </w:r>
      <w:r>
        <w:rPr>
          <w:rFonts w:hint="eastAsia" w:ascii="仿宋_GB2312" w:hAnsi="仿宋_GB2312" w:cs="仿宋_GB2312"/>
          <w:szCs w:val="32"/>
          <w:lang w:val="en-US" w:eastAsia="zh-CN"/>
        </w:rPr>
        <w:t>传统</w:t>
      </w:r>
      <w:r>
        <w:rPr>
          <w:rFonts w:hint="eastAsia" w:ascii="仿宋_GB2312" w:hAnsi="仿宋_GB2312" w:eastAsia="仿宋_GB2312" w:cs="仿宋_GB2312"/>
          <w:szCs w:val="32"/>
          <w:lang w:val="en-US" w:eastAsia="zh-CN"/>
        </w:rPr>
        <w:t>特色建筑元素。</w:t>
      </w:r>
    </w:p>
    <w:p w14:paraId="12B9BA39">
      <w:pPr>
        <w:pStyle w:val="11"/>
        <w:ind w:firstLine="64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民居建筑体量不宜过大，建筑色彩保持朴素协调，建筑形态可在现代建筑风格基础上，抽象、简化</w:t>
      </w:r>
      <w:r>
        <w:rPr>
          <w:rFonts w:hint="eastAsia" w:ascii="仿宋_GB2312" w:hAnsi="仿宋_GB2312" w:cs="仿宋_GB2312"/>
          <w:szCs w:val="32"/>
          <w:lang w:val="en-US" w:eastAsia="zh-CN"/>
        </w:rPr>
        <w:t>特色</w:t>
      </w:r>
      <w:r>
        <w:rPr>
          <w:rFonts w:hint="eastAsia" w:ascii="仿宋_GB2312" w:hAnsi="仿宋_GB2312" w:eastAsia="仿宋_GB2312" w:cs="仿宋_GB2312"/>
          <w:szCs w:val="32"/>
          <w:lang w:val="en-US" w:eastAsia="zh-CN"/>
        </w:rPr>
        <w:t>元素，与各民族建筑适当融合，宜采用传统肌理演绎形式，包括围合式、簇群式、行列式、庄廓式等，朝向以南北向为主。</w:t>
      </w:r>
    </w:p>
    <w:p w14:paraId="67E8CA43">
      <w:pPr>
        <w:rPr>
          <w:rFonts w:hint="eastAsia"/>
        </w:rPr>
      </w:pPr>
      <w:r>
        <w:rPr>
          <w:rFonts w:hint="eastAsia"/>
        </w:rPr>
        <w:br w:type="page"/>
      </w:r>
    </w:p>
    <w:p w14:paraId="4DA86510">
      <w:pPr>
        <w:pStyle w:val="5"/>
        <w:keepNext/>
        <w:keepLines/>
        <w:pageBreakBefore w:val="0"/>
        <w:widowControl w:val="0"/>
        <w:numPr>
          <w:ilvl w:val="0"/>
          <w:numId w:val="2"/>
        </w:numPr>
        <w:kinsoku/>
        <w:wordWrap/>
        <w:overflowPunct/>
        <w:topLinePunct w:val="0"/>
        <w:autoSpaceDE/>
        <w:autoSpaceDN/>
        <w:bidi w:val="0"/>
        <w:adjustRightInd/>
        <w:snapToGrid/>
        <w:spacing w:before="313" w:beforeLines="100" w:after="313" w:afterLines="100" w:line="520" w:lineRule="exact"/>
        <w:ind w:left="0" w:leftChars="0" w:firstLine="0" w:firstLineChars="0"/>
        <w:jc w:val="center"/>
        <w:textAlignment w:val="auto"/>
        <w:rPr>
          <w:rFonts w:hint="eastAsia" w:ascii="Times New Roman" w:hAnsi="Times New Roman" w:eastAsia="方正小标宋简体" w:cs="Times New Roman"/>
          <w:b w:val="0"/>
          <w:bCs w:val="0"/>
          <w:sz w:val="36"/>
          <w:szCs w:val="36"/>
        </w:rPr>
      </w:pPr>
      <w:bookmarkStart w:id="82" w:name="_Toc30964"/>
      <w:r>
        <w:rPr>
          <w:rFonts w:hint="eastAsia" w:ascii="Times New Roman" w:hAnsi="Times New Roman" w:eastAsia="方正小标宋简体" w:cs="Times New Roman"/>
          <w:b w:val="0"/>
          <w:bCs w:val="0"/>
          <w:sz w:val="36"/>
          <w:szCs w:val="36"/>
        </w:rPr>
        <w:t>强化空间统筹，保障重大基础设施建设</w:t>
      </w:r>
      <w:bookmarkEnd w:id="82"/>
    </w:p>
    <w:p w14:paraId="550EF562">
      <w:pPr>
        <w:pStyle w:val="6"/>
        <w:keepNext/>
        <w:keepLines/>
        <w:pageBreakBefore w:val="0"/>
        <w:widowControl w:val="0"/>
        <w:numPr>
          <w:ilvl w:val="1"/>
          <w:numId w:val="12"/>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en-US" w:eastAsia="zh-CN"/>
        </w:rPr>
      </w:pPr>
      <w:bookmarkStart w:id="83" w:name="_Toc13696"/>
      <w:r>
        <w:rPr>
          <w:rFonts w:hint="eastAsia" w:ascii="Arial" w:hAnsi="Arial" w:eastAsia="黑体" w:cs="Times New Roman"/>
          <w:b w:val="0"/>
          <w:lang w:val="en-US" w:eastAsia="zh-CN"/>
        </w:rPr>
        <w:t>优化综合交通和物流网络布局</w:t>
      </w:r>
      <w:bookmarkEnd w:id="83"/>
    </w:p>
    <w:p w14:paraId="7C3421D7">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交通发展目标</w:t>
      </w:r>
    </w:p>
    <w:p w14:paraId="29F34773">
      <w:pPr>
        <w:ind w:firstLine="560"/>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加强交通运输体系建设与管理，</w:t>
      </w:r>
      <w:r>
        <w:rPr>
          <w:rFonts w:hint="eastAsia" w:ascii="仿宋_GB2312" w:hAnsi="仿宋_GB2312" w:eastAsia="仿宋_GB2312" w:cs="仿宋_GB2312"/>
          <w:kern w:val="2"/>
          <w:sz w:val="32"/>
          <w:szCs w:val="32"/>
          <w:lang w:val="en-US" w:eastAsia="zh-CN" w:bidi="ar-SA"/>
        </w:rPr>
        <w:t>加快公路网建设，提升现代化水平，形成以县道公路为骨架、农村公路为基础的交通网络，打造共和盆地乡集镇交通极核。</w:t>
      </w:r>
    </w:p>
    <w:p w14:paraId="3F93095C">
      <w:pPr>
        <w:ind w:firstLine="560"/>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实现绿色集约的高质量城乡交通服务。</w:t>
      </w:r>
      <w:r>
        <w:rPr>
          <w:rFonts w:hint="eastAsia" w:ascii="仿宋_GB2312" w:hAnsi="仿宋_GB2312" w:eastAsia="仿宋_GB2312" w:cs="仿宋_GB2312"/>
          <w:kern w:val="2"/>
          <w:sz w:val="32"/>
          <w:szCs w:val="32"/>
          <w:lang w:val="en-US" w:eastAsia="zh-CN" w:bidi="ar-SA"/>
        </w:rPr>
        <w:t>乡域交通设施规模合理适度，城乡交通服务水平显著提升，乡村公路覆盖全面、服务通畅，农牧民出行便捷性、舒适性明显改善。</w:t>
      </w:r>
    </w:p>
    <w:p w14:paraId="6478B2A8">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提质增效建设高标准公路网络</w:t>
      </w:r>
    </w:p>
    <w:p w14:paraId="026C094E">
      <w:pPr>
        <w:pStyle w:val="11"/>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规划形成“两纵</w:t>
      </w:r>
      <w:r>
        <w:rPr>
          <w:rFonts w:hint="eastAsia" w:ascii="仿宋_GB2312" w:hAnsi="仿宋_GB2312" w:eastAsia="仿宋_GB2312" w:cs="仿宋_GB2312"/>
          <w:szCs w:val="32"/>
          <w:lang w:val="en-US" w:eastAsia="zh-CN"/>
        </w:rPr>
        <w:t>两</w:t>
      </w:r>
      <w:r>
        <w:rPr>
          <w:rFonts w:hint="eastAsia" w:ascii="仿宋_GB2312" w:hAnsi="仿宋_GB2312" w:eastAsia="仿宋_GB2312" w:cs="仿宋_GB2312"/>
          <w:szCs w:val="32"/>
        </w:rPr>
        <w:t>横”的公路网骨架</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rPr>
        <w:t>实现公路互联互通、覆盖成网。“两纵”即江西沟高速连接线</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lang w:val="en-US" w:eastAsia="zh-CN"/>
        </w:rPr>
        <w:t>沙珠玉段</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rPr>
        <w:t>县道309</w:t>
      </w:r>
      <w:r>
        <w:rPr>
          <w:rFonts w:hint="eastAsia" w:ascii="仿宋_GB2312" w:hAnsi="仿宋_GB2312" w:eastAsia="仿宋_GB2312" w:cs="仿宋_GB2312"/>
          <w:szCs w:val="32"/>
          <w:lang w:val="en-US" w:eastAsia="zh-CN"/>
        </w:rPr>
        <w:t>与沙珠玉至塘格木公路</w:t>
      </w:r>
      <w:r>
        <w:rPr>
          <w:rFonts w:hint="eastAsia" w:ascii="仿宋_GB2312" w:hAnsi="仿宋_GB2312" w:eastAsia="仿宋_GB2312" w:cs="仿宋_GB2312"/>
          <w:szCs w:val="32"/>
        </w:rPr>
        <w:t>。“</w:t>
      </w:r>
      <w:r>
        <w:rPr>
          <w:rFonts w:hint="eastAsia" w:ascii="仿宋_GB2312" w:hAnsi="仿宋_GB2312" w:eastAsia="仿宋_GB2312" w:cs="仿宋_GB2312"/>
          <w:szCs w:val="32"/>
          <w:lang w:val="en-US" w:eastAsia="zh-CN"/>
        </w:rPr>
        <w:t>两</w:t>
      </w:r>
      <w:r>
        <w:rPr>
          <w:rFonts w:hint="eastAsia" w:ascii="仿宋_GB2312" w:hAnsi="仿宋_GB2312" w:eastAsia="仿宋_GB2312" w:cs="仿宋_GB2312"/>
          <w:szCs w:val="32"/>
        </w:rPr>
        <w:t>横”即县道306</w:t>
      </w:r>
      <w:r>
        <w:rPr>
          <w:rFonts w:hint="eastAsia" w:ascii="仿宋_GB2312" w:hAnsi="仿宋_GB2312" w:eastAsia="仿宋_GB2312" w:cs="仿宋_GB2312"/>
          <w:szCs w:val="32"/>
          <w:lang w:val="en-US" w:eastAsia="zh-CN"/>
        </w:rPr>
        <w:t>和新建</w:t>
      </w:r>
      <w:r>
        <w:rPr>
          <w:rFonts w:hint="eastAsia" w:ascii="仿宋_GB2312" w:hAnsi="仿宋_GB2312" w:eastAsia="仿宋_GB2312" w:cs="仿宋_GB2312"/>
          <w:szCs w:val="32"/>
        </w:rPr>
        <w:t>沙珠玉乡南环路。</w:t>
      </w:r>
    </w:p>
    <w:p w14:paraId="7D14ED30">
      <w:pPr>
        <w:widowControl/>
        <w:ind w:firstLine="56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以提升县域乡镇通达效率为目标，提升县道技术等级，规划期末，县道309达到三级公路及以上技术标准；规划新建沙珠玉至塘格木连接公路，达到三级公路标准；县道306（恰卜恰镇至沙珠玉乡公路）进行改扩建，达到三级公路技术标准。</w:t>
      </w:r>
    </w:p>
    <w:p w14:paraId="688DD70A">
      <w:pPr>
        <w:widowControl/>
        <w:ind w:firstLine="56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公路建筑控制区的范围，从公路用地外缘起向外的距离标准为：国道不少于20米；省道不少于15米；属于高速公路的，公路建筑控制区的范围从公路用地外缘起向外的距离标准不少于30米。</w:t>
      </w:r>
    </w:p>
    <w:p w14:paraId="382ACEB1">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延伸拓展农村公路网</w:t>
      </w:r>
    </w:p>
    <w:p w14:paraId="7D3C6786">
      <w:pPr>
        <w:widowControl/>
        <w:ind w:firstLine="56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推进“四好农村路”建设，规划期末，村庄发展区南部新建沙珠玉乡南环路，联通上村、上卡力岗、曲沟、耐海塔村，达到四级公路标准；拓展东部直乃亥至下卡力岗、达连海村连接道路，各行政村均通双车道四级公路，提升农村公路覆盖广度和深度。</w:t>
      </w:r>
    </w:p>
    <w:p w14:paraId="5124B3B2">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统筹一体高质量发展城乡公交</w:t>
      </w:r>
    </w:p>
    <w:p w14:paraId="775E57ED">
      <w:pPr>
        <w:widowControl/>
        <w:ind w:firstLine="56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以城乡公交一体化发展为目标，推动城乡公交提质增效，拓展通达深度、发车频率和服务效率，推进客运枢纽能级提升。</w:t>
      </w:r>
      <w:bookmarkStart w:id="84" w:name="_Hlk155187357"/>
      <w:r>
        <w:rPr>
          <w:rFonts w:hint="eastAsia" w:ascii="仿宋_GB2312" w:hAnsi="仿宋_GB2312" w:eastAsia="仿宋_GB2312" w:cs="仿宋_GB2312"/>
          <w:kern w:val="2"/>
          <w:sz w:val="32"/>
          <w:szCs w:val="32"/>
          <w:lang w:val="en-US" w:eastAsia="zh-CN" w:bidi="ar-SA"/>
        </w:rPr>
        <w:t>规划沙珠玉乡客运站为共和县客运交通二级次要交通枢纽，服务共和县域城乡交通集散。规划对现有公交车站进行提升改造，加快充电设施建设，并在全域新建6处公交停车港湾。乡村公交招呼站按3-5公里设置1处。</w:t>
      </w:r>
    </w:p>
    <w:bookmarkEnd w:id="84"/>
    <w:p w14:paraId="1248FFD4">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完善现代化物流体系</w:t>
      </w:r>
    </w:p>
    <w:p w14:paraId="573362D6">
      <w:pPr>
        <w:pStyle w:val="11"/>
        <w:ind w:firstLine="640"/>
        <w:rPr>
          <w:rFonts w:hint="eastAsia" w:ascii="仿宋_GB2312" w:hAnsi="仿宋_GB2312" w:eastAsia="仿宋_GB2312" w:cs="仿宋_GB2312"/>
          <w:szCs w:val="32"/>
        </w:rPr>
      </w:pPr>
      <w:r>
        <w:rPr>
          <w:rFonts w:hint="eastAsia" w:ascii="楷体_GB2312" w:hAnsi="楷体_GB2312" w:eastAsia="楷体_GB2312" w:cs="楷体_GB2312"/>
          <w:szCs w:val="32"/>
        </w:rPr>
        <w:t>完善乡村物流配送网络。</w:t>
      </w:r>
      <w:r>
        <w:rPr>
          <w:rFonts w:hint="eastAsia" w:ascii="仿宋_GB2312" w:hAnsi="仿宋_GB2312" w:eastAsia="仿宋_GB2312" w:cs="仿宋_GB2312"/>
          <w:szCs w:val="32"/>
        </w:rPr>
        <w:t>加快推进农村生产生活资料配送网络建设，</w:t>
      </w:r>
      <w:r>
        <w:rPr>
          <w:rFonts w:hint="eastAsia" w:ascii="仿宋_GB2312"/>
        </w:rPr>
        <w:t>以县道306及县道309为纽带，</w:t>
      </w:r>
      <w:r>
        <w:rPr>
          <w:rFonts w:hint="eastAsia" w:ascii="仿宋_GB2312" w:hAnsi="仿宋_GB2312" w:eastAsia="仿宋_GB2312" w:cs="仿宋_GB2312"/>
          <w:szCs w:val="32"/>
        </w:rPr>
        <w:t>完善</w:t>
      </w:r>
      <w:r>
        <w:rPr>
          <w:rFonts w:hint="eastAsia" w:ascii="仿宋_GB2312" w:hAnsi="仿宋_GB2312" w:cs="仿宋_GB2312"/>
          <w:szCs w:val="32"/>
          <w:lang w:val="en-US" w:eastAsia="zh-CN"/>
        </w:rPr>
        <w:t>乡集镇</w:t>
      </w:r>
      <w:r>
        <w:rPr>
          <w:rFonts w:hint="eastAsia" w:ascii="仿宋_GB2312" w:hAnsi="仿宋_GB2312" w:eastAsia="仿宋_GB2312" w:cs="仿宋_GB2312"/>
          <w:szCs w:val="32"/>
        </w:rPr>
        <w:t>、村</w:t>
      </w:r>
      <w:r>
        <w:rPr>
          <w:rFonts w:hint="eastAsia" w:ascii="仿宋_GB2312" w:hAnsi="仿宋_GB2312" w:cs="仿宋_GB2312"/>
          <w:szCs w:val="32"/>
          <w:lang w:val="en-US" w:eastAsia="zh-CN"/>
        </w:rPr>
        <w:t>庄两</w:t>
      </w:r>
      <w:r>
        <w:rPr>
          <w:rFonts w:hint="eastAsia" w:ascii="仿宋_GB2312" w:hAnsi="仿宋_GB2312" w:eastAsia="仿宋_GB2312" w:cs="仿宋_GB2312"/>
          <w:szCs w:val="32"/>
        </w:rPr>
        <w:t>级农村物流配送体系，有效解决乡村物流“最后一公里”问题。鼓励邮政和快递服务网点合作，推动客运班线代运货邮小件，实现优势互补，拓展服务范围。</w:t>
      </w:r>
    </w:p>
    <w:p w14:paraId="57686094">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发展低空经济，提高交通运输效率</w:t>
      </w:r>
    </w:p>
    <w:p w14:paraId="11C489C9">
      <w:pPr>
        <w:pStyle w:val="11"/>
        <w:ind w:firstLine="64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协同共和县低空通用航空产业园，依托低空空域资源基础，将低空经济发展作为低空空域交通发展方向，围绕低空基础设施建设、低空飞行器制造、低空运营服务、低空飞行保障等领域，打造</w:t>
      </w:r>
      <w:r>
        <w:rPr>
          <w:rFonts w:hint="eastAsia" w:ascii="仿宋_GB2312" w:hAnsi="仿宋_GB2312" w:eastAsia="仿宋_GB2312" w:cs="仿宋_GB2312"/>
          <w:szCs w:val="32"/>
        </w:rPr>
        <w:t>低空通用航空天路网络</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lang w:val="en-US" w:eastAsia="zh-CN"/>
        </w:rPr>
        <w:t>助力沙珠玉乡打造经济发展新引擎。</w:t>
      </w:r>
    </w:p>
    <w:p w14:paraId="7F98A9B6">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其他交通设施</w:t>
      </w:r>
    </w:p>
    <w:p w14:paraId="567072BE">
      <w:pPr>
        <w:pStyle w:val="11"/>
        <w:ind w:firstLine="640"/>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为保障乡政府驻地交通畅通，规划将加油站设于驻地外围，位于耐海塔村6社7社之间、县道306东南三角地带，占地约0.33公顷。</w:t>
      </w:r>
      <w:bookmarkStart w:id="85" w:name="_Toc29729"/>
      <w:bookmarkEnd w:id="85"/>
    </w:p>
    <w:p w14:paraId="59BF2D73">
      <w:pPr>
        <w:pStyle w:val="6"/>
        <w:keepNext/>
        <w:keepLines/>
        <w:pageBreakBefore w:val="0"/>
        <w:widowControl w:val="0"/>
        <w:numPr>
          <w:ilvl w:val="1"/>
          <w:numId w:val="12"/>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en-US" w:eastAsia="zh-CN"/>
        </w:rPr>
      </w:pPr>
      <w:bookmarkStart w:id="86" w:name="_Toc18038"/>
      <w:r>
        <w:rPr>
          <w:rFonts w:hint="eastAsia" w:ascii="Arial" w:hAnsi="Arial" w:eastAsia="黑体" w:cs="Times New Roman"/>
          <w:b w:val="0"/>
          <w:lang w:val="en-US" w:eastAsia="zh-CN"/>
        </w:rPr>
        <w:t>构建安全可靠水利基础设施网络</w:t>
      </w:r>
      <w:bookmarkEnd w:id="86"/>
    </w:p>
    <w:p w14:paraId="47831AEE">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水生态保护与治理</w:t>
      </w:r>
    </w:p>
    <w:p w14:paraId="0F612683">
      <w:pPr>
        <w:pStyle w:val="11"/>
        <w:ind w:firstLine="640"/>
        <w:rPr>
          <w:rFonts w:hint="eastAsia" w:ascii="仿宋_GB2312" w:hAnsi="仿宋_GB2312" w:eastAsia="仿宋_GB2312" w:cs="仿宋_GB2312"/>
          <w:szCs w:val="32"/>
          <w:lang w:val="en-US"/>
        </w:rPr>
      </w:pPr>
      <w:r>
        <w:rPr>
          <w:rFonts w:hint="eastAsia" w:ascii="楷体_GB2312" w:hAnsi="楷体_GB2312" w:eastAsia="楷体_GB2312" w:cs="楷体_GB2312"/>
          <w:szCs w:val="32"/>
          <w:lang w:val="en-US" w:eastAsia="zh-CN"/>
        </w:rPr>
        <w:t>加强水源涵养区水生态保护与修复。</w:t>
      </w:r>
      <w:r>
        <w:rPr>
          <w:rFonts w:hint="eastAsia" w:ascii="仿宋_GB2312" w:hAnsi="仿宋_GB2312" w:eastAsia="仿宋_GB2312" w:cs="仿宋_GB2312"/>
          <w:szCs w:val="32"/>
          <w:lang w:val="en-US" w:eastAsia="zh-CN"/>
        </w:rPr>
        <w:t>以自然恢复为主、人工修复为辅，提高水源涵养能力。规划实施沙珠玉娘塘水库水源涵养生态保护。</w:t>
      </w:r>
    </w:p>
    <w:p w14:paraId="4EF02D1B">
      <w:pPr>
        <w:pStyle w:val="11"/>
        <w:ind w:firstLine="640"/>
        <w:rPr>
          <w:rFonts w:hint="eastAsia" w:ascii="仿宋_GB2312" w:hAnsi="仿宋_GB2312" w:eastAsia="仿宋_GB2312" w:cs="仿宋_GB2312"/>
          <w:szCs w:val="32"/>
          <w:lang w:val="en-US"/>
        </w:rPr>
      </w:pPr>
      <w:r>
        <w:rPr>
          <w:rFonts w:hint="eastAsia" w:ascii="楷体_GB2312" w:hAnsi="楷体_GB2312" w:eastAsia="楷体_GB2312" w:cs="楷体_GB2312"/>
          <w:szCs w:val="32"/>
          <w:lang w:val="en-US" w:eastAsia="zh-CN"/>
        </w:rPr>
        <w:t>大力推进水土保持生态建设。</w:t>
      </w:r>
      <w:r>
        <w:rPr>
          <w:rFonts w:hint="eastAsia" w:ascii="仿宋_GB2312" w:hAnsi="仿宋_GB2312" w:eastAsia="仿宋_GB2312" w:cs="仿宋_GB2312"/>
          <w:szCs w:val="32"/>
          <w:lang w:val="en-US" w:eastAsia="zh-CN"/>
        </w:rPr>
        <w:t>统筹推进</w:t>
      </w:r>
      <w:r>
        <w:rPr>
          <w:rFonts w:hint="eastAsia" w:ascii="仿宋_GB2312" w:hAnsi="仿宋_GB2312" w:eastAsia="仿宋_GB2312" w:cs="仿宋_GB2312"/>
          <w:szCs w:val="32"/>
        </w:rPr>
        <w:t>小流域综合治理，以小流域为单元，完善流域水土流失综合防护体系</w:t>
      </w:r>
      <w:r>
        <w:rPr>
          <w:rFonts w:hint="eastAsia" w:ascii="仿宋_GB2312" w:hAnsi="仿宋_GB2312" w:eastAsia="仿宋_GB2312" w:cs="仿宋_GB2312"/>
          <w:szCs w:val="32"/>
          <w:lang w:val="en-US" w:eastAsia="zh-CN"/>
        </w:rPr>
        <w:t>加强水土流失治理，构建优美宜居的生态环境。规划实施沙珠玉乡沙珠玉小流域生态综合治理、沙珠玉乡浪什干沟小流域水土保持综合治理等工程。</w:t>
      </w:r>
    </w:p>
    <w:p w14:paraId="403D3EEA">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农牧区民生水利建设</w:t>
      </w:r>
    </w:p>
    <w:p w14:paraId="3D2FBBFC">
      <w:pPr>
        <w:pStyle w:val="11"/>
        <w:ind w:firstLine="640"/>
        <w:rPr>
          <w:rFonts w:hint="eastAsia" w:ascii="仿宋_GB2312" w:hAnsi="仿宋_GB2312" w:eastAsia="仿宋_GB2312" w:cs="仿宋_GB2312"/>
          <w:szCs w:val="32"/>
          <w:lang w:val="en-US" w:eastAsia="zh-CN"/>
        </w:rPr>
      </w:pPr>
      <w:r>
        <w:rPr>
          <w:rFonts w:hint="eastAsia" w:ascii="楷体_GB2312" w:hAnsi="楷体_GB2312" w:eastAsia="楷体_GB2312" w:cs="楷体_GB2312"/>
          <w:szCs w:val="32"/>
          <w:lang w:val="en-US" w:eastAsia="zh-CN"/>
        </w:rPr>
        <w:t>持续巩固提升农村供水保障水平。</w:t>
      </w:r>
      <w:r>
        <w:rPr>
          <w:rFonts w:hint="eastAsia" w:ascii="仿宋_GB2312" w:hAnsi="仿宋_GB2312" w:eastAsia="仿宋_GB2312" w:cs="仿宋_GB2312"/>
          <w:szCs w:val="32"/>
          <w:lang w:val="en-US" w:eastAsia="zh-CN"/>
        </w:rPr>
        <w:t>加快推进哈干水库引水工程项目，全面提升沙珠玉十村供水设施，提高农村集中供水率、自来水普及率、供水保证率和水质达标率</w:t>
      </w:r>
      <w:r>
        <w:rPr>
          <w:rFonts w:hint="eastAsia" w:ascii="仿宋_GB2312" w:hAnsi="仿宋_GB2312" w:cs="仿宋_GB2312"/>
          <w:szCs w:val="32"/>
          <w:lang w:val="en-US" w:eastAsia="zh-CN"/>
        </w:rPr>
        <w:t>。推进布哈河引调水工程（沙珠玉流域沙珠玉片区），建立稳定可配置高效的水资源配置体系，提高乡村供水保障能力。</w:t>
      </w:r>
      <w:r>
        <w:rPr>
          <w:rFonts w:hint="eastAsia" w:ascii="仿宋_GB2312" w:hAnsi="仿宋_GB2312" w:eastAsia="仿宋_GB2312" w:cs="仿宋_GB2312"/>
          <w:szCs w:val="32"/>
          <w:lang w:val="en-US" w:eastAsia="zh-CN"/>
        </w:rPr>
        <w:t>近期重点推进小型标准化供水设施建设，远期合理优化配置水资源，尽量使用地表水，提高水资源保障能力，推进重点水源置换工程建设。</w:t>
      </w:r>
    </w:p>
    <w:p w14:paraId="50772E5D">
      <w:pPr>
        <w:pStyle w:val="11"/>
        <w:ind w:firstLine="640"/>
        <w:rPr>
          <w:rFonts w:hint="eastAsia" w:ascii="仿宋_GB2312" w:hAnsi="仿宋_GB2312" w:eastAsia="仿宋_GB2312" w:cs="仿宋_GB2312"/>
          <w:szCs w:val="32"/>
          <w:lang w:val="en-US"/>
        </w:rPr>
      </w:pPr>
      <w:r>
        <w:rPr>
          <w:rFonts w:hint="eastAsia" w:ascii="楷体_GB2312" w:hAnsi="楷体_GB2312" w:eastAsia="楷体_GB2312" w:cs="楷体_GB2312"/>
          <w:szCs w:val="32"/>
          <w:lang w:val="en-US" w:eastAsia="zh-CN"/>
        </w:rPr>
        <w:t>加快推进中型灌区节水配套改造。</w:t>
      </w:r>
      <w:r>
        <w:rPr>
          <w:rFonts w:hint="eastAsia" w:ascii="仿宋_GB2312" w:hAnsi="仿宋_GB2312" w:eastAsia="仿宋_GB2312" w:cs="仿宋_GB2312"/>
          <w:szCs w:val="32"/>
          <w:lang w:val="en-US" w:eastAsia="zh-CN"/>
        </w:rPr>
        <w:t>促进农牧区产业兴旺和生活富裕，改善现有灌溉面积，增加农作物产量。规划实施沙珠玉生态灌溉工程</w:t>
      </w:r>
      <w:r>
        <w:rPr>
          <w:rFonts w:hint="eastAsia" w:ascii="仿宋_GB2312" w:hAnsi="仿宋_GB2312" w:cs="仿宋_GB2312"/>
          <w:szCs w:val="32"/>
          <w:lang w:val="en-US" w:eastAsia="zh-CN"/>
        </w:rPr>
        <w:t>、</w:t>
      </w:r>
      <w:r>
        <w:rPr>
          <w:rFonts w:hint="eastAsia" w:ascii="仿宋_GB2312" w:hAnsi="仿宋_GB2312" w:eastAsia="仿宋_GB2312" w:cs="仿宋_GB2312"/>
          <w:szCs w:val="32"/>
          <w:lang w:val="en-US" w:eastAsia="zh-CN"/>
        </w:rPr>
        <w:t>沙珠玉灌区续建配套与现代化改造</w:t>
      </w:r>
      <w:r>
        <w:rPr>
          <w:rFonts w:hint="eastAsia" w:ascii="仿宋_GB2312" w:hAnsi="仿宋_GB2312" w:cs="仿宋_GB2312"/>
          <w:szCs w:val="32"/>
          <w:lang w:val="en-US" w:eastAsia="zh-CN"/>
        </w:rPr>
        <w:t>等工程</w:t>
      </w:r>
      <w:r>
        <w:rPr>
          <w:rFonts w:hint="eastAsia" w:ascii="仿宋_GB2312" w:hAnsi="仿宋_GB2312" w:eastAsia="仿宋_GB2312" w:cs="仿宋_GB2312"/>
          <w:szCs w:val="32"/>
          <w:lang w:val="en-US" w:eastAsia="zh-CN"/>
        </w:rPr>
        <w:t>，改善现有灌溉面积。在全乡10个村</w:t>
      </w:r>
      <w:r>
        <w:rPr>
          <w:rFonts w:hint="eastAsia" w:ascii="仿宋_GB2312" w:hAnsi="仿宋_GB2312" w:eastAsia="仿宋_GB2312" w:cs="仿宋_GB2312"/>
          <w:szCs w:val="32"/>
        </w:rPr>
        <w:t>实施农田</w:t>
      </w:r>
      <w:r>
        <w:rPr>
          <w:rFonts w:hint="eastAsia" w:ascii="仿宋_GB2312" w:hAnsi="仿宋_GB2312" w:eastAsia="仿宋_GB2312" w:cs="仿宋_GB2312"/>
          <w:szCs w:val="32"/>
          <w:lang w:val="en-US" w:eastAsia="zh-CN"/>
        </w:rPr>
        <w:t>灌溉</w:t>
      </w:r>
      <w:r>
        <w:rPr>
          <w:rFonts w:hint="eastAsia" w:ascii="仿宋_GB2312" w:hAnsi="仿宋_GB2312" w:eastAsia="仿宋_GB2312" w:cs="仿宋_GB2312"/>
          <w:szCs w:val="32"/>
        </w:rPr>
        <w:t>渠道维修改造建设项目，增强灌区供水能力，提高水资源利</w:t>
      </w:r>
      <w:r>
        <w:rPr>
          <w:rFonts w:hint="eastAsia" w:ascii="仿宋_GB2312" w:hAnsi="仿宋_GB2312" w:eastAsia="仿宋_GB2312" w:cs="仿宋_GB2312"/>
          <w:szCs w:val="32"/>
          <w:lang w:val="en-US" w:eastAsia="zh-CN"/>
        </w:rPr>
        <w:t>用效率。大力实施南北干渠、斗渠提档升级工程项目。</w:t>
      </w:r>
    </w:p>
    <w:p w14:paraId="042B5DFC">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防洪减灾</w:t>
      </w:r>
    </w:p>
    <w:p w14:paraId="5C22CE75">
      <w:pPr>
        <w:pStyle w:val="11"/>
        <w:ind w:firstLine="640"/>
        <w:rPr>
          <w:rFonts w:hint="eastAsia" w:ascii="仿宋_GB2312" w:hAnsi="仿宋_GB2312" w:eastAsia="仿宋_GB2312" w:cs="仿宋_GB2312"/>
          <w:szCs w:val="32"/>
          <w:lang w:val="en-US" w:eastAsia="zh-CN"/>
        </w:rPr>
      </w:pPr>
      <w:r>
        <w:rPr>
          <w:rFonts w:hint="eastAsia" w:ascii="楷体_GB2312" w:hAnsi="楷体_GB2312" w:eastAsia="楷体_GB2312" w:cs="楷体_GB2312"/>
          <w:szCs w:val="32"/>
          <w:lang w:val="en-US" w:eastAsia="zh-CN"/>
        </w:rPr>
        <w:t>加强重要河流防洪治理。</w:t>
      </w:r>
      <w:r>
        <w:rPr>
          <w:rFonts w:hint="eastAsia" w:ascii="仿宋_GB2312" w:hAnsi="仿宋_GB2312" w:eastAsia="仿宋_GB2312" w:cs="仿宋_GB2312"/>
          <w:szCs w:val="32"/>
          <w:lang w:val="en-US" w:eastAsia="zh-CN"/>
        </w:rPr>
        <w:t>实施沙珠玉河（扎布达村段至达连海村段）河道治理项目、廿地沟（廿地段—耐海塔段）防洪工程，修建排洪渠、防洪堤、护岸等防洪设施，提升河道行洪能力、防洪减灾能力，保护沿岸群众生命财产、耕地、草场及林地的安全。</w:t>
      </w:r>
    </w:p>
    <w:p w14:paraId="519E0B1A">
      <w:pPr>
        <w:pStyle w:val="11"/>
        <w:ind w:firstLine="640"/>
        <w:rPr>
          <w:rFonts w:hint="eastAsia" w:ascii="楷体_GB2312" w:hAnsi="Times New Roman" w:eastAsia="楷体_GB2312" w:cs="Times New Roman"/>
          <w:bCs/>
          <w:sz w:val="32"/>
          <w:szCs w:val="32"/>
        </w:rPr>
      </w:pPr>
      <w:r>
        <w:rPr>
          <w:rFonts w:hint="eastAsia" w:ascii="楷体_GB2312" w:hAnsi="楷体_GB2312" w:eastAsia="楷体_GB2312" w:cs="楷体_GB2312"/>
          <w:szCs w:val="32"/>
          <w:lang w:val="en-US" w:eastAsia="zh-CN"/>
        </w:rPr>
        <w:t>加强防洪薄弱环节建设。</w:t>
      </w:r>
      <w:r>
        <w:rPr>
          <w:rFonts w:hint="eastAsia" w:ascii="仿宋_GB2312" w:hAnsi="仿宋_GB2312" w:eastAsia="仿宋_GB2312" w:cs="仿宋_GB2312"/>
          <w:szCs w:val="32"/>
          <w:lang w:val="en-US" w:eastAsia="zh-CN"/>
        </w:rPr>
        <w:t>完善娘塘水库除险加固、水库清淤，提升水库调蓄能力，实施娘塘水库监测预警设施建设工程，确保水库工程及下游防洪安全。开展夏吾东渠沟、浪什干沟等沟道防洪治理，大力提升浪什干沟水库清淤排洪设施项目，重点河段实施清障疏浚，加深加宽排洪渠道，提高防洪能力。</w:t>
      </w:r>
    </w:p>
    <w:p w14:paraId="001C4806">
      <w:pPr>
        <w:pStyle w:val="6"/>
        <w:keepNext/>
        <w:keepLines/>
        <w:pageBreakBefore w:val="0"/>
        <w:widowControl w:val="0"/>
        <w:numPr>
          <w:ilvl w:val="1"/>
          <w:numId w:val="12"/>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en-US" w:eastAsia="zh-CN"/>
        </w:rPr>
      </w:pPr>
      <w:bookmarkStart w:id="87" w:name="_Toc1520"/>
      <w:r>
        <w:rPr>
          <w:rFonts w:hint="eastAsia" w:ascii="Arial" w:hAnsi="Arial" w:eastAsia="黑体" w:cs="Times New Roman"/>
          <w:b w:val="0"/>
          <w:lang w:val="en-US" w:eastAsia="zh-CN"/>
        </w:rPr>
        <w:t>保障国家清洁能源产业高地建设</w:t>
      </w:r>
      <w:bookmarkEnd w:id="87"/>
    </w:p>
    <w:p w14:paraId="37C5D386">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能源利用</w:t>
      </w:r>
    </w:p>
    <w:p w14:paraId="7F8443F6">
      <w:pPr>
        <w:pStyle w:val="11"/>
        <w:ind w:firstLine="640"/>
        <w:rPr>
          <w:rFonts w:hint="eastAsia" w:ascii="仿宋_GB2312" w:hAnsi="仿宋_GB2312" w:eastAsia="仿宋_GB2312" w:cs="仿宋_GB2312"/>
          <w:szCs w:val="32"/>
          <w:lang w:eastAsia="zh-CN"/>
        </w:rPr>
      </w:pPr>
      <w:r>
        <w:rPr>
          <w:rFonts w:hint="eastAsia" w:ascii="仿宋_GB2312" w:hAnsi="仿宋_GB2312" w:eastAsia="仿宋_GB2312" w:cs="仿宋_GB2312"/>
          <w:szCs w:val="32"/>
        </w:rPr>
        <w:t>大力倡导绿色价值观，坚持节约优先理念，树立节约集约循环利用的资源观，加快推动生产方式、生活方式绿色化</w:t>
      </w:r>
      <w:r>
        <w:rPr>
          <w:rFonts w:hint="eastAsia" w:ascii="仿宋_GB2312" w:hAnsi="仿宋_GB2312" w:cs="仿宋_GB2312"/>
          <w:szCs w:val="32"/>
          <w:lang w:eastAsia="zh-CN"/>
        </w:rPr>
        <w:t>，</w:t>
      </w:r>
      <w:r>
        <w:rPr>
          <w:rFonts w:hint="eastAsia" w:ascii="仿宋_GB2312" w:hAnsi="仿宋_GB2312" w:eastAsia="仿宋_GB2312" w:cs="仿宋_GB2312"/>
          <w:szCs w:val="32"/>
        </w:rPr>
        <w:t>扩大水能、太阳能、风能等清洁能源开发利用规模</w:t>
      </w:r>
      <w:r>
        <w:rPr>
          <w:rFonts w:hint="eastAsia" w:ascii="仿宋_GB2312" w:hAnsi="仿宋_GB2312" w:cs="仿宋_GB2312"/>
          <w:szCs w:val="32"/>
          <w:lang w:eastAsia="zh-CN"/>
        </w:rPr>
        <w:t>。</w:t>
      </w:r>
    </w:p>
    <w:p w14:paraId="67C9704A">
      <w:pPr>
        <w:pStyle w:val="11"/>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探索“清洁能源+生态+畜牧业+惠民+旅游”发展模式，重点开展清洁能源与改善生态环境、清洁能源与精准扶贫和清洁能源发电区域全覆盖的示范工作，实现清洁能源高效应用，打造清洁能源可持续利用示范样板。</w:t>
      </w:r>
    </w:p>
    <w:p w14:paraId="157058D3">
      <w:pPr>
        <w:pStyle w:val="11"/>
        <w:ind w:firstLine="640"/>
        <w:rPr>
          <w:rFonts w:hint="eastAsia" w:ascii="仿宋_GB2312" w:hAnsi="仿宋_GB2312" w:eastAsia="仿宋_GB2312" w:cs="仿宋_GB2312"/>
          <w:szCs w:val="32"/>
        </w:rPr>
      </w:pPr>
      <w:r>
        <w:rPr>
          <w:rFonts w:ascii="仿宋_GB2312"/>
        </w:rPr>
        <w:t>大力推进清洁能源改造，适当提高清洁能源供热比例</w:t>
      </w:r>
      <w:r>
        <w:rPr>
          <w:rFonts w:hint="eastAsia" w:ascii="仿宋_GB2312"/>
          <w:lang w:eastAsia="zh-CN"/>
        </w:rPr>
        <w:t>。</w:t>
      </w:r>
      <w:r>
        <w:rPr>
          <w:rFonts w:hint="eastAsia"/>
        </w:rPr>
        <w:t>利用农民闲置的房顶安装</w:t>
      </w:r>
      <w:r>
        <w:rPr>
          <w:rFonts w:hint="eastAsia"/>
          <w:lang w:val="en-US" w:eastAsia="zh-CN"/>
        </w:rPr>
        <w:t>屋顶光伏发电设施</w:t>
      </w:r>
      <w:r>
        <w:rPr>
          <w:rFonts w:hint="eastAsia"/>
        </w:rPr>
        <w:t>，运行方式以用户侧自发自用、多余电量上网，且在配电系统平衡调节</w:t>
      </w:r>
      <w:r>
        <w:rPr>
          <w:rFonts w:hint="eastAsia"/>
          <w:lang w:eastAsia="zh-CN"/>
        </w:rPr>
        <w:t>为</w:t>
      </w:r>
      <w:r>
        <w:rPr>
          <w:rFonts w:hint="eastAsia"/>
          <w:lang w:val="en-US" w:eastAsia="zh-CN"/>
        </w:rPr>
        <w:t>主，</w:t>
      </w:r>
      <w:r>
        <w:rPr>
          <w:rFonts w:ascii="仿宋_GB2312"/>
        </w:rPr>
        <w:t>提高</w:t>
      </w:r>
      <w:r>
        <w:rPr>
          <w:rFonts w:hint="eastAsia" w:ascii="仿宋_GB2312"/>
        </w:rPr>
        <w:t>建筑能源利用效率。</w:t>
      </w:r>
      <w:r>
        <w:rPr>
          <w:rFonts w:hint="eastAsia" w:ascii="仿宋_GB2312" w:hAnsi="仿宋_GB2312" w:cs="仿宋_GB2312"/>
          <w:szCs w:val="32"/>
          <w:lang w:eastAsia="zh-CN"/>
        </w:rPr>
        <w:t>沙珠玉乡</w:t>
      </w:r>
      <w:r>
        <w:rPr>
          <w:rFonts w:hint="eastAsia" w:ascii="仿宋_GB2312" w:hAnsi="仿宋_GB2312" w:eastAsia="仿宋_GB2312" w:cs="仿宋_GB2312"/>
          <w:szCs w:val="32"/>
        </w:rPr>
        <w:t>采取清洁供暖工程和电采暖</w:t>
      </w:r>
      <w:r>
        <w:rPr>
          <w:rFonts w:hint="eastAsia"/>
        </w:rPr>
        <w:t>工程</w:t>
      </w:r>
      <w:r>
        <w:rPr>
          <w:rFonts w:hint="eastAsia"/>
          <w:lang w:eastAsia="zh-CN"/>
        </w:rPr>
        <w:t>，</w:t>
      </w:r>
      <w:r>
        <w:rPr>
          <w:rFonts w:hint="eastAsia"/>
          <w:lang w:val="en-US" w:eastAsia="zh-CN"/>
        </w:rPr>
        <w:t>乡集镇建设电锅炉蓄热站</w:t>
      </w:r>
      <w:r>
        <w:rPr>
          <w:rFonts w:hint="eastAsia"/>
        </w:rPr>
        <w:t>采暖</w:t>
      </w:r>
      <w:r>
        <w:rPr>
          <w:rFonts w:hint="eastAsia"/>
          <w:lang w:eastAsia="zh-CN"/>
        </w:rPr>
        <w:t>。</w:t>
      </w:r>
    </w:p>
    <w:p w14:paraId="188D1A42">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能源用地</w:t>
      </w:r>
      <w:r>
        <w:rPr>
          <w:rFonts w:hint="eastAsia" w:ascii="楷体_GB2312" w:hAnsi="Times New Roman" w:eastAsia="楷体_GB2312" w:cs="Times New Roman"/>
          <w:bCs/>
          <w:sz w:val="32"/>
          <w:szCs w:val="32"/>
          <w:lang w:val="en-US" w:eastAsia="zh-CN"/>
        </w:rPr>
        <w:t>引导与管控</w:t>
      </w:r>
    </w:p>
    <w:p w14:paraId="179D7CE1">
      <w:pPr>
        <w:ind w:firstLine="56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依托太阳能资源优势，优化清洁能源布局。重点在沙珠玉乡东南部发展光伏发电园，靠近共和县新能源园区已建成区，完善周边配套设施，实现集约化、精细化开发，加强能源的开发与保护。</w:t>
      </w:r>
    </w:p>
    <w:p w14:paraId="49B268FF">
      <w:pPr>
        <w:pStyle w:val="11"/>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新能源项目选址应当避让耕地、生态</w:t>
      </w:r>
      <w:r>
        <w:rPr>
          <w:rFonts w:hint="eastAsia" w:ascii="仿宋_GB2312" w:hAnsi="仿宋_GB2312" w:cs="仿宋_GB2312"/>
          <w:szCs w:val="32"/>
          <w:lang w:val="en-US" w:eastAsia="zh-CN"/>
        </w:rPr>
        <w:t>控制区</w:t>
      </w:r>
      <w:r>
        <w:rPr>
          <w:rFonts w:hint="eastAsia" w:ascii="仿宋_GB2312" w:hAnsi="仿宋_GB2312" w:eastAsia="仿宋_GB2312" w:cs="仿宋_GB2312"/>
          <w:szCs w:val="32"/>
        </w:rPr>
        <w:t>、特殊自然景观价值和文化标识区域、天然林地、国家沙化土地封禁保护区等。新建、扩建光伏发电项目，一律不得占用永久基本农田、基本草原、Ⅰ级保护林地和重点国有林区。项目永久性建</w:t>
      </w:r>
      <w:r>
        <w:rPr>
          <w:rFonts w:hint="eastAsia" w:ascii="仿宋_GB2312" w:hAnsi="仿宋_GB2312" w:cs="仿宋_GB2312"/>
          <w:szCs w:val="32"/>
          <w:lang w:eastAsia="zh-CN"/>
        </w:rPr>
        <w:t>（</w:t>
      </w:r>
      <w:r>
        <w:rPr>
          <w:rFonts w:hint="eastAsia" w:ascii="仿宋_GB2312" w:hAnsi="仿宋_GB2312" w:eastAsia="仿宋_GB2312" w:cs="仿宋_GB2312"/>
          <w:szCs w:val="32"/>
        </w:rPr>
        <w:t>构</w:t>
      </w:r>
      <w:r>
        <w:rPr>
          <w:rFonts w:hint="eastAsia" w:ascii="仿宋_GB2312" w:hAnsi="仿宋_GB2312" w:cs="仿宋_GB2312"/>
          <w:szCs w:val="32"/>
          <w:lang w:eastAsia="zh-CN"/>
        </w:rPr>
        <w:t>）</w:t>
      </w:r>
      <w:r>
        <w:rPr>
          <w:rFonts w:hint="eastAsia" w:ascii="仿宋_GB2312" w:hAnsi="仿宋_GB2312" w:eastAsia="仿宋_GB2312" w:cs="仿宋_GB2312"/>
          <w:szCs w:val="32"/>
        </w:rPr>
        <w:t>筑、光伏</w:t>
      </w:r>
      <w:r>
        <w:rPr>
          <w:rFonts w:hint="eastAsia" w:ascii="仿宋_GB2312" w:hAnsi="仿宋_GB2312" w:cs="仿宋_GB2312"/>
          <w:szCs w:val="32"/>
          <w:lang w:eastAsia="zh-CN"/>
        </w:rPr>
        <w:t>（</w:t>
      </w:r>
      <w:r>
        <w:rPr>
          <w:rFonts w:hint="eastAsia" w:ascii="仿宋_GB2312" w:hAnsi="仿宋_GB2312" w:eastAsia="仿宋_GB2312" w:cs="仿宋_GB2312"/>
          <w:szCs w:val="32"/>
        </w:rPr>
        <w:t>风电</w:t>
      </w:r>
      <w:r>
        <w:rPr>
          <w:rFonts w:hint="eastAsia" w:ascii="仿宋_GB2312" w:hAnsi="仿宋_GB2312" w:cs="仿宋_GB2312"/>
          <w:szCs w:val="32"/>
          <w:lang w:eastAsia="zh-CN"/>
        </w:rPr>
        <w:t>）</w:t>
      </w:r>
      <w:r>
        <w:rPr>
          <w:rFonts w:hint="eastAsia" w:ascii="仿宋_GB2312" w:hAnsi="仿宋_GB2312" w:eastAsia="仿宋_GB2312" w:cs="仿宋_GB2312"/>
          <w:szCs w:val="32"/>
        </w:rPr>
        <w:t>阵列基座和硬化土地等改变原土地形态的用地部分配置年度新增建设用地计划指标，并依法按建设用地办理手续。</w:t>
      </w:r>
    </w:p>
    <w:p w14:paraId="25D947A9">
      <w:pPr>
        <w:pStyle w:val="6"/>
        <w:keepNext/>
        <w:keepLines/>
        <w:pageBreakBefore w:val="0"/>
        <w:widowControl w:val="0"/>
        <w:numPr>
          <w:ilvl w:val="1"/>
          <w:numId w:val="12"/>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en-US" w:eastAsia="zh-CN"/>
        </w:rPr>
      </w:pPr>
      <w:bookmarkStart w:id="88" w:name="_Toc24029"/>
      <w:r>
        <w:rPr>
          <w:rFonts w:hint="eastAsia" w:ascii="Arial" w:hAnsi="Arial" w:eastAsia="黑体" w:cs="Times New Roman"/>
          <w:b w:val="0"/>
          <w:lang w:val="en-US" w:eastAsia="zh-CN"/>
        </w:rPr>
        <w:t>系统布局基础设施</w:t>
      </w:r>
      <w:bookmarkEnd w:id="88"/>
    </w:p>
    <w:p w14:paraId="54E2005B">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给水工程</w:t>
      </w:r>
    </w:p>
    <w:p w14:paraId="4D48C1D7">
      <w:pPr>
        <w:ind w:firstLine="560"/>
        <w:rPr>
          <w:rFonts w:hint="eastAsia" w:ascii="仿宋_GB2312" w:hAnsi="仿宋_GB2312" w:eastAsia="仿宋_GB2312" w:cs="仿宋_GB2312"/>
          <w:kern w:val="2"/>
          <w:sz w:val="32"/>
          <w:szCs w:val="32"/>
          <w:lang w:val="en-US" w:eastAsia="zh-CN" w:bidi="ar-SA"/>
        </w:rPr>
      </w:pPr>
      <w:bookmarkStart w:id="89" w:name="_Hlk148020128"/>
      <w:r>
        <w:rPr>
          <w:rFonts w:hint="eastAsia" w:ascii="楷体_GB2312" w:hAnsi="楷体_GB2312" w:eastAsia="楷体_GB2312" w:cs="楷体_GB2312"/>
          <w:kern w:val="2"/>
          <w:sz w:val="32"/>
          <w:szCs w:val="32"/>
          <w:lang w:val="en-US" w:eastAsia="zh-CN" w:bidi="ar-SA"/>
        </w:rPr>
        <w:t>提升供水保障能力。</w:t>
      </w:r>
      <w:r>
        <w:rPr>
          <w:rFonts w:hint="eastAsia" w:ascii="仿宋_GB2312" w:hAnsi="仿宋_GB2312" w:eastAsia="仿宋_GB2312" w:cs="仿宋_GB2312"/>
          <w:kern w:val="2"/>
          <w:sz w:val="32"/>
          <w:szCs w:val="32"/>
          <w:lang w:val="en-US" w:eastAsia="zh-CN" w:bidi="ar-SA"/>
        </w:rPr>
        <w:t>规划期末，沙珠玉乡综合用水总量约417立方米／日。持续巩固提升供水规模和供水安全保障水平，提高供水标准和质量。</w:t>
      </w:r>
    </w:p>
    <w:p w14:paraId="2762FD6E">
      <w:pPr>
        <w:ind w:firstLine="560"/>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保障供水安全。</w:t>
      </w:r>
      <w:r>
        <w:rPr>
          <w:rFonts w:hint="eastAsia" w:ascii="仿宋_GB2312" w:hAnsi="仿宋_GB2312" w:eastAsia="仿宋_GB2312" w:cs="仿宋_GB2312"/>
          <w:kern w:val="2"/>
          <w:sz w:val="32"/>
          <w:szCs w:val="32"/>
          <w:lang w:val="en-US" w:eastAsia="zh-CN" w:bidi="ar-SA"/>
        </w:rPr>
        <w:t>规划近期乡政府驻地及各村供水沿用现有地下水源，进行管网更新改造，增设水质净化设施和消毒设备。规划远期将现状水源置换，水源地为哈干水库，通过引水工程、并配套水厂，输送至乡政府及各村蓄水池进行供水，水厂及各供水设施周边应采取安全隔离措施。供水管网采用枝状与环状相结合方式布置，以提高供水的安全性和可靠性。</w:t>
      </w:r>
      <w:bookmarkEnd w:id="89"/>
      <w:r>
        <w:rPr>
          <w:rFonts w:hint="eastAsia" w:ascii="仿宋_GB2312" w:hAnsi="仿宋_GB2312" w:eastAsia="仿宋_GB2312" w:cs="仿宋_GB2312"/>
          <w:kern w:val="2"/>
          <w:sz w:val="32"/>
          <w:szCs w:val="32"/>
          <w:lang w:val="en-US" w:eastAsia="zh-CN" w:bidi="ar-SA"/>
        </w:rPr>
        <w:t>村庄按照实际需求设置小型给水设施，相邻较近的村庄可以共建供水设施。</w:t>
      </w:r>
    </w:p>
    <w:p w14:paraId="0C4B76C3">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排水工程</w:t>
      </w:r>
    </w:p>
    <w:p w14:paraId="3531654F">
      <w:pPr>
        <w:pStyle w:val="11"/>
        <w:ind w:firstLine="640"/>
        <w:rPr>
          <w:rFonts w:hint="default" w:ascii="仿宋_GB2312" w:hAnsi="仿宋_GB2312" w:eastAsia="仿宋_GB2312" w:cs="仿宋_GB2312"/>
          <w:szCs w:val="32"/>
          <w:lang w:val="en-US"/>
        </w:rPr>
      </w:pPr>
      <w:r>
        <w:rPr>
          <w:rFonts w:hint="eastAsia" w:ascii="楷体_GB2312" w:hAnsi="楷体_GB2312" w:eastAsia="楷体_GB2312" w:cs="楷体_GB2312"/>
          <w:szCs w:val="32"/>
        </w:rPr>
        <w:t>保障污水处理设施建设。</w:t>
      </w:r>
      <w:r>
        <w:rPr>
          <w:rFonts w:hint="eastAsia" w:ascii="仿宋_GB2312" w:hAnsi="仿宋_GB2312" w:eastAsia="仿宋_GB2312" w:cs="仿宋_GB2312"/>
          <w:szCs w:val="32"/>
        </w:rPr>
        <w:t>规划</w:t>
      </w:r>
      <w:r>
        <w:rPr>
          <w:rFonts w:hint="eastAsia" w:ascii="仿宋_GB2312" w:hAnsi="仿宋_GB2312" w:eastAsia="仿宋_GB2312" w:cs="仿宋_GB2312"/>
          <w:szCs w:val="32"/>
          <w:lang w:val="en-US" w:eastAsia="zh-CN"/>
        </w:rPr>
        <w:t>远期</w:t>
      </w:r>
      <w:r>
        <w:rPr>
          <w:rFonts w:hint="eastAsia" w:ascii="仿宋_GB2312" w:hAnsi="仿宋_GB2312" w:eastAsia="仿宋_GB2312" w:cs="仿宋_GB2312"/>
          <w:szCs w:val="32"/>
        </w:rPr>
        <w:t>在</w:t>
      </w:r>
      <w:r>
        <w:rPr>
          <w:rFonts w:hint="eastAsia" w:ascii="仿宋_GB2312" w:hAnsi="仿宋_GB2312" w:eastAsia="仿宋_GB2312" w:cs="仿宋_GB2312"/>
          <w:szCs w:val="32"/>
          <w:lang w:val="en-US" w:eastAsia="zh-CN"/>
        </w:rPr>
        <w:t>集镇东南角</w:t>
      </w:r>
      <w:r>
        <w:rPr>
          <w:rFonts w:hint="eastAsia" w:ascii="仿宋_GB2312" w:hAnsi="仿宋_GB2312" w:eastAsia="仿宋_GB2312" w:cs="仿宋_GB2312"/>
          <w:szCs w:val="32"/>
        </w:rPr>
        <w:t>新建</w:t>
      </w:r>
      <w:r>
        <w:rPr>
          <w:rFonts w:hint="eastAsia" w:ascii="仿宋_GB2312" w:hAnsi="仿宋_GB2312" w:eastAsia="仿宋_GB2312" w:cs="仿宋_GB2312"/>
          <w:szCs w:val="32"/>
          <w:lang w:val="en-US" w:eastAsia="zh-CN"/>
        </w:rPr>
        <w:t>1</w:t>
      </w:r>
      <w:r>
        <w:rPr>
          <w:rFonts w:hint="eastAsia" w:ascii="仿宋_GB2312" w:hAnsi="仿宋_GB2312" w:eastAsia="仿宋_GB2312" w:cs="仿宋_GB2312"/>
          <w:szCs w:val="32"/>
        </w:rPr>
        <w:t>处污水处理厂，</w:t>
      </w:r>
      <w:r>
        <w:rPr>
          <w:rFonts w:hint="eastAsia" w:ascii="仿宋_GB2312" w:hAnsi="仿宋_GB2312" w:eastAsia="仿宋_GB2312" w:cs="仿宋_GB2312"/>
          <w:szCs w:val="32"/>
          <w:lang w:val="en-US" w:eastAsia="zh-CN"/>
        </w:rPr>
        <w:t>处理集镇及邻近村庄生活污水，</w:t>
      </w:r>
      <w:r>
        <w:rPr>
          <w:rFonts w:hint="eastAsia" w:ascii="仿宋_GB2312" w:hAnsi="仿宋_GB2312" w:eastAsia="仿宋_GB2312" w:cs="仿宋_GB2312"/>
          <w:szCs w:val="32"/>
        </w:rPr>
        <w:t>占地约</w:t>
      </w:r>
      <w:r>
        <w:rPr>
          <w:rFonts w:hint="eastAsia" w:ascii="仿宋_GB2312" w:hAnsi="仿宋_GB2312" w:eastAsia="仿宋_GB2312" w:cs="仿宋_GB2312"/>
          <w:szCs w:val="32"/>
          <w:lang w:val="en-US" w:eastAsia="zh-CN"/>
        </w:rPr>
        <w:t>0.15</w:t>
      </w:r>
      <w:r>
        <w:rPr>
          <w:rFonts w:hint="eastAsia" w:ascii="仿宋_GB2312" w:hAnsi="仿宋_GB2312" w:eastAsia="仿宋_GB2312" w:cs="仿宋_GB2312"/>
          <w:szCs w:val="32"/>
        </w:rPr>
        <w:t>公顷，日处理生活污水能力0.1万立方米，配套污水管网35公里</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rPr>
        <w:t>处理后水质应达到国家规定的排放标</w:t>
      </w:r>
      <w:r>
        <w:rPr>
          <w:rFonts w:hint="eastAsia" w:ascii="仿宋_GB2312" w:hAnsi="仿宋_GB2312" w:eastAsia="仿宋_GB2312" w:cs="仿宋_GB2312"/>
          <w:szCs w:val="32"/>
          <w:lang w:val="en-US" w:eastAsia="zh-CN"/>
        </w:rPr>
        <w:t>准。推进</w:t>
      </w:r>
      <w:r>
        <w:rPr>
          <w:rFonts w:hint="eastAsia" w:ascii="仿宋_GB2312" w:hAnsi="仿宋_GB2312" w:eastAsia="仿宋_GB2312" w:cs="仿宋_GB2312"/>
          <w:szCs w:val="32"/>
        </w:rPr>
        <w:t>农村生活污水治理项目</w:t>
      </w:r>
      <w:r>
        <w:rPr>
          <w:rFonts w:hint="eastAsia" w:ascii="仿宋_GB2312" w:hAnsi="仿宋_GB2312" w:eastAsia="仿宋_GB2312" w:cs="仿宋_GB2312"/>
          <w:szCs w:val="32"/>
          <w:lang w:val="en-US" w:eastAsia="zh-CN"/>
        </w:rPr>
        <w:t>，各村庄建设区单独建设小型污水处理设施。工业生产过程产生废水的厂房，应增设排出污水净化设备或单独建设小型污水处理站。</w:t>
      </w:r>
    </w:p>
    <w:p w14:paraId="767DDF9A">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电力工程</w:t>
      </w:r>
    </w:p>
    <w:p w14:paraId="772BDD70">
      <w:pPr>
        <w:ind w:firstLine="560"/>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用电负荷预测。</w:t>
      </w:r>
      <w:r>
        <w:rPr>
          <w:rFonts w:hint="eastAsia" w:ascii="仿宋_GB2312" w:hAnsi="仿宋_GB2312" w:eastAsia="仿宋_GB2312" w:cs="仿宋_GB2312"/>
          <w:kern w:val="2"/>
          <w:sz w:val="32"/>
          <w:szCs w:val="32"/>
          <w:lang w:val="en-US" w:eastAsia="zh-CN" w:bidi="ar-SA"/>
        </w:rPr>
        <w:t>规划期内农村居民人均生活用电量水平取1200千瓦时/人，则规划期末，沙珠玉乡总生活用电量为527万千瓦时。</w:t>
      </w:r>
    </w:p>
    <w:p w14:paraId="43541226">
      <w:pPr>
        <w:ind w:firstLine="560"/>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电力设施。</w:t>
      </w:r>
      <w:r>
        <w:rPr>
          <w:rFonts w:hint="eastAsia" w:ascii="仿宋_GB2312" w:hAnsi="仿宋_GB2312" w:eastAsia="仿宋_GB2312" w:cs="仿宋_GB2312"/>
          <w:kern w:val="2"/>
          <w:sz w:val="32"/>
          <w:szCs w:val="32"/>
          <w:lang w:val="en-US" w:eastAsia="zh-CN" w:bidi="ar-SA"/>
        </w:rPr>
        <w:t>规划保留现状沙珠玉35千伏变电站，并落实上位规划确定的主变增容改造工程项目。加强10KV配网建设工程，强化网架结构，提高用电的安全可靠性。</w:t>
      </w:r>
    </w:p>
    <w:p w14:paraId="47624F76">
      <w:pPr>
        <w:pStyle w:val="11"/>
        <w:ind w:firstLine="640"/>
        <w:rPr>
          <w:rFonts w:hint="eastAsia" w:ascii="仿宋_GB2312" w:hAnsi="仿宋_GB2312" w:eastAsia="仿宋_GB2312" w:cs="仿宋_GB2312"/>
          <w:szCs w:val="32"/>
          <w:lang w:eastAsia="zh-CN"/>
        </w:rPr>
      </w:pPr>
      <w:r>
        <w:rPr>
          <w:rFonts w:hint="eastAsia" w:ascii="楷体_GB2312" w:hAnsi="楷体_GB2312" w:eastAsia="楷体_GB2312" w:cs="楷体_GB2312"/>
          <w:szCs w:val="32"/>
        </w:rPr>
        <w:t>电力廊道</w:t>
      </w:r>
      <w:r>
        <w:rPr>
          <w:rFonts w:hint="eastAsia" w:ascii="楷体_GB2312" w:hAnsi="楷体_GB2312" w:eastAsia="楷体_GB2312" w:cs="楷体_GB2312"/>
          <w:szCs w:val="32"/>
          <w:lang w:val="en-US" w:eastAsia="zh-CN"/>
        </w:rPr>
        <w:t>管控</w:t>
      </w:r>
      <w:r>
        <w:rPr>
          <w:rFonts w:hint="eastAsia" w:ascii="楷体_GB2312" w:hAnsi="楷体_GB2312" w:eastAsia="楷体_GB2312" w:cs="楷体_GB2312"/>
          <w:szCs w:val="32"/>
        </w:rPr>
        <w:t>。</w:t>
      </w:r>
      <w:r>
        <w:rPr>
          <w:rFonts w:hint="eastAsia" w:ascii="仿宋_GB2312" w:hAnsi="仿宋_GB2312" w:cs="仿宋_GB2312"/>
        </w:rPr>
        <w:t>新建沙珠玉330千伏输变电工程（公网），高压廊道保护与管控符合相关规范要求，在高压廊道内，不得新建建筑物、构筑物。330千伏高压走廊宽度为45米，110千伏高压走廊宽度</w:t>
      </w:r>
      <w:r>
        <w:rPr>
          <w:rFonts w:ascii="仿宋_GB2312" w:hAnsi="仿宋_GB2312" w:cs="仿宋_GB2312"/>
        </w:rPr>
        <w:t>15-25</w:t>
      </w:r>
      <w:r>
        <w:rPr>
          <w:rFonts w:hint="eastAsia" w:ascii="仿宋_GB2312" w:hAnsi="仿宋_GB2312" w:cs="仿宋_GB2312"/>
        </w:rPr>
        <w:t>米；</w:t>
      </w:r>
      <w:r>
        <w:rPr>
          <w:rFonts w:ascii="仿宋_GB2312" w:hAnsi="仿宋_GB2312" w:cs="仿宋_GB2312"/>
        </w:rPr>
        <w:t>35</w:t>
      </w:r>
      <w:r>
        <w:rPr>
          <w:rFonts w:hint="eastAsia" w:ascii="仿宋_GB2312" w:hAnsi="仿宋_GB2312" w:cs="仿宋_GB2312"/>
        </w:rPr>
        <w:t>千伏线路高压线走廊宽度</w:t>
      </w:r>
      <w:r>
        <w:rPr>
          <w:rFonts w:ascii="仿宋_GB2312" w:hAnsi="仿宋_GB2312" w:cs="仿宋_GB2312"/>
        </w:rPr>
        <w:t>15-20</w:t>
      </w:r>
      <w:r>
        <w:rPr>
          <w:rFonts w:hint="eastAsia" w:ascii="仿宋_GB2312" w:hAnsi="仿宋_GB2312" w:cs="仿宋_GB2312"/>
        </w:rPr>
        <w:t>米。高压架空线路尽量选用节省占地的紧凑型塔型，并采用同塔双回</w:t>
      </w:r>
      <w:r>
        <w:rPr>
          <w:rFonts w:hint="eastAsia" w:ascii="仿宋_GB2312" w:hAnsi="仿宋_GB2312" w:cs="仿宋_GB2312"/>
          <w:lang w:eastAsia="zh-CN"/>
        </w:rPr>
        <w:t>（</w:t>
      </w:r>
      <w:r>
        <w:rPr>
          <w:rFonts w:hint="eastAsia" w:ascii="仿宋_GB2312" w:hAnsi="仿宋_GB2312" w:cs="仿宋_GB2312"/>
        </w:rPr>
        <w:t>或多回</w:t>
      </w:r>
      <w:r>
        <w:rPr>
          <w:rFonts w:hint="eastAsia" w:ascii="仿宋_GB2312" w:hAnsi="仿宋_GB2312" w:cs="仿宋_GB2312"/>
          <w:lang w:eastAsia="zh-CN"/>
        </w:rPr>
        <w:t>）</w:t>
      </w:r>
      <w:r>
        <w:rPr>
          <w:rFonts w:hint="eastAsia" w:ascii="仿宋_GB2312" w:hAnsi="仿宋_GB2312" w:cs="仿宋_GB2312"/>
        </w:rPr>
        <w:t>路架设</w:t>
      </w:r>
      <w:r>
        <w:rPr>
          <w:rFonts w:hint="eastAsia" w:ascii="仿宋_GB2312" w:hAnsi="仿宋_GB2312" w:cs="仿宋_GB2312"/>
          <w:lang w:eastAsia="zh-CN"/>
        </w:rPr>
        <w:t>。</w:t>
      </w:r>
    </w:p>
    <w:p w14:paraId="536C0A6B">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燃气工程</w:t>
      </w:r>
    </w:p>
    <w:p w14:paraId="08904FB5">
      <w:pPr>
        <w:ind w:firstLine="56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沙珠玉乡近期仍采用罐装液化石油气为主要燃料，远期自共和县综合门站接燃气管道，10个行政村均通燃气，规划在乡政府驻地周边预留2处燃气配气站。发展以秸秆、人畜粪便等为原料的生物质能利用，提升农村清洁用能比例。</w:t>
      </w:r>
    </w:p>
    <w:p w14:paraId="78671CB8">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供热工程</w:t>
      </w:r>
    </w:p>
    <w:p w14:paraId="6573AB00">
      <w:pPr>
        <w:ind w:firstLine="56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大力提升供暖清洁率，选择方式多样清洁供暖模式，推进清洁供暖。</w:t>
      </w:r>
      <w:bookmarkStart w:id="90" w:name="_Hlk148279614"/>
      <w:r>
        <w:rPr>
          <w:rFonts w:hint="eastAsia" w:ascii="仿宋_GB2312" w:hAnsi="仿宋_GB2312" w:eastAsia="仿宋_GB2312" w:cs="仿宋_GB2312"/>
          <w:kern w:val="2"/>
          <w:sz w:val="32"/>
          <w:szCs w:val="32"/>
          <w:lang w:val="en-US" w:eastAsia="zh-CN" w:bidi="ar-SA"/>
        </w:rPr>
        <w:t>乡域规划采用“煤改电”取暖方式，推广普及电力、太阳能等清洁取暖方式，逐步将农村地区散烧煤、粪区域全部改为清洁取暖。乡集镇采用电锅炉供暖方式，建设电锅炉蓄热站。适当提高可再生能源供热比例，提高建筑能源利用效率。加快绿色节能建筑和农用节能技术、产品推广步伐。</w:t>
      </w:r>
      <w:bookmarkEnd w:id="90"/>
      <w:r>
        <w:rPr>
          <w:rFonts w:hint="eastAsia" w:ascii="仿宋_GB2312" w:hAnsi="仿宋_GB2312" w:eastAsia="仿宋_GB2312" w:cs="仿宋_GB2312"/>
          <w:kern w:val="2"/>
          <w:sz w:val="32"/>
          <w:szCs w:val="32"/>
          <w:lang w:val="en-US" w:eastAsia="zh-CN" w:bidi="ar-SA"/>
        </w:rPr>
        <w:t>至规划末期，清洁取暖率达到100%。</w:t>
      </w:r>
    </w:p>
    <w:p w14:paraId="62CFED72">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环卫工程</w:t>
      </w:r>
    </w:p>
    <w:p w14:paraId="44FD4541">
      <w:pPr>
        <w:ind w:firstLine="560"/>
        <w:rPr>
          <w:rFonts w:hint="eastAsia" w:eastAsia="仿宋_GB2312" w:asciiTheme="minorHAnsi" w:hAnsiTheme="minorHAnsi" w:cstheme="minorBidi"/>
          <w:bCs/>
          <w:kern w:val="2"/>
          <w:sz w:val="32"/>
          <w:szCs w:val="22"/>
          <w:lang w:val="en-US" w:eastAsia="zh-CN" w:bidi="ar-SA"/>
        </w:rPr>
      </w:pPr>
      <w:r>
        <w:rPr>
          <w:rFonts w:hint="eastAsia" w:ascii="楷体_GB2312" w:hAnsi="楷体_GB2312" w:eastAsia="楷体_GB2312" w:cs="楷体_GB2312"/>
          <w:kern w:val="2"/>
          <w:sz w:val="32"/>
          <w:szCs w:val="22"/>
          <w:lang w:val="en-US" w:eastAsia="zh-CN" w:bidi="ar-SA"/>
        </w:rPr>
        <w:t>全面推进生活垃圾处理升级。</w:t>
      </w:r>
      <w:r>
        <w:rPr>
          <w:rFonts w:hint="eastAsia" w:eastAsia="仿宋_GB2312" w:asciiTheme="minorHAnsi" w:hAnsiTheme="minorHAnsi" w:cstheme="minorBidi"/>
          <w:bCs/>
          <w:kern w:val="2"/>
          <w:sz w:val="32"/>
          <w:szCs w:val="22"/>
          <w:lang w:val="en-US" w:eastAsia="zh-CN" w:bidi="ar-SA"/>
        </w:rPr>
        <w:t>规划采用“村收集-乡转运-乡镇统一处理”的模式，乡域内不可回收生活垃圾运至垃圾填埋场。现状垃圾填埋场一期工程于</w:t>
      </w:r>
      <w:r>
        <w:rPr>
          <w:rFonts w:hint="eastAsia" w:ascii="仿宋_GB2312" w:hAnsi="仿宋_GB2312" w:eastAsia="仿宋_GB2312" w:cs="仿宋_GB2312"/>
          <w:bCs/>
          <w:kern w:val="2"/>
          <w:sz w:val="32"/>
          <w:szCs w:val="22"/>
          <w:lang w:val="en-US" w:eastAsia="zh-CN" w:bidi="ar-SA"/>
        </w:rPr>
        <w:t>2022年建成，位于耐海塔村北部，占地面积1.99公顷；规划垃圾填埋场二期工程位于一期西侧，占地面积1.99公</w:t>
      </w:r>
      <w:r>
        <w:rPr>
          <w:rFonts w:hint="eastAsia" w:eastAsia="仿宋_GB2312" w:asciiTheme="minorHAnsi" w:hAnsiTheme="minorHAnsi" w:cstheme="minorBidi"/>
          <w:bCs/>
          <w:kern w:val="2"/>
          <w:sz w:val="32"/>
          <w:szCs w:val="22"/>
          <w:lang w:val="en-US" w:eastAsia="zh-CN" w:bidi="ar-SA"/>
        </w:rPr>
        <w:t>顷，配套建设垃圾转运处置设施。预留垃圾填埋场扩建用地，合理预控填埋场扩建新增建设用地规模，强化环卫设施用地集约节约利用。</w:t>
      </w:r>
    </w:p>
    <w:p w14:paraId="0F756952">
      <w:pPr>
        <w:ind w:firstLine="560"/>
        <w:rPr>
          <w:rFonts w:hint="eastAsia" w:eastAsia="仿宋_GB2312" w:asciiTheme="minorHAnsi" w:hAnsiTheme="minorHAnsi" w:cstheme="minorBidi"/>
          <w:bCs/>
          <w:kern w:val="2"/>
          <w:sz w:val="32"/>
          <w:szCs w:val="22"/>
          <w:lang w:val="en-US" w:eastAsia="zh-CN" w:bidi="ar-SA"/>
        </w:rPr>
      </w:pPr>
      <w:r>
        <w:rPr>
          <w:rFonts w:hint="eastAsia" w:ascii="楷体_GB2312" w:hAnsi="楷体_GB2312" w:eastAsia="楷体_GB2312" w:cs="楷体_GB2312"/>
          <w:kern w:val="2"/>
          <w:sz w:val="32"/>
          <w:szCs w:val="22"/>
          <w:lang w:val="en-US" w:eastAsia="zh-CN" w:bidi="ar-SA"/>
        </w:rPr>
        <w:t>推进“厕所革命”。</w:t>
      </w:r>
      <w:r>
        <w:rPr>
          <w:rFonts w:hint="eastAsia" w:eastAsia="仿宋_GB2312" w:asciiTheme="minorHAnsi" w:hAnsiTheme="minorHAnsi" w:cstheme="minorBidi"/>
          <w:bCs/>
          <w:kern w:val="2"/>
          <w:sz w:val="32"/>
          <w:szCs w:val="22"/>
          <w:lang w:val="en-US" w:eastAsia="zh-CN" w:bidi="ar-SA"/>
        </w:rPr>
        <w:t>逐步普及农村卫生厕所；切实提高改厕质量；加强厕所粪污无害化处理与资源化利用。集镇新建高标准水冲式公厕</w:t>
      </w:r>
      <w:r>
        <w:rPr>
          <w:rFonts w:hint="eastAsia" w:ascii="仿宋_GB2312" w:hAnsi="仿宋_GB2312" w:eastAsia="仿宋_GB2312" w:cs="仿宋_GB2312"/>
          <w:kern w:val="2"/>
          <w:sz w:val="32"/>
          <w:szCs w:val="32"/>
          <w:lang w:val="en-US" w:eastAsia="zh-CN" w:bidi="ar-SA"/>
        </w:rPr>
        <w:t>2座，村庄新建环保公厕8座</w:t>
      </w:r>
      <w:r>
        <w:rPr>
          <w:rFonts w:hint="eastAsia" w:eastAsia="仿宋_GB2312" w:asciiTheme="minorHAnsi" w:hAnsiTheme="minorHAnsi" w:cstheme="minorBidi"/>
          <w:bCs/>
          <w:kern w:val="2"/>
          <w:sz w:val="32"/>
          <w:szCs w:val="22"/>
          <w:lang w:val="en-US" w:eastAsia="zh-CN" w:bidi="ar-SA"/>
        </w:rPr>
        <w:t>。</w:t>
      </w:r>
    </w:p>
    <w:p w14:paraId="5C695A7B">
      <w:pPr>
        <w:pStyle w:val="11"/>
        <w:ind w:firstLine="640"/>
        <w:rPr>
          <w:rFonts w:hint="eastAsia" w:ascii="仿宋_GB2312" w:hAnsi="仿宋_GB2312" w:eastAsia="仿宋_GB2312" w:cs="仿宋_GB2312"/>
          <w:lang w:val="en-US" w:eastAsia="zh-CN"/>
        </w:rPr>
      </w:pPr>
      <w:r>
        <w:rPr>
          <w:rFonts w:hint="eastAsia" w:ascii="楷体_GB2312" w:hAnsi="楷体_GB2312" w:eastAsia="楷体_GB2312" w:cs="楷体_GB2312"/>
          <w:lang w:val="en-US" w:eastAsia="zh-CN"/>
        </w:rPr>
        <w:t>推进畜禽养殖废弃物资源化利用。</w:t>
      </w:r>
      <w:r>
        <w:rPr>
          <w:rFonts w:hint="eastAsia" w:ascii="仿宋_GB2312" w:hAnsi="仿宋_GB2312" w:eastAsia="仿宋_GB2312" w:cs="仿宋_GB2312"/>
          <w:lang w:val="en-US" w:eastAsia="zh-CN"/>
        </w:rPr>
        <w:t>增加养殖生产及其直接关联的畜禽粪污处理、检验检疫、清洗消毒、病死畜禽无害化处理等</w:t>
      </w:r>
      <w:r>
        <w:rPr>
          <w:rFonts w:hint="eastAsia" w:ascii="仿宋_GB2312" w:hAnsi="仿宋_GB2312" w:cs="仿宋_GB2312"/>
          <w:lang w:val="en-US" w:eastAsia="zh-CN"/>
        </w:rPr>
        <w:t>畜禽养殖设施建设用地</w:t>
      </w:r>
      <w:r>
        <w:rPr>
          <w:rFonts w:hint="eastAsia" w:ascii="仿宋_GB2312" w:hAnsi="仿宋_GB2312" w:eastAsia="仿宋_GB2312" w:cs="仿宋_GB2312"/>
          <w:lang w:val="en-US" w:eastAsia="zh-CN"/>
        </w:rPr>
        <w:t>。规划于上村5社北侧设置1处集中畜禽无害化处理设施，各村基于养殖需求设置畜禽无害化处理化尸窖。</w:t>
      </w:r>
    </w:p>
    <w:p w14:paraId="6E844A1A">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新基建工程</w:t>
      </w:r>
    </w:p>
    <w:p w14:paraId="01801717">
      <w:pPr>
        <w:pStyle w:val="11"/>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加快推进5G基站建设，</w:t>
      </w:r>
      <w:r>
        <w:rPr>
          <w:rFonts w:hint="eastAsia" w:ascii="仿宋_GB2312" w:hAnsi="仿宋_GB2312" w:cs="仿宋_GB2312"/>
          <w:szCs w:val="32"/>
          <w:lang w:val="en-US" w:eastAsia="zh-CN"/>
        </w:rPr>
        <w:t>乡集镇</w:t>
      </w:r>
      <w:r>
        <w:rPr>
          <w:rFonts w:hint="eastAsia" w:ascii="仿宋_GB2312" w:hAnsi="仿宋_GB2312" w:eastAsia="仿宋_GB2312" w:cs="仿宋_GB2312"/>
          <w:szCs w:val="32"/>
        </w:rPr>
        <w:t>宏基站设置密度为7个基站/平方千米，基站站间距400-450米；农村宏基站设置密度为2个基站/平方千米，基站站间距750-700米。因地制宜建设充电场、充电桩等新能源汽车充电设施，多途径推进新基建工程建设。</w:t>
      </w:r>
    </w:p>
    <w:p w14:paraId="29CD6952">
      <w:pPr>
        <w:pStyle w:val="6"/>
        <w:keepNext/>
        <w:keepLines/>
        <w:pageBreakBefore w:val="0"/>
        <w:widowControl w:val="0"/>
        <w:numPr>
          <w:ilvl w:val="1"/>
          <w:numId w:val="12"/>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en-US" w:eastAsia="zh-CN"/>
        </w:rPr>
      </w:pPr>
      <w:bookmarkStart w:id="91" w:name="_Toc2743"/>
      <w:r>
        <w:rPr>
          <w:rFonts w:hint="eastAsia" w:ascii="Arial" w:hAnsi="Arial" w:eastAsia="黑体" w:cs="Times New Roman"/>
          <w:b w:val="0"/>
          <w:lang w:val="en-US" w:eastAsia="zh-CN"/>
        </w:rPr>
        <w:t>构建韧性安全的综合防灾体系</w:t>
      </w:r>
      <w:bookmarkEnd w:id="91"/>
    </w:p>
    <w:p w14:paraId="23F5AB8C">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防震减灾工程</w:t>
      </w:r>
    </w:p>
    <w:p w14:paraId="09F0F78E">
      <w:pPr>
        <w:ind w:firstLine="560"/>
        <w:rPr>
          <w:rFonts w:hint="eastAsia" w:eastAsia="仿宋_GB2312" w:asciiTheme="minorHAnsi" w:hAnsiTheme="minorHAnsi" w:cstheme="minorBidi"/>
          <w:kern w:val="2"/>
          <w:sz w:val="32"/>
          <w:szCs w:val="22"/>
          <w:u w:val="single"/>
          <w:lang w:val="en-US" w:eastAsia="zh-CN" w:bidi="ar-SA"/>
        </w:rPr>
      </w:pPr>
      <w:r>
        <w:rPr>
          <w:rFonts w:hint="eastAsia" w:ascii="楷体_GB2312" w:hAnsi="楷体_GB2312" w:eastAsia="楷体_GB2312" w:cs="楷体_GB2312"/>
          <w:bCs/>
          <w:kern w:val="2"/>
          <w:sz w:val="32"/>
          <w:szCs w:val="22"/>
          <w:lang w:val="en-US" w:eastAsia="zh-CN" w:bidi="ar-SA"/>
        </w:rPr>
        <w:t>提升防震减灾能力。</w:t>
      </w:r>
      <w:r>
        <w:rPr>
          <w:rFonts w:hint="eastAsia" w:eastAsia="仿宋_GB2312" w:asciiTheme="minorHAnsi" w:hAnsiTheme="minorHAnsi" w:cstheme="minorBidi"/>
          <w:kern w:val="2"/>
          <w:sz w:val="32"/>
          <w:szCs w:val="22"/>
          <w:u w:val="none"/>
          <w:lang w:val="en-US" w:eastAsia="zh-CN" w:bidi="ar-SA"/>
        </w:rPr>
        <w:t>沙珠玉乡地震动峰值加速度</w:t>
      </w:r>
      <w:r>
        <w:rPr>
          <w:rFonts w:hint="eastAsia" w:ascii="仿宋_GB2312" w:hAnsi="仿宋_GB2312" w:eastAsia="仿宋_GB2312" w:cs="仿宋_GB2312"/>
          <w:kern w:val="2"/>
          <w:sz w:val="32"/>
          <w:szCs w:val="22"/>
          <w:u w:val="none"/>
          <w:lang w:val="en-US" w:eastAsia="zh-CN" w:bidi="ar-SA"/>
        </w:rPr>
        <w:t>0.10g，</w:t>
      </w:r>
      <w:r>
        <w:rPr>
          <w:rFonts w:hint="eastAsia" w:eastAsia="仿宋_GB2312" w:asciiTheme="minorHAnsi" w:hAnsiTheme="minorHAnsi" w:cstheme="minorBidi"/>
          <w:kern w:val="2"/>
          <w:sz w:val="32"/>
          <w:szCs w:val="22"/>
          <w:u w:val="single"/>
          <w:lang w:val="en-US" w:eastAsia="zh-CN" w:bidi="ar-SA"/>
        </w:rPr>
        <w:t>抗震设防基本烈</w:t>
      </w:r>
      <w:r>
        <w:rPr>
          <w:rFonts w:hint="eastAsia" w:ascii="仿宋_GB2312" w:hAnsi="仿宋_GB2312" w:eastAsia="仿宋_GB2312" w:cs="仿宋_GB2312"/>
          <w:kern w:val="2"/>
          <w:sz w:val="32"/>
          <w:szCs w:val="22"/>
          <w:u w:val="single"/>
          <w:lang w:val="en-US" w:eastAsia="zh-CN" w:bidi="ar-SA"/>
        </w:rPr>
        <w:t>度7度</w:t>
      </w:r>
      <w:r>
        <w:rPr>
          <w:rFonts w:hint="eastAsia" w:eastAsia="仿宋_GB2312" w:asciiTheme="minorHAnsi" w:hAnsiTheme="minorHAnsi" w:cstheme="minorBidi"/>
          <w:kern w:val="2"/>
          <w:sz w:val="32"/>
          <w:szCs w:val="22"/>
          <w:u w:val="single"/>
          <w:lang w:val="en-US" w:eastAsia="zh-CN" w:bidi="ar-SA"/>
        </w:rPr>
        <w:t>。新建、改建、扩建工程应严格按照标准设防，重大工程和可能因地震产生严重次生灾害的建设工程，应当按照有关规定开展地震安全性评价，并按照地震安全性评价结果所确定的抗震设防要求进行抗震设计。学校、医院、体育场馆、文化场馆等大型公共建筑和重要生命线工程应当适当提高地震动峰值加速度取值，在建设工程中采取有效措施，增强抗震能力。建设工程应充分考虑断裂带的地震危害性及对场地的影响，并按照国家相关标准及抗震主管部门相关要求合理避让，建设项目必须满足相应的抗震设防要求。</w:t>
      </w:r>
    </w:p>
    <w:p w14:paraId="056A0E0F">
      <w:pPr>
        <w:ind w:firstLine="560"/>
        <w:rPr>
          <w:rFonts w:hint="eastAsia" w:eastAsia="仿宋_GB2312" w:asciiTheme="minorHAnsi" w:hAnsiTheme="minorHAnsi" w:cstheme="minorBidi"/>
          <w:kern w:val="2"/>
          <w:sz w:val="32"/>
          <w:szCs w:val="22"/>
          <w:lang w:val="en-US" w:eastAsia="zh-CN" w:bidi="ar-SA"/>
        </w:rPr>
      </w:pPr>
      <w:r>
        <w:rPr>
          <w:rFonts w:hint="eastAsia" w:ascii="楷体_GB2312" w:hAnsi="楷体_GB2312" w:eastAsia="楷体_GB2312" w:cs="楷体_GB2312"/>
          <w:bCs/>
          <w:kern w:val="2"/>
          <w:sz w:val="32"/>
          <w:szCs w:val="22"/>
          <w:lang w:val="en-US" w:eastAsia="zh-CN" w:bidi="ar-SA"/>
        </w:rPr>
        <w:t>应急指挥中心。</w:t>
      </w:r>
      <w:r>
        <w:rPr>
          <w:rFonts w:hint="eastAsia" w:eastAsia="仿宋_GB2312" w:asciiTheme="minorHAnsi" w:hAnsiTheme="minorHAnsi" w:cstheme="minorBidi"/>
          <w:kern w:val="2"/>
          <w:sz w:val="32"/>
          <w:szCs w:val="22"/>
          <w:lang w:val="en-US" w:eastAsia="zh-CN" w:bidi="ar-SA"/>
        </w:rPr>
        <w:t>沙珠玉乡政府作为全乡的应急指挥中心，充分发挥政府防灾指挥职能。乡政府内设救灾物资储备点，提高应急保障物资储备能力。</w:t>
      </w:r>
    </w:p>
    <w:p w14:paraId="0AFABC03">
      <w:pPr>
        <w:ind w:firstLine="560"/>
        <w:rPr>
          <w:rFonts w:hint="eastAsia" w:eastAsia="仿宋_GB2312" w:asciiTheme="minorHAnsi" w:hAnsiTheme="minorHAnsi" w:cstheme="minorBidi"/>
          <w:kern w:val="2"/>
          <w:sz w:val="32"/>
          <w:szCs w:val="22"/>
          <w:lang w:val="en-US" w:eastAsia="zh-CN" w:bidi="ar-SA"/>
        </w:rPr>
      </w:pPr>
      <w:r>
        <w:rPr>
          <w:rFonts w:hint="eastAsia" w:ascii="楷体_GB2312" w:hAnsi="楷体_GB2312" w:eastAsia="楷体_GB2312" w:cs="楷体_GB2312"/>
          <w:bCs/>
          <w:kern w:val="2"/>
          <w:sz w:val="32"/>
          <w:szCs w:val="22"/>
          <w:lang w:val="en-US" w:eastAsia="zh-CN" w:bidi="ar-SA"/>
        </w:rPr>
        <w:t>避难场所。</w:t>
      </w:r>
      <w:r>
        <w:rPr>
          <w:rFonts w:hint="eastAsia" w:eastAsia="仿宋_GB2312" w:asciiTheme="minorHAnsi" w:hAnsiTheme="minorHAnsi" w:cstheme="minorBidi"/>
          <w:kern w:val="2"/>
          <w:sz w:val="32"/>
          <w:szCs w:val="22"/>
          <w:lang w:val="en-US" w:eastAsia="zh-CN" w:bidi="ar-SA"/>
        </w:rPr>
        <w:t>利用各级公园、广场、体育场、操场、空地等作为避难场所，规划期末，人均应急避难场所面积不小于</w:t>
      </w:r>
      <w:r>
        <w:rPr>
          <w:rFonts w:hint="eastAsia" w:ascii="仿宋_GB2312" w:hAnsi="仿宋_GB2312" w:eastAsia="仿宋_GB2312" w:cs="仿宋_GB2312"/>
          <w:kern w:val="2"/>
          <w:sz w:val="32"/>
          <w:szCs w:val="22"/>
          <w:lang w:val="en-US" w:eastAsia="zh-CN" w:bidi="ar-SA"/>
        </w:rPr>
        <w:t>2</w:t>
      </w:r>
      <w:r>
        <w:rPr>
          <w:rFonts w:hint="eastAsia" w:eastAsia="仿宋_GB2312" w:asciiTheme="minorHAnsi" w:hAnsiTheme="minorHAnsi" w:cstheme="minorBidi"/>
          <w:kern w:val="2"/>
          <w:sz w:val="32"/>
          <w:szCs w:val="22"/>
          <w:lang w:val="en-US" w:eastAsia="zh-CN" w:bidi="ar-SA"/>
        </w:rPr>
        <w:t>平方米。</w:t>
      </w:r>
    </w:p>
    <w:p w14:paraId="2ABC0031">
      <w:pPr>
        <w:ind w:firstLine="560"/>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bCs/>
          <w:kern w:val="2"/>
          <w:sz w:val="32"/>
          <w:szCs w:val="22"/>
          <w:lang w:val="en-US" w:eastAsia="zh-CN" w:bidi="ar-SA"/>
        </w:rPr>
        <w:t>疏散通道。</w:t>
      </w:r>
      <w:r>
        <w:rPr>
          <w:rFonts w:hint="eastAsia" w:ascii="仿宋_GB2312" w:hAnsi="仿宋_GB2312" w:eastAsia="仿宋_GB2312" w:cs="仿宋_GB2312"/>
          <w:kern w:val="2"/>
          <w:sz w:val="32"/>
          <w:szCs w:val="22"/>
          <w:lang w:val="en-US" w:eastAsia="zh-CN" w:bidi="ar-SA"/>
        </w:rPr>
        <w:t>以县道306和县道309作为主要疏散通道，以乡道107及其他通村公路作为次要疏散通道形成高效应急疏散网络体系。</w:t>
      </w:r>
    </w:p>
    <w:p w14:paraId="6E3AAACE">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地质灾害防治</w:t>
      </w:r>
    </w:p>
    <w:p w14:paraId="5B8F4A57">
      <w:pPr>
        <w:ind w:firstLine="560"/>
        <w:rPr>
          <w:rFonts w:hint="eastAsia" w:eastAsia="仿宋_GB2312" w:asciiTheme="minorHAnsi" w:hAnsiTheme="minorHAnsi" w:cstheme="minorBidi"/>
          <w:kern w:val="2"/>
          <w:sz w:val="32"/>
          <w:szCs w:val="22"/>
          <w:lang w:val="en-US" w:eastAsia="zh-CN" w:bidi="ar-SA"/>
        </w:rPr>
      </w:pPr>
      <w:r>
        <w:rPr>
          <w:rFonts w:hint="eastAsia" w:ascii="楷体_GB2312" w:hAnsi="楷体_GB2312" w:eastAsia="楷体_GB2312" w:cs="楷体_GB2312"/>
          <w:bCs/>
          <w:kern w:val="2"/>
          <w:sz w:val="32"/>
          <w:szCs w:val="22"/>
          <w:lang w:val="en-US" w:eastAsia="zh-CN" w:bidi="ar-SA"/>
        </w:rPr>
        <w:t>加强地质灾害综合治理。</w:t>
      </w:r>
      <w:r>
        <w:rPr>
          <w:rFonts w:hint="eastAsia" w:eastAsia="仿宋_GB2312" w:asciiTheme="minorHAnsi" w:hAnsiTheme="minorHAnsi" w:cstheme="minorBidi"/>
          <w:kern w:val="2"/>
          <w:sz w:val="32"/>
          <w:szCs w:val="22"/>
          <w:lang w:val="en-US" w:eastAsia="zh-CN" w:bidi="ar-SA"/>
        </w:rPr>
        <w:t>沙珠玉乡乡域居民点以北地区处于地质灾害中易发区。应对地质灾害隐患点进行分类管控，综合采用工程治理、排危除险、避让搬迁、专业监测和监测预警等多种措施，对乡域内地质灾害实施综合防治。针对山洪、泥石流，主要通过工程措施和生物措施进行防治；针对不稳定斜坡，主要通过建设挡土墙等工程措施进行治理；同时尽快搬迁受影响较大的村民住宅，集中安置于乡政府驻地内。</w:t>
      </w:r>
    </w:p>
    <w:p w14:paraId="2B264F07">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防洪排涝工程</w:t>
      </w:r>
    </w:p>
    <w:p w14:paraId="7F2B8F75">
      <w:pPr>
        <w:ind w:firstLine="560"/>
        <w:rPr>
          <w:rFonts w:hint="eastAsia" w:ascii="仿宋_GB2312" w:hAnsi="仿宋_GB2312" w:eastAsia="仿宋_GB2312" w:cs="仿宋_GB2312"/>
          <w:kern w:val="2"/>
          <w:sz w:val="32"/>
          <w:szCs w:val="22"/>
          <w:u w:val="single"/>
          <w:lang w:val="en-US" w:eastAsia="zh-CN" w:bidi="ar-SA"/>
        </w:rPr>
      </w:pPr>
      <w:r>
        <w:rPr>
          <w:rFonts w:hint="eastAsia" w:ascii="楷体_GB2312" w:hAnsi="楷体_GB2312" w:eastAsia="楷体_GB2312" w:cs="楷体_GB2312"/>
          <w:bCs/>
          <w:kern w:val="2"/>
          <w:sz w:val="32"/>
          <w:szCs w:val="22"/>
          <w:lang w:val="en-US" w:eastAsia="zh-CN" w:bidi="ar-SA"/>
        </w:rPr>
        <w:t>合理确定防洪排涝标准，完善防洪排涝体系。</w:t>
      </w:r>
      <w:r>
        <w:rPr>
          <w:rFonts w:hint="eastAsia" w:eastAsia="仿宋_GB2312" w:asciiTheme="minorHAnsi" w:hAnsiTheme="minorHAnsi" w:cstheme="minorBidi"/>
          <w:kern w:val="2"/>
          <w:sz w:val="32"/>
          <w:szCs w:val="22"/>
          <w:u w:val="single"/>
          <w:lang w:val="en-US" w:eastAsia="zh-CN" w:bidi="ar-SA"/>
        </w:rPr>
        <w:t>沙珠玉河、廿地沟防洪标</w:t>
      </w:r>
      <w:r>
        <w:rPr>
          <w:rFonts w:hint="eastAsia" w:ascii="仿宋_GB2312" w:hAnsi="仿宋_GB2312" w:eastAsia="仿宋_GB2312" w:cs="仿宋_GB2312"/>
          <w:kern w:val="2"/>
          <w:sz w:val="32"/>
          <w:szCs w:val="22"/>
          <w:u w:val="single"/>
          <w:lang w:val="en-US" w:eastAsia="zh-CN" w:bidi="ar-SA"/>
        </w:rPr>
        <w:t>准20年一遇，浪什干沟、夏吾东渠沟等农村沟道为10年一遇；乡政府驻地为20年一遇，村庄为10年一遇。</w:t>
      </w:r>
    </w:p>
    <w:p w14:paraId="2202FFB6">
      <w:pPr>
        <w:ind w:firstLine="560"/>
        <w:rPr>
          <w:rFonts w:hint="eastAsia" w:eastAsia="仿宋_GB2312" w:asciiTheme="minorHAnsi" w:hAnsiTheme="minorHAnsi" w:cstheme="minorBidi"/>
          <w:kern w:val="2"/>
          <w:sz w:val="32"/>
          <w:szCs w:val="22"/>
          <w:u w:val="single"/>
          <w:lang w:val="en-US" w:eastAsia="zh-CN" w:bidi="ar-SA"/>
        </w:rPr>
      </w:pPr>
      <w:r>
        <w:rPr>
          <w:rFonts w:hint="eastAsia" w:ascii="楷体_GB2312" w:hAnsi="楷体_GB2312" w:eastAsia="楷体_GB2312" w:cs="楷体_GB2312"/>
          <w:bCs/>
          <w:kern w:val="2"/>
          <w:sz w:val="32"/>
          <w:szCs w:val="22"/>
          <w:lang w:val="en-US" w:eastAsia="zh-CN" w:bidi="ar-SA"/>
        </w:rPr>
        <w:t>科学划定洪涝风险控制线。</w:t>
      </w:r>
      <w:r>
        <w:rPr>
          <w:rFonts w:hint="eastAsia" w:eastAsia="仿宋_GB2312" w:asciiTheme="minorHAnsi" w:hAnsiTheme="minorHAnsi" w:cstheme="minorBidi"/>
          <w:kern w:val="2"/>
          <w:sz w:val="32"/>
          <w:szCs w:val="22"/>
          <w:u w:val="single"/>
          <w:lang w:val="en-US" w:eastAsia="zh-CN" w:bidi="ar-SA"/>
        </w:rPr>
        <w:t>以水利部门依法划定的河湖管理范围为基础，落实上位规划划定的洪涝风险控制线，将沙珠玉河、夏吾东渠沟洪涝水行泄、调蓄的自然空间划入洪涝风险控制线，严格落实洪涝风险控制线管控措施。</w:t>
      </w:r>
    </w:p>
    <w:p w14:paraId="32B24F1C">
      <w:pPr>
        <w:ind w:firstLine="560"/>
        <w:rPr>
          <w:rFonts w:hint="eastAsia" w:eastAsia="仿宋_GB2312" w:asciiTheme="minorHAnsi" w:hAnsiTheme="minorHAnsi" w:cstheme="minorBidi"/>
          <w:kern w:val="2"/>
          <w:sz w:val="32"/>
          <w:szCs w:val="22"/>
          <w:lang w:val="en-US" w:eastAsia="zh-CN" w:bidi="ar-SA"/>
        </w:rPr>
      </w:pPr>
      <w:r>
        <w:rPr>
          <w:rFonts w:hint="eastAsia" w:eastAsia="仿宋_GB2312" w:asciiTheme="minorHAnsi" w:hAnsiTheme="minorHAnsi" w:cstheme="minorBidi"/>
          <w:kern w:val="2"/>
          <w:sz w:val="32"/>
          <w:szCs w:val="22"/>
          <w:lang w:val="en-US" w:eastAsia="zh-CN" w:bidi="ar-SA"/>
        </w:rPr>
        <w:t>完善夏吾东渠沟等沟道防洪治理工程建设，采用生物固堤减少堤防硬化，重点河段实施清障疏浚，增强防洪能力。</w:t>
      </w:r>
    </w:p>
    <w:p w14:paraId="7F9E6A8F">
      <w:pPr>
        <w:ind w:firstLine="560"/>
        <w:rPr>
          <w:rFonts w:hint="eastAsia" w:eastAsia="仿宋_GB2312" w:asciiTheme="minorHAnsi" w:hAnsiTheme="minorHAnsi" w:cstheme="minorBidi"/>
          <w:kern w:val="2"/>
          <w:sz w:val="32"/>
          <w:szCs w:val="22"/>
          <w:lang w:val="en-US" w:eastAsia="zh-CN" w:bidi="ar-SA"/>
        </w:rPr>
      </w:pPr>
      <w:r>
        <w:rPr>
          <w:rFonts w:hint="eastAsia" w:eastAsia="仿宋_GB2312" w:asciiTheme="minorHAnsi" w:hAnsiTheme="minorHAnsi" w:cstheme="minorBidi"/>
          <w:kern w:val="2"/>
          <w:sz w:val="32"/>
          <w:szCs w:val="22"/>
          <w:lang w:val="en-US" w:eastAsia="zh-CN" w:bidi="ar-SA"/>
        </w:rPr>
        <w:t>加深加宽排洪渠道，重点扩宽乡政府驻地北侧防洪渠（北干渠），保障防洪排涝系统完整性和通达性。实施浪什干沟</w:t>
      </w:r>
      <w:r>
        <w:rPr>
          <w:rFonts w:hint="eastAsia" w:ascii="仿宋_GB2312" w:hAnsi="仿宋_GB2312" w:eastAsia="仿宋_GB2312" w:cs="仿宋_GB2312"/>
          <w:kern w:val="2"/>
          <w:sz w:val="32"/>
          <w:szCs w:val="22"/>
          <w:lang w:val="en-US" w:eastAsia="zh-CN" w:bidi="ar-SA"/>
        </w:rPr>
        <w:t>20</w:t>
      </w:r>
      <w:r>
        <w:rPr>
          <w:rFonts w:hint="eastAsia" w:eastAsia="仿宋_GB2312" w:asciiTheme="minorHAnsi" w:hAnsiTheme="minorHAnsi" w:cstheme="minorBidi"/>
          <w:kern w:val="2"/>
          <w:sz w:val="32"/>
          <w:szCs w:val="22"/>
          <w:lang w:val="en-US" w:eastAsia="zh-CN" w:bidi="ar-SA"/>
        </w:rPr>
        <w:t>公里排洪渠项目。</w:t>
      </w:r>
    </w:p>
    <w:p w14:paraId="4A70FD43">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消防工程</w:t>
      </w:r>
    </w:p>
    <w:p w14:paraId="452EBC68">
      <w:pPr>
        <w:ind w:firstLine="560"/>
        <w:rPr>
          <w:rFonts w:hint="eastAsia" w:eastAsia="仿宋_GB2312" w:asciiTheme="minorHAnsi" w:hAnsiTheme="minorHAnsi" w:cstheme="minorBidi"/>
          <w:kern w:val="2"/>
          <w:sz w:val="32"/>
          <w:szCs w:val="22"/>
          <w:lang w:val="en-US" w:eastAsia="zh-CN" w:bidi="ar-SA"/>
        </w:rPr>
      </w:pPr>
      <w:r>
        <w:rPr>
          <w:rFonts w:hint="eastAsia" w:ascii="楷体_GB2312" w:hAnsi="楷体_GB2312" w:eastAsia="楷体_GB2312" w:cs="楷体_GB2312"/>
          <w:sz w:val="32"/>
          <w:szCs w:val="32"/>
          <w:lang w:val="en-US" w:eastAsia="zh-CN"/>
        </w:rPr>
        <w:t>消防设施。</w:t>
      </w:r>
      <w:r>
        <w:rPr>
          <w:rFonts w:hint="eastAsia" w:eastAsia="仿宋_GB2312" w:asciiTheme="minorHAnsi" w:hAnsiTheme="minorHAnsi" w:cstheme="minorBidi"/>
          <w:kern w:val="2"/>
          <w:sz w:val="32"/>
          <w:szCs w:val="22"/>
          <w:lang w:val="en-US" w:eastAsia="zh-CN" w:bidi="ar-SA"/>
        </w:rPr>
        <w:t>规划建立沙珠玉乡政府专职消防队，建设森林草原消防应急物资装备库，构建以部门和乡镇为主要消防力量，以志愿消防队伍为补充的消防体系。结合专职消防队组建基层应急救援队，各类公共场所设置消防设施，村委会内设置微型消防站，提升灾害事故快速响应、高效救援能力。</w:t>
      </w:r>
    </w:p>
    <w:p w14:paraId="6D9056A6">
      <w:pPr>
        <w:ind w:firstLine="560"/>
        <w:rPr>
          <w:rFonts w:hint="eastAsia" w:eastAsia="仿宋_GB2312" w:asciiTheme="minorHAnsi" w:hAnsiTheme="minorHAnsi" w:cstheme="minorBidi"/>
          <w:kern w:val="2"/>
          <w:sz w:val="32"/>
          <w:szCs w:val="22"/>
          <w:lang w:val="en-US" w:eastAsia="zh-CN" w:bidi="ar-SA"/>
        </w:rPr>
      </w:pPr>
      <w:r>
        <w:rPr>
          <w:rFonts w:hint="eastAsia" w:ascii="楷体_GB2312" w:hAnsi="楷体_GB2312" w:eastAsia="楷体_GB2312" w:cs="楷体_GB2312"/>
          <w:sz w:val="32"/>
          <w:szCs w:val="32"/>
          <w:lang w:val="en-US" w:eastAsia="zh-CN"/>
        </w:rPr>
        <w:t>消防供水。</w:t>
      </w:r>
      <w:r>
        <w:rPr>
          <w:rFonts w:hint="eastAsia" w:ascii="仿宋_GB2312" w:hAnsi="仿宋_GB2312" w:eastAsia="仿宋_GB2312" w:cs="仿宋_GB2312"/>
          <w:sz w:val="32"/>
          <w:szCs w:val="32"/>
          <w:lang w:val="en-US" w:eastAsia="zh-CN"/>
        </w:rPr>
        <w:t>加强消防供水建设，形成市政水源为主、天然水源为辅的消防供水体系。规划在乡政府驻地南端新建200立方米消防水池及配套设施，消防用水近期取自消防水池，远期取自给水管网，消防给水管径不应小于100毫米，消火栓最大间距不应超过120米。</w:t>
      </w:r>
      <w:r>
        <w:rPr>
          <w:rFonts w:hint="eastAsia" w:eastAsia="仿宋_GB2312" w:asciiTheme="minorHAnsi" w:hAnsiTheme="minorHAnsi" w:cstheme="minorBidi"/>
          <w:kern w:val="2"/>
          <w:sz w:val="32"/>
          <w:szCs w:val="22"/>
          <w:lang w:val="en-US" w:eastAsia="zh-CN" w:bidi="ar-SA"/>
        </w:rPr>
        <w:t>各村结合实际情况建设，消防水池的建设应满足防寒抗冻的要求。</w:t>
      </w:r>
    </w:p>
    <w:p w14:paraId="45E05087">
      <w:pPr>
        <w:ind w:firstLine="560"/>
        <w:rPr>
          <w:rFonts w:hint="eastAsia" w:eastAsia="仿宋_GB2312" w:asciiTheme="minorHAnsi" w:hAnsiTheme="minorHAnsi" w:cstheme="minorBidi"/>
          <w:kern w:val="2"/>
          <w:sz w:val="32"/>
          <w:szCs w:val="22"/>
          <w:lang w:val="en-US" w:eastAsia="zh-CN" w:bidi="ar-SA"/>
        </w:rPr>
      </w:pPr>
      <w:r>
        <w:rPr>
          <w:rFonts w:hint="eastAsia" w:ascii="楷体_GB2312" w:hAnsi="楷体_GB2312" w:eastAsia="楷体_GB2312" w:cs="楷体_GB2312"/>
          <w:sz w:val="32"/>
          <w:szCs w:val="32"/>
          <w:lang w:val="en-US" w:eastAsia="zh-CN"/>
        </w:rPr>
        <w:t>消防通道。</w:t>
      </w:r>
      <w:r>
        <w:rPr>
          <w:rFonts w:hint="eastAsia" w:eastAsia="仿宋_GB2312" w:asciiTheme="minorHAnsi" w:hAnsiTheme="minorHAnsi" w:cstheme="minorBidi"/>
          <w:kern w:val="2"/>
          <w:sz w:val="32"/>
          <w:szCs w:val="22"/>
          <w:lang w:val="en-US" w:eastAsia="zh-CN" w:bidi="ar-SA"/>
        </w:rPr>
        <w:t>规划支路、消防车取水道路、建筑物消防车道等消防车通道应符合消防车辆安全、快捷通行的要求。</w:t>
      </w:r>
      <w:r>
        <w:rPr>
          <w:rFonts w:hint="eastAsia" w:ascii="仿宋_GB2312" w:hAnsi="仿宋_GB2312" w:eastAsia="仿宋_GB2312" w:cs="仿宋_GB2312"/>
          <w:color w:val="auto"/>
          <w:sz w:val="32"/>
          <w:szCs w:val="32"/>
          <w:lang w:val="en-US" w:eastAsia="zh-CN"/>
        </w:rPr>
        <w:t>加强消防车通道建设，提高集镇道路承载大型消防车的能力，确保消防车辆安全、快捷通行。</w:t>
      </w:r>
    </w:p>
    <w:p w14:paraId="0901C4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sz w:val="32"/>
          <w:szCs w:val="32"/>
          <w:lang w:val="en-US" w:eastAsia="zh-CN"/>
        </w:rPr>
        <w:t>耐火等级。</w:t>
      </w:r>
      <w:r>
        <w:rPr>
          <w:rFonts w:hint="eastAsia" w:ascii="仿宋_GB2312" w:hAnsi="仿宋_GB2312" w:eastAsia="仿宋_GB2312" w:cs="仿宋_GB2312"/>
          <w:b w:val="0"/>
          <w:bCs w:val="0"/>
          <w:sz w:val="32"/>
          <w:szCs w:val="32"/>
          <w:lang w:val="en-US" w:eastAsia="zh-CN"/>
        </w:rPr>
        <w:t>新建建筑应当达到一、二级耐火等级标准，控制三级建筑，严格限制四级建筑，不准易燃简易搭盖。</w:t>
      </w:r>
    </w:p>
    <w:p w14:paraId="26E773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sz w:val="32"/>
          <w:szCs w:val="32"/>
          <w:lang w:val="en-US" w:eastAsia="zh-CN"/>
        </w:rPr>
        <w:t>防火间距。</w:t>
      </w:r>
      <w:r>
        <w:rPr>
          <w:rFonts w:hint="eastAsia" w:ascii="仿宋_GB2312" w:hAnsi="仿宋_GB2312" w:eastAsia="仿宋_GB2312" w:cs="仿宋_GB2312"/>
          <w:b w:val="0"/>
          <w:bCs w:val="0"/>
          <w:sz w:val="32"/>
          <w:szCs w:val="32"/>
          <w:lang w:val="en-US" w:eastAsia="zh-CN"/>
        </w:rPr>
        <w:t>工业与民用建筑应根据建筑使用性质、建筑高度、耐火等级及火灾危险性等合理确定防火间距。建筑之间的防火间距应保证任意一侧建筑外墙受到的相邻建筑火灾辐射热强度均低于其临界引燃辐射热强度。</w:t>
      </w:r>
    </w:p>
    <w:p w14:paraId="45F4B08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sz w:val="32"/>
          <w:szCs w:val="32"/>
          <w:lang w:val="en-US" w:eastAsia="zh-CN"/>
        </w:rPr>
        <w:t>消防科技赋能。</w:t>
      </w:r>
      <w:r>
        <w:rPr>
          <w:rFonts w:hint="eastAsia" w:ascii="仿宋_GB2312" w:hAnsi="仿宋_GB2312" w:eastAsia="仿宋_GB2312" w:cs="仿宋_GB2312"/>
          <w:b w:val="0"/>
          <w:bCs w:val="0"/>
          <w:sz w:val="32"/>
          <w:szCs w:val="32"/>
          <w:lang w:val="en-US" w:eastAsia="zh-CN"/>
        </w:rPr>
        <w:t>推进消防信息化建设，利用物联网、人工智能等技术手段，构建火灾防控体系，实现火灾的智能化预警和快速响应，提高消防救援的效率和准确性。</w:t>
      </w:r>
    </w:p>
    <w:p w14:paraId="7E1D15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ascii="楷体_GB2312" w:hAnsi="楷体_GB2312" w:eastAsia="楷体_GB2312" w:cs="楷体_GB2312"/>
          <w:sz w:val="32"/>
          <w:szCs w:val="32"/>
          <w:lang w:val="en-US" w:eastAsia="zh-CN"/>
        </w:rPr>
        <w:t>重点区域消防管控。</w:t>
      </w:r>
      <w:r>
        <w:rPr>
          <w:rFonts w:hint="eastAsia" w:ascii="仿宋_GB2312" w:hAnsi="仿宋_GB2312" w:eastAsia="仿宋_GB2312" w:cs="仿宋_GB2312"/>
          <w:b w:val="0"/>
          <w:bCs w:val="0"/>
          <w:sz w:val="32"/>
          <w:szCs w:val="32"/>
          <w:lang w:val="en-US" w:eastAsia="zh-CN"/>
        </w:rPr>
        <w:t>针对建筑密集、人员和物资集中区域，加强消防设施和应急救援设施配置，完善道路交通，实现快速疏散，提高救援效率；工业企业应结合火灾危险性类别，完善设施配置，设置防火分隔和消防通道。</w:t>
      </w:r>
    </w:p>
    <w:p w14:paraId="1E00EF54">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气象灾害防治</w:t>
      </w:r>
    </w:p>
    <w:p w14:paraId="143ADF2F">
      <w:pPr>
        <w:ind w:firstLine="560"/>
        <w:rPr>
          <w:rFonts w:hint="eastAsia" w:eastAsia="仿宋_GB2312" w:asciiTheme="minorHAnsi" w:hAnsiTheme="minorHAnsi" w:cstheme="minorBidi"/>
          <w:kern w:val="2"/>
          <w:sz w:val="32"/>
          <w:szCs w:val="22"/>
          <w:lang w:val="en-US" w:eastAsia="zh-CN" w:bidi="ar-SA"/>
        </w:rPr>
      </w:pPr>
      <w:r>
        <w:rPr>
          <w:rFonts w:hint="eastAsia" w:eastAsia="仿宋_GB2312" w:asciiTheme="minorHAnsi" w:hAnsiTheme="minorHAnsi" w:cstheme="minorBidi"/>
          <w:kern w:val="2"/>
          <w:sz w:val="32"/>
          <w:szCs w:val="22"/>
          <w:lang w:val="en-US" w:eastAsia="zh-CN" w:bidi="ar-SA"/>
        </w:rPr>
        <w:t>坚持“预防为主、防抗结合、以人为本、科学应对”的气象灾害防治原则。沙珠玉乡政府牵头，建立健全气象灾害防治小组，与共和县气象部门构建专项预防体系，开展人工影响天气作业，增加人工增雨防雹设施，提高作业能力，保障粮食安全、生态安全，减轻农业旱灾损失，有效扩大防护面积。构建乡镇暴雨、暴雪、冰雹及雷暴等极端天气预警体系，完善对极端天气的应急能力；建筑设计应确保建筑结构荷载能够抵御暴雨、冰雹等恶劣天气；通信、电力等设施，应安装避雷、防雷设施；合理安排气象防灾减灾设施用地等。</w:t>
      </w:r>
    </w:p>
    <w:p w14:paraId="230AEE22">
      <w:pPr>
        <w:pStyle w:val="6"/>
        <w:keepNext/>
        <w:keepLines/>
        <w:pageBreakBefore w:val="0"/>
        <w:widowControl w:val="0"/>
        <w:numPr>
          <w:ilvl w:val="1"/>
          <w:numId w:val="12"/>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en-US" w:eastAsia="zh-CN"/>
        </w:rPr>
      </w:pPr>
      <w:bookmarkStart w:id="92" w:name="_Toc16182"/>
      <w:r>
        <w:rPr>
          <w:rFonts w:hint="eastAsia" w:ascii="Arial" w:hAnsi="Arial" w:eastAsia="黑体" w:cs="Times New Roman"/>
          <w:b w:val="0"/>
          <w:lang w:val="en-US" w:eastAsia="zh-CN"/>
        </w:rPr>
        <w:t>保障基础设施用地</w:t>
      </w:r>
      <w:bookmarkEnd w:id="92"/>
    </w:p>
    <w:p w14:paraId="192D9DBC">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统筹协调</w:t>
      </w:r>
      <w:r>
        <w:rPr>
          <w:rFonts w:hint="eastAsia" w:ascii="楷体_GB2312" w:hAnsi="Times New Roman" w:eastAsia="楷体_GB2312" w:cs="Times New Roman"/>
          <w:bCs/>
          <w:sz w:val="32"/>
          <w:szCs w:val="32"/>
          <w:lang w:val="en-US" w:eastAsia="zh-CN"/>
        </w:rPr>
        <w:t>与落实</w:t>
      </w:r>
      <w:r>
        <w:rPr>
          <w:rFonts w:hint="eastAsia" w:ascii="楷体_GB2312" w:hAnsi="Times New Roman" w:eastAsia="楷体_GB2312" w:cs="Times New Roman"/>
          <w:bCs/>
          <w:sz w:val="32"/>
          <w:szCs w:val="32"/>
        </w:rPr>
        <w:t>基础设施布局</w:t>
      </w:r>
    </w:p>
    <w:p w14:paraId="6D1E8307">
      <w:pPr>
        <w:pStyle w:val="11"/>
        <w:ind w:firstLine="640"/>
        <w:rPr>
          <w:rFonts w:hint="eastAsia" w:ascii="仿宋_GB2312" w:hAnsi="仿宋_GB2312" w:eastAsia="仿宋_GB2312" w:cs="仿宋_GB2312"/>
          <w:bCs/>
          <w:lang w:val="en-US" w:eastAsia="zh-CN"/>
        </w:rPr>
      </w:pPr>
      <w:r>
        <w:rPr>
          <w:rFonts w:hint="eastAsia" w:ascii="楷体_GB2312" w:hAnsi="楷体_GB2312" w:eastAsia="楷体_GB2312" w:cs="楷体_GB2312"/>
          <w:bCs/>
          <w:lang w:val="en-US" w:eastAsia="zh-CN"/>
        </w:rPr>
        <w:t>统筹协调与落实各类基础设施布局。</w:t>
      </w:r>
      <w:r>
        <w:rPr>
          <w:rFonts w:hint="eastAsia" w:ascii="仿宋_GB2312" w:hAnsi="仿宋_GB2312" w:eastAsia="仿宋_GB2312" w:cs="仿宋_GB2312"/>
          <w:bCs/>
          <w:lang w:val="en-US" w:eastAsia="zh-CN"/>
        </w:rPr>
        <w:t>加强</w:t>
      </w:r>
      <w:r>
        <w:rPr>
          <w:rFonts w:hint="eastAsia" w:ascii="仿宋_GB2312" w:hAnsi="仿宋_GB2312" w:cs="仿宋_GB2312"/>
          <w:bCs/>
          <w:lang w:val="en-US" w:eastAsia="zh-CN"/>
        </w:rPr>
        <w:t>与县级国土空间规划、</w:t>
      </w:r>
      <w:r>
        <w:rPr>
          <w:rFonts w:hint="eastAsia" w:ascii="仿宋_GB2312" w:hAnsi="仿宋_GB2312" w:eastAsia="仿宋_GB2312" w:cs="仿宋_GB2312"/>
          <w:bCs/>
          <w:lang w:val="en-US" w:eastAsia="zh-CN"/>
        </w:rPr>
        <w:t>相关专项规划的衔接，严格按照“三区三线”等国土空间规划管控要求，在国土空间规划“一张图”上统筹</w:t>
      </w:r>
      <w:r>
        <w:rPr>
          <w:rFonts w:hint="eastAsia" w:ascii="仿宋_GB2312" w:hAnsi="仿宋_GB2312" w:cs="仿宋_GB2312"/>
          <w:bCs/>
          <w:lang w:val="en-US" w:eastAsia="zh-CN"/>
        </w:rPr>
        <w:t>落实各类设施项目</w:t>
      </w:r>
      <w:r>
        <w:rPr>
          <w:rFonts w:hint="eastAsia" w:ascii="仿宋_GB2312" w:hAnsi="仿宋_GB2312" w:eastAsia="仿宋_GB2312" w:cs="仿宋_GB2312"/>
          <w:bCs/>
          <w:lang w:val="en-US" w:eastAsia="zh-CN"/>
        </w:rPr>
        <w:t>的空间需求，协调项目选址、布局和空间规模，确保各类项目的空间布局不冲突。线性基础设施在满足安全要求的基础上尽量共用廊道，提高复合利用水平，减少对国土空间的分割和过度占用。</w:t>
      </w:r>
    </w:p>
    <w:p w14:paraId="33743488">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基础设施用地集约化利用</w:t>
      </w:r>
    </w:p>
    <w:p w14:paraId="1AD412B9">
      <w:pPr>
        <w:pStyle w:val="11"/>
        <w:ind w:firstLine="640"/>
        <w:rPr>
          <w:rFonts w:hint="eastAsia" w:ascii="仿宋_GB2312" w:hAnsi="仿宋_GB2312" w:eastAsia="仿宋_GB2312" w:cs="仿宋_GB2312"/>
          <w:bCs/>
          <w:lang w:val="en-US" w:eastAsia="zh-CN"/>
        </w:rPr>
      </w:pPr>
      <w:r>
        <w:rPr>
          <w:rFonts w:hint="eastAsia" w:ascii="楷体_GB2312" w:hAnsi="楷体_GB2312" w:eastAsia="楷体_GB2312" w:cs="楷体_GB2312"/>
          <w:bCs/>
          <w:lang w:val="en-US" w:eastAsia="zh-CN"/>
        </w:rPr>
        <w:t>引导各类基础设施集约用地。</w:t>
      </w:r>
      <w:r>
        <w:rPr>
          <w:rFonts w:hint="eastAsia" w:ascii="仿宋_GB2312" w:hAnsi="仿宋_GB2312" w:eastAsia="仿宋_GB2312" w:cs="仿宋_GB2312"/>
          <w:bCs/>
          <w:lang w:val="en-US" w:eastAsia="zh-CN"/>
        </w:rPr>
        <w:t>加强各类基础设施用地规模控制，严格执行各类项目建设用地标准，严格节约集约用地评价，积极推广节地技术。协调好清洁能源基地、基础设施建设与耕地保护、生态保护的关系。各类基础设施用地要合理避让耕地和永久基本农田、生态保护红线、自然灾害高风险区等区域，减少对生态敏感区的侵占和扰动，保障生态系统的连通性和完整性，降低对自然生态空间的分割和环境影响。确实无法避让的，应采取严格的环境保护措施，避免对相关区域生态系统造成重大不利影响。</w:t>
      </w:r>
    </w:p>
    <w:p w14:paraId="4485541B">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保障基础设施用地</w:t>
      </w:r>
    </w:p>
    <w:p w14:paraId="4B4D3994">
      <w:pPr>
        <w:pStyle w:val="11"/>
        <w:ind w:firstLine="640"/>
        <w:rPr>
          <w:rFonts w:hint="eastAsia" w:ascii="仿宋_GB2312" w:hAnsi="仿宋_GB2312" w:eastAsia="仿宋_GB2312" w:cs="仿宋_GB2312"/>
          <w:bCs/>
          <w:lang w:val="en-US" w:eastAsia="zh-CN"/>
        </w:rPr>
      </w:pPr>
      <w:r>
        <w:rPr>
          <w:rFonts w:hint="eastAsia" w:ascii="楷体_GB2312" w:hAnsi="楷体_GB2312" w:eastAsia="楷体_GB2312" w:cs="楷体_GB2312"/>
          <w:bCs/>
          <w:lang w:val="en-US" w:eastAsia="zh-CN"/>
        </w:rPr>
        <w:t>加大重大基础设施建设用地保障力度，</w:t>
      </w:r>
      <w:r>
        <w:rPr>
          <w:rFonts w:hint="eastAsia" w:ascii="仿宋_GB2312" w:hAnsi="仿宋_GB2312" w:eastAsia="仿宋_GB2312" w:cs="仿宋_GB2312"/>
          <w:bCs/>
          <w:lang w:val="en-US" w:eastAsia="zh-CN"/>
        </w:rPr>
        <w:t>强化用地要素保障，保障交通、能源、水利等重大基础设施项目建设用地需求，合理保障其他基础设施用地，引导基础设施科学合理选址选线，落实最严格的耕地保护制度、节约集约制度和生态环境保护制度，各类建设项目不得突破建设用地标准。通过梳理重大基础设施项目清单、合理安排基础设施建设用地指标、加强基础设施建设用地审批管理等措施，多举措保障基础设施用地。</w:t>
      </w:r>
    </w:p>
    <w:p w14:paraId="5FE91EDA">
      <w:pPr>
        <w:pStyle w:val="11"/>
        <w:ind w:firstLine="640"/>
        <w:rPr>
          <w:rFonts w:hint="eastAsia" w:ascii="仿宋_GB2312" w:hAnsi="仿宋_GB2312" w:eastAsia="仿宋_GB2312" w:cs="仿宋_GB2312"/>
          <w:bCs/>
          <w:lang w:val="en-US" w:eastAsia="zh-CN"/>
        </w:rPr>
      </w:pPr>
      <w:r>
        <w:rPr>
          <w:rFonts w:hint="eastAsia" w:ascii="楷体_GB2312" w:hAnsi="楷体_GB2312" w:eastAsia="楷体_GB2312" w:cs="楷体_GB2312"/>
          <w:bCs/>
          <w:lang w:val="en-US" w:eastAsia="zh-CN"/>
        </w:rPr>
        <w:t>保障重大交通设施用地。</w:t>
      </w:r>
      <w:r>
        <w:rPr>
          <w:rFonts w:hint="eastAsia" w:ascii="仿宋_GB2312" w:hAnsi="仿宋_GB2312" w:eastAsia="仿宋_GB2312" w:cs="仿宋_GB2312"/>
          <w:bCs/>
          <w:lang w:val="en-US" w:eastAsia="zh-CN"/>
        </w:rPr>
        <w:t>完善高速公路及干线公路网络，落实农村公路提档升级改造项目建设用地，带动</w:t>
      </w:r>
      <w:r>
        <w:rPr>
          <w:rFonts w:hint="eastAsia" w:ascii="仿宋_GB2312" w:hAnsi="仿宋_GB2312" w:cs="仿宋_GB2312"/>
          <w:bCs/>
          <w:lang w:val="en-US" w:eastAsia="zh-CN"/>
        </w:rPr>
        <w:t>镇村</w:t>
      </w:r>
      <w:r>
        <w:rPr>
          <w:rFonts w:hint="eastAsia" w:ascii="仿宋_GB2312" w:hAnsi="仿宋_GB2312" w:eastAsia="仿宋_GB2312" w:cs="仿宋_GB2312"/>
          <w:bCs/>
          <w:lang w:val="en-US" w:eastAsia="zh-CN"/>
        </w:rPr>
        <w:t>建设，形成新的经济增长板块和产业带。保障农村公交客运站场建设用地，完善区域公交运输体系。保障物流中心建设用地，提高区域货运配送及保障能力。</w:t>
      </w:r>
    </w:p>
    <w:p w14:paraId="56E00D45">
      <w:pPr>
        <w:pStyle w:val="11"/>
        <w:ind w:firstLine="640"/>
        <w:rPr>
          <w:rFonts w:hint="eastAsia" w:ascii="仿宋_GB2312" w:hAnsi="仿宋_GB2312" w:eastAsia="仿宋_GB2312" w:cs="仿宋_GB2312"/>
          <w:bCs/>
          <w:lang w:val="en-US" w:eastAsia="zh-CN"/>
        </w:rPr>
      </w:pPr>
      <w:r>
        <w:rPr>
          <w:rFonts w:hint="eastAsia" w:ascii="楷体_GB2312" w:hAnsi="楷体_GB2312" w:eastAsia="楷体_GB2312" w:cs="楷体_GB2312"/>
          <w:bCs/>
          <w:lang w:val="en-US" w:eastAsia="zh-CN"/>
        </w:rPr>
        <w:t>水利设施建设用地。</w:t>
      </w:r>
      <w:r>
        <w:rPr>
          <w:rFonts w:hint="eastAsia" w:ascii="仿宋_GB2312" w:hAnsi="仿宋_GB2312" w:eastAsia="仿宋_GB2312" w:cs="仿宋_GB2312"/>
          <w:bCs/>
          <w:lang w:val="en-US" w:eastAsia="zh-CN"/>
        </w:rPr>
        <w:t>支撑农村供水保障工程建设；保障重要河流防洪治理工程建设用地，提高城乡防灾减灾能力，推进</w:t>
      </w:r>
      <w:r>
        <w:rPr>
          <w:rFonts w:hint="eastAsia" w:ascii="仿宋_GB2312" w:hAnsi="仿宋_GB2312" w:cs="仿宋_GB2312"/>
          <w:bCs/>
          <w:lang w:val="en-US" w:eastAsia="zh-CN"/>
        </w:rPr>
        <w:t>沙珠玉河</w:t>
      </w:r>
      <w:r>
        <w:rPr>
          <w:rFonts w:hint="eastAsia" w:ascii="仿宋_GB2312" w:hAnsi="仿宋_GB2312" w:eastAsia="仿宋_GB2312" w:cs="仿宋_GB2312"/>
          <w:bCs/>
          <w:lang w:val="en-US" w:eastAsia="zh-CN"/>
        </w:rPr>
        <w:t>等重点河段防洪达标治理工程;实施中小河流及农村河道治理工程；保障小流域生态治理综合工程项目建设用地。</w:t>
      </w:r>
    </w:p>
    <w:p w14:paraId="75BEC319">
      <w:pPr>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br w:type="page"/>
      </w:r>
    </w:p>
    <w:p w14:paraId="22B898A2">
      <w:pPr>
        <w:pStyle w:val="5"/>
        <w:keepNext/>
        <w:keepLines/>
        <w:pageBreakBefore w:val="0"/>
        <w:widowControl w:val="0"/>
        <w:numPr>
          <w:ilvl w:val="0"/>
          <w:numId w:val="2"/>
        </w:numPr>
        <w:kinsoku/>
        <w:wordWrap/>
        <w:overflowPunct/>
        <w:topLinePunct w:val="0"/>
        <w:autoSpaceDE/>
        <w:autoSpaceDN/>
        <w:bidi w:val="0"/>
        <w:adjustRightInd/>
        <w:snapToGrid/>
        <w:spacing w:before="313" w:beforeLines="100" w:after="313" w:afterLines="100" w:line="520" w:lineRule="exact"/>
        <w:ind w:left="0" w:leftChars="0" w:firstLine="0" w:firstLineChars="0"/>
        <w:jc w:val="center"/>
        <w:textAlignment w:val="auto"/>
        <w:rPr>
          <w:rFonts w:hint="eastAsia" w:ascii="Times New Roman" w:hAnsi="Times New Roman" w:eastAsia="方正小标宋简体" w:cs="Times New Roman"/>
          <w:b w:val="0"/>
          <w:bCs w:val="0"/>
          <w:sz w:val="36"/>
          <w:szCs w:val="36"/>
        </w:rPr>
      </w:pPr>
      <w:bookmarkStart w:id="93" w:name="_Toc9669"/>
      <w:r>
        <w:rPr>
          <w:rFonts w:hint="eastAsia" w:ascii="Times New Roman" w:hAnsi="Times New Roman" w:eastAsia="方正小标宋简体" w:cs="Times New Roman"/>
          <w:b w:val="0"/>
          <w:bCs w:val="0"/>
          <w:sz w:val="36"/>
          <w:szCs w:val="36"/>
        </w:rPr>
        <w:t>完善体制机制，高质量做好规划实施保障</w:t>
      </w:r>
      <w:bookmarkEnd w:id="93"/>
    </w:p>
    <w:p w14:paraId="211BF14A">
      <w:pPr>
        <w:pStyle w:val="6"/>
        <w:keepNext/>
        <w:keepLines/>
        <w:pageBreakBefore w:val="0"/>
        <w:widowControl w:val="0"/>
        <w:numPr>
          <w:ilvl w:val="1"/>
          <w:numId w:val="13"/>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en-US" w:eastAsia="zh-CN"/>
        </w:rPr>
      </w:pPr>
      <w:bookmarkStart w:id="94" w:name="_Toc1633"/>
      <w:r>
        <w:rPr>
          <w:rFonts w:hint="eastAsia" w:ascii="Arial" w:hAnsi="Arial" w:eastAsia="黑体" w:cs="Times New Roman"/>
          <w:b w:val="0"/>
          <w:lang w:val="en-US" w:eastAsia="zh-CN"/>
        </w:rPr>
        <w:t>加强党的领导</w:t>
      </w:r>
      <w:bookmarkEnd w:id="94"/>
    </w:p>
    <w:p w14:paraId="35A5E53A">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加强党的领导</w:t>
      </w:r>
    </w:p>
    <w:p w14:paraId="092C9376">
      <w:pPr>
        <w:pStyle w:val="11"/>
        <w:ind w:firstLine="640"/>
        <w:rPr>
          <w:rFonts w:hint="eastAsia"/>
        </w:rPr>
      </w:pPr>
      <w:r>
        <w:rPr>
          <w:rFonts w:hint="eastAsia"/>
        </w:rPr>
        <w:t>坚持以习近平新时代中国特色社会主义思想为指导，全面贯彻落实党的二十大精神，深入领会“两个确立”的决定性意义，</w:t>
      </w:r>
      <w:r>
        <w:rPr>
          <w:rFonts w:hint="eastAsia"/>
          <w:lang w:eastAsia="zh-CN"/>
        </w:rPr>
        <w:t>增强“四个意识”、坚定“四个自信”、做到“两个维护”</w:t>
      </w:r>
      <w:r>
        <w:rPr>
          <w:rFonts w:hint="eastAsia"/>
        </w:rPr>
        <w:t>，充分发挥党总揽全局、协调各方的领导核心作用，把党的领导贯彻落实到国土空间规划实施与管理的各领域各环节。</w:t>
      </w:r>
    </w:p>
    <w:p w14:paraId="7984B765">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落实各级党委和国土空间规划管理主体责任</w:t>
      </w:r>
    </w:p>
    <w:p w14:paraId="07BA64AC">
      <w:pPr>
        <w:pStyle w:val="11"/>
        <w:ind w:firstLine="640"/>
        <w:rPr>
          <w:rFonts w:hint="eastAsia"/>
        </w:rPr>
      </w:pPr>
      <w:r>
        <w:rPr>
          <w:rFonts w:hint="eastAsia"/>
        </w:rPr>
        <w:t>坚持“多规合一”，不在国土空间规划体系之外另设其他空间规划。强化规划严肃性，规划一经批准，任何部门和个人不得随意修改、违规变更。</w:t>
      </w:r>
    </w:p>
    <w:p w14:paraId="218CB771">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健全国土空间规划委员会制度</w:t>
      </w:r>
    </w:p>
    <w:p w14:paraId="5ED83CBE">
      <w:pPr>
        <w:pStyle w:val="11"/>
        <w:ind w:firstLine="640"/>
        <w:rPr>
          <w:rFonts w:hint="default"/>
          <w:lang w:val="en-US" w:eastAsia="zh-CN"/>
        </w:rPr>
      </w:pPr>
      <w:r>
        <w:rPr>
          <w:rFonts w:hint="default"/>
          <w:lang w:val="en-US" w:eastAsia="zh-CN"/>
        </w:rPr>
        <w:t>建立</w:t>
      </w:r>
      <w:r>
        <w:rPr>
          <w:rFonts w:hint="eastAsia"/>
          <w:lang w:val="en-US" w:eastAsia="zh-CN"/>
        </w:rPr>
        <w:t>乡镇</w:t>
      </w:r>
      <w:r>
        <w:rPr>
          <w:rFonts w:hint="default"/>
          <w:lang w:val="en-US" w:eastAsia="zh-CN"/>
        </w:rPr>
        <w:t>级国土空间规划委员会，加强部门和</w:t>
      </w:r>
      <w:r>
        <w:rPr>
          <w:rFonts w:hint="eastAsia"/>
          <w:lang w:val="en-US" w:eastAsia="zh-CN"/>
        </w:rPr>
        <w:t>乡镇</w:t>
      </w:r>
      <w:r>
        <w:rPr>
          <w:rFonts w:hint="default"/>
          <w:lang w:val="en-US" w:eastAsia="zh-CN"/>
        </w:rPr>
        <w:t>间协同，进一步完善国土空间规划编制实施管理的配套政策，确保规划各项目标任务落地实施。建立规划实施的部门沟通协商机制，协调解决国土空间保护、开发、利用和修复中的相关问题，确保国家、省级、州级</w:t>
      </w:r>
      <w:r>
        <w:rPr>
          <w:rFonts w:hint="eastAsia"/>
          <w:lang w:val="en-US" w:eastAsia="zh-CN"/>
        </w:rPr>
        <w:t>、县级</w:t>
      </w:r>
      <w:r>
        <w:rPr>
          <w:rFonts w:hint="default"/>
          <w:lang w:val="en-US" w:eastAsia="zh-CN"/>
        </w:rPr>
        <w:t>重大决策部署落实到位。</w:t>
      </w:r>
    </w:p>
    <w:p w14:paraId="2345C1A6">
      <w:pPr>
        <w:pStyle w:val="6"/>
        <w:keepNext/>
        <w:keepLines/>
        <w:pageBreakBefore w:val="0"/>
        <w:widowControl w:val="0"/>
        <w:numPr>
          <w:ilvl w:val="1"/>
          <w:numId w:val="13"/>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en-US" w:eastAsia="zh-CN"/>
        </w:rPr>
      </w:pPr>
      <w:bookmarkStart w:id="95" w:name="_Toc1638"/>
      <w:r>
        <w:rPr>
          <w:rFonts w:hint="eastAsia" w:ascii="Arial" w:hAnsi="Arial" w:eastAsia="黑体" w:cs="Times New Roman"/>
          <w:b w:val="0"/>
          <w:lang w:val="en-US" w:eastAsia="zh-CN"/>
        </w:rPr>
        <w:t>健全配套政策</w:t>
      </w:r>
      <w:bookmarkEnd w:id="95"/>
    </w:p>
    <w:p w14:paraId="7D29ED94">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健全国土空间规划法规政策和标准体系</w:t>
      </w:r>
    </w:p>
    <w:p w14:paraId="53523DA6">
      <w:pPr>
        <w:pStyle w:val="11"/>
        <w:ind w:firstLine="640"/>
        <w:rPr>
          <w:rFonts w:hint="default"/>
          <w:lang w:val="en-US" w:eastAsia="zh-CN"/>
        </w:rPr>
      </w:pPr>
      <w:r>
        <w:rPr>
          <w:rFonts w:hint="eastAsia"/>
          <w:lang w:val="en-US" w:eastAsia="zh-CN"/>
        </w:rPr>
        <w:t>严格落实</w:t>
      </w:r>
      <w:r>
        <w:rPr>
          <w:rFonts w:hint="default"/>
          <w:lang w:val="en-US" w:eastAsia="zh-CN"/>
        </w:rPr>
        <w:t>国土空间规划编制、审批与实施管理的相关法规政策，落实国家统一的技术标准，落实青海省或海南州地方规划标准和技术管理规定，支撑规划实施。</w:t>
      </w:r>
    </w:p>
    <w:p w14:paraId="643BCB21">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完善规划实施的配套制度</w:t>
      </w:r>
    </w:p>
    <w:p w14:paraId="48540EA6">
      <w:pPr>
        <w:pStyle w:val="11"/>
        <w:ind w:firstLine="640"/>
        <w:rPr>
          <w:rFonts w:hint="eastAsia"/>
          <w:lang w:val="en-US" w:eastAsia="zh-CN"/>
        </w:rPr>
      </w:pPr>
      <w:r>
        <w:rPr>
          <w:rFonts w:hint="eastAsia"/>
          <w:lang w:val="en-US" w:eastAsia="zh-CN"/>
        </w:rPr>
        <w:t>在充分发挥现有政策综合效能的基础上，合力构建财政、投资、产业、人口、自然资源、生态环境、农业农村发展等配套制度，推进生态产品价值实现机制探索和生态综合补偿试点工作，保障规划实施。各级政府和相关部门要细化分工安排，完善配套政策，促进国土空间规划各项任务落地实施。</w:t>
      </w:r>
    </w:p>
    <w:p w14:paraId="01587970">
      <w:pPr>
        <w:pStyle w:val="6"/>
        <w:keepNext/>
        <w:keepLines/>
        <w:pageBreakBefore w:val="0"/>
        <w:widowControl w:val="0"/>
        <w:numPr>
          <w:ilvl w:val="1"/>
          <w:numId w:val="13"/>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en-US" w:eastAsia="zh-CN"/>
        </w:rPr>
      </w:pPr>
      <w:bookmarkStart w:id="96" w:name="_Toc17598"/>
      <w:r>
        <w:rPr>
          <w:rFonts w:hint="eastAsia" w:ascii="Arial" w:hAnsi="Arial" w:eastAsia="黑体" w:cs="Times New Roman"/>
          <w:b w:val="0"/>
          <w:lang w:val="en-US" w:eastAsia="zh-CN"/>
        </w:rPr>
        <w:t>强化规划传导与用途管制</w:t>
      </w:r>
      <w:bookmarkEnd w:id="96"/>
    </w:p>
    <w:p w14:paraId="713D32E5">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严格落实县级国土空间总体规划</w:t>
      </w:r>
    </w:p>
    <w:p w14:paraId="02396AD4">
      <w:pPr>
        <w:pStyle w:val="11"/>
        <w:ind w:firstLine="640"/>
        <w:rPr>
          <w:rFonts w:hint="default"/>
          <w:lang w:val="en-US" w:eastAsia="zh-CN"/>
        </w:rPr>
      </w:pPr>
      <w:r>
        <w:rPr>
          <w:rFonts w:hint="eastAsia"/>
          <w:lang w:val="en-US" w:eastAsia="zh-CN"/>
        </w:rPr>
        <w:t>落实县级总规确定的规划目标、职能定位、规划分区、城镇特色指引等宏观定性内容。严格落实耕地和永久基本农田保护线、洪涝风险控制线等空间管控线，落实相应管控措施。各类城乡建设行为及项目审批都应落实相应管控要求。严格落实县级国土空间总体规划提出的规划指标，依据核心指标制定评估考核机制，强化对资源总量和利用效率、空间管控底线的管控。落实县级规划划定的功能分区和管控要求。</w:t>
      </w:r>
      <w:r>
        <w:rPr>
          <w:rFonts w:hint="eastAsia" w:ascii="仿宋_GB2312" w:hAnsi="仿宋_GB2312" w:eastAsia="仿宋_GB2312"/>
          <w:sz w:val="32"/>
          <w:szCs w:val="32"/>
        </w:rPr>
        <w:t>严格落实县级国土空间总体规划提出的历史文化资源保护名录、重点建设项目名录、生态修复项目名录、村庄分类引导名录等要求。</w:t>
      </w:r>
    </w:p>
    <w:p w14:paraId="589B7239">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村庄规划</w:t>
      </w:r>
      <w:r>
        <w:rPr>
          <w:rFonts w:hint="eastAsia" w:ascii="楷体_GB2312" w:hAnsi="Times New Roman" w:eastAsia="楷体_GB2312" w:cs="Times New Roman"/>
          <w:bCs/>
          <w:sz w:val="32"/>
          <w:szCs w:val="32"/>
        </w:rPr>
        <w:t>传导</w:t>
      </w:r>
    </w:p>
    <w:p w14:paraId="5E5EF463">
      <w:pPr>
        <w:pStyle w:val="11"/>
        <w:ind w:firstLine="640"/>
        <w:rPr>
          <w:rFonts w:hint="eastAsia"/>
          <w:lang w:val="en-US" w:eastAsia="zh-CN"/>
        </w:rPr>
      </w:pPr>
      <w:r>
        <w:rPr>
          <w:rFonts w:hint="eastAsia"/>
          <w:lang w:val="en-US" w:eastAsia="zh-CN"/>
        </w:rPr>
        <w:t>明确沙珠玉乡村庄规划编制单元为</w:t>
      </w:r>
      <w:r>
        <w:rPr>
          <w:rFonts w:hint="eastAsia" w:ascii="仿宋_GB2312" w:hAnsi="仿宋_GB2312" w:eastAsia="仿宋_GB2312" w:cs="仿宋_GB2312"/>
          <w:lang w:val="en-US" w:eastAsia="zh-CN"/>
        </w:rPr>
        <w:t>10</w:t>
      </w:r>
      <w:r>
        <w:rPr>
          <w:rFonts w:hint="eastAsia"/>
          <w:lang w:val="en-US" w:eastAsia="zh-CN"/>
        </w:rPr>
        <w:t>个，</w:t>
      </w:r>
      <w:r>
        <w:rPr>
          <w:rFonts w:hint="eastAsia" w:ascii="仿宋_GB2312" w:hAnsi="仿宋_GB2312" w:cs="仿宋_GB2312"/>
          <w:lang w:val="en-US" w:eastAsia="zh-CN"/>
        </w:rPr>
        <w:t>珠玉村结合乡政府驻地规划统筹编制，其余</w:t>
      </w:r>
      <w:r>
        <w:rPr>
          <w:rFonts w:hint="eastAsia" w:ascii="仿宋_GB2312" w:hAnsi="仿宋_GB2312" w:eastAsia="仿宋_GB2312" w:cs="仿宋_GB2312"/>
          <w:lang w:val="en-US" w:eastAsia="zh-CN"/>
        </w:rPr>
        <w:t>9</w:t>
      </w:r>
      <w:r>
        <w:rPr>
          <w:rFonts w:hint="eastAsia"/>
          <w:lang w:val="en-US" w:eastAsia="zh-CN"/>
        </w:rPr>
        <w:t>个均单独编制。对各村庄的等级类型、发展方向等提出规划引导，划定村庄建设用地边界。将耕地保有量、永久基本农田等底线管控的指标规模和空间布局传导至各村庄。</w:t>
      </w:r>
    </w:p>
    <w:p w14:paraId="5276BAEA">
      <w:pPr>
        <w:pStyle w:val="6"/>
        <w:keepNext/>
        <w:keepLines/>
        <w:pageBreakBefore w:val="0"/>
        <w:widowControl w:val="0"/>
        <w:numPr>
          <w:ilvl w:val="1"/>
          <w:numId w:val="13"/>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en-US" w:eastAsia="zh-CN"/>
        </w:rPr>
      </w:pPr>
      <w:bookmarkStart w:id="97" w:name="_Toc8879"/>
      <w:r>
        <w:rPr>
          <w:rFonts w:hint="eastAsia" w:ascii="Arial" w:hAnsi="Arial" w:eastAsia="黑体" w:cs="Times New Roman"/>
          <w:b w:val="0"/>
          <w:lang w:val="en-US" w:eastAsia="zh-CN"/>
        </w:rPr>
        <w:t>近期安排</w:t>
      </w:r>
      <w:bookmarkEnd w:id="97"/>
    </w:p>
    <w:p w14:paraId="5A09EA3A">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近期规划目标</w:t>
      </w:r>
    </w:p>
    <w:p w14:paraId="74467CC7">
      <w:pPr>
        <w:pStyle w:val="11"/>
        <w:ind w:firstLine="64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到2025年，乡村现代化取得重要进展；农牧区生产生活绿色转型，人居和生态环境明显改善，城乡基本公共服务均等化水平显著提升；城乡居民收入差距明显缩小；乡村产业体系健全完善，城乡融合和可持续发展能力显著增强；乡风文明明显提升，发展安全保障更加有力，农牧民获得感、幸福感、安全感全面提高。</w:t>
      </w:r>
    </w:p>
    <w:p w14:paraId="6EE6D176">
      <w:pPr>
        <w:pStyle w:val="11"/>
        <w:ind w:firstLine="64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到2025年，</w:t>
      </w:r>
      <w:r>
        <w:rPr>
          <w:rFonts w:hint="eastAsia" w:ascii="仿宋_GB2312" w:hAnsi="仿宋_GB2312" w:cs="仿宋_GB2312"/>
          <w:lang w:val="en-US" w:eastAsia="zh-CN"/>
        </w:rPr>
        <w:t>集镇公共</w:t>
      </w:r>
      <w:r>
        <w:rPr>
          <w:rFonts w:hint="eastAsia"/>
        </w:rPr>
        <w:t>服务功能进一步完善，生活质量提升，</w:t>
      </w:r>
      <w:r>
        <w:rPr>
          <w:rFonts w:hint="eastAsia" w:ascii="仿宋_GB2312" w:hAnsi="仿宋_GB2312" w:cs="仿宋_GB2312"/>
          <w:lang w:val="en-US" w:eastAsia="zh-CN"/>
        </w:rPr>
        <w:t>集镇</w:t>
      </w:r>
      <w:r>
        <w:rPr>
          <w:rFonts w:hint="eastAsia"/>
        </w:rPr>
        <w:t>有机更新稳步推进；道路系统和基础设施建设更加完善，</w:t>
      </w:r>
      <w:r>
        <w:rPr>
          <w:rFonts w:hint="eastAsia"/>
          <w:lang w:val="en-US" w:eastAsia="zh-CN"/>
        </w:rPr>
        <w:t>集镇</w:t>
      </w:r>
      <w:r>
        <w:rPr>
          <w:rFonts w:hint="eastAsia"/>
        </w:rPr>
        <w:t>环境质量更加优化，人居环境更加美好。</w:t>
      </w:r>
    </w:p>
    <w:p w14:paraId="5E182B36">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保障近期重点项目空间</w:t>
      </w:r>
    </w:p>
    <w:p w14:paraId="027CBDF8">
      <w:pPr>
        <w:pStyle w:val="11"/>
        <w:ind w:firstLine="64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落实省、州、县重大产业项目、重大生态环保、重大民生工程和重大基础设施用地需求，</w:t>
      </w:r>
      <w:r>
        <w:rPr>
          <w:rFonts w:hint="eastAsia"/>
        </w:rPr>
        <w:t>以</w:t>
      </w:r>
      <w:r>
        <w:rPr>
          <w:rFonts w:hint="eastAsia"/>
          <w:lang w:val="en-US" w:eastAsia="zh-CN"/>
        </w:rPr>
        <w:t>沙珠玉乡</w:t>
      </w:r>
      <w:r>
        <w:rPr>
          <w:rFonts w:hint="eastAsia"/>
        </w:rPr>
        <w:t>“十四五”</w:t>
      </w:r>
      <w:r>
        <w:rPr>
          <w:rFonts w:hint="eastAsia"/>
          <w:lang w:val="en-US" w:eastAsia="zh-CN"/>
        </w:rPr>
        <w:t>、共和县国土空间规划</w:t>
      </w:r>
      <w:r>
        <w:rPr>
          <w:rFonts w:hint="eastAsia"/>
        </w:rPr>
        <w:t>为基础，落实</w:t>
      </w:r>
      <w:r>
        <w:rPr>
          <w:rFonts w:hint="eastAsia"/>
          <w:lang w:val="en-US" w:eastAsia="zh-CN"/>
        </w:rPr>
        <w:t>交通、水利、生态、电力、产业、旅游、民生</w:t>
      </w:r>
      <w:r>
        <w:rPr>
          <w:rFonts w:hint="eastAsia"/>
        </w:rPr>
        <w:t>等</w:t>
      </w:r>
      <w:r>
        <w:rPr>
          <w:rFonts w:hint="eastAsia"/>
          <w:lang w:val="en-US" w:eastAsia="zh-CN"/>
        </w:rPr>
        <w:t>近期</w:t>
      </w:r>
      <w:r>
        <w:rPr>
          <w:rFonts w:hint="eastAsia"/>
        </w:rPr>
        <w:t>重点建设项目</w:t>
      </w:r>
      <w:r>
        <w:rPr>
          <w:rFonts w:hint="eastAsia"/>
          <w:lang w:eastAsia="zh-CN"/>
        </w:rPr>
        <w:t>，</w:t>
      </w:r>
      <w:r>
        <w:rPr>
          <w:rFonts w:hint="eastAsia" w:ascii="仿宋_GB2312" w:hAnsi="仿宋_GB2312" w:eastAsia="仿宋_GB2312" w:cs="仿宋_GB2312"/>
          <w:lang w:val="en-US" w:eastAsia="zh-CN"/>
        </w:rPr>
        <w:t>持续优化国土空间格局和用地结构，提升生态屏障功能，促进生态保护和高质量发展协同并进。</w:t>
      </w:r>
    </w:p>
    <w:p w14:paraId="0C869DB5">
      <w:pPr>
        <w:keepNext/>
        <w:keepLines/>
        <w:pageBreakBefore w:val="0"/>
        <w:widowControl w:val="0"/>
        <w:numPr>
          <w:ilvl w:val="0"/>
          <w:numId w:val="4"/>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统筹推进生态修复重大工程</w:t>
      </w:r>
    </w:p>
    <w:p w14:paraId="2628025D">
      <w:pPr>
        <w:pStyle w:val="11"/>
        <w:ind w:firstLine="64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坚持自然恢复与工程措施相结合，深入贯彻“山水林田湖草沙是一个生命共同体”的理念，统筹山水林田湖草沙系统治理，以大项工程、专项工程全面提升全域生态功能。重点推进</w:t>
      </w:r>
      <w:r>
        <w:rPr>
          <w:rFonts w:hint="eastAsia"/>
          <w:lang w:val="en-US" w:eastAsia="zh-CN"/>
        </w:rPr>
        <w:t>青海湖地区沙化土地治理、沙区林草植被恢复、沙珠玉小流域生态治理综合工程、浪什干沟小流域水土保持综合治理工程等重大生态修复工程。</w:t>
      </w:r>
    </w:p>
    <w:p w14:paraId="6A38106D">
      <w:pPr>
        <w:ind w:left="0" w:leftChars="0" w:firstLine="0" w:firstLineChars="0"/>
        <w:rPr>
          <w:rFonts w:hint="default" w:ascii="Times New Roman" w:hAnsi="Times New Roman" w:eastAsia="方正小标宋简体" w:cs="Times New Roman"/>
          <w:b w:val="0"/>
          <w:bCs w:val="0"/>
          <w:kern w:val="44"/>
          <w:sz w:val="36"/>
          <w:szCs w:val="36"/>
          <w:lang w:val="en-US" w:eastAsia="zh-CN" w:bidi="ar-SA"/>
        </w:rPr>
      </w:pP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32C4568-3726-461E-A495-6E29AAD06847}"/>
  </w:font>
  <w:font w:name="黑体">
    <w:panose1 w:val="02010609060101010101"/>
    <w:charset w:val="86"/>
    <w:family w:val="auto"/>
    <w:pitch w:val="default"/>
    <w:sig w:usb0="800002BF" w:usb1="38CF7CFA" w:usb2="00000016" w:usb3="00000000" w:csb0="00040001" w:csb1="00000000"/>
    <w:embedRegular r:id="rId2" w:fontKey="{69D440BD-F5B6-45D6-9402-CEF65F4BDFD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EBBA121-4436-464C-88DB-1CEB774FA0B8}"/>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4" w:fontKey="{6B72F386-2CDD-41E3-B72A-36276451013F}"/>
  </w:font>
  <w:font w:name="仿宋_GB2312">
    <w:panose1 w:val="02010609030101010101"/>
    <w:charset w:val="86"/>
    <w:family w:val="modern"/>
    <w:pitch w:val="default"/>
    <w:sig w:usb0="00000001" w:usb1="080E0000" w:usb2="00000000" w:usb3="00000000" w:csb0="00040000" w:csb1="00000000"/>
    <w:embedRegular r:id="rId5" w:fontKey="{460FA5F6-91EF-4732-B3D2-83D1A849F2F8}"/>
  </w:font>
  <w:font w:name="等线">
    <w:panose1 w:val="02010600030101010101"/>
    <w:charset w:val="86"/>
    <w:family w:val="auto"/>
    <w:pitch w:val="default"/>
    <w:sig w:usb0="A00002BF" w:usb1="38CF7CFA" w:usb2="00000016" w:usb3="00000000" w:csb0="0004000F" w:csb1="00000000"/>
    <w:embedRegular r:id="rId6" w:fontKey="{A35BB936-2E7A-4125-B4DD-ABAE2EB90D85}"/>
  </w:font>
  <w:font w:name="方正小标宋简体">
    <w:panose1 w:val="03000509000000000000"/>
    <w:charset w:val="86"/>
    <w:family w:val="script"/>
    <w:pitch w:val="default"/>
    <w:sig w:usb0="00000001" w:usb1="080E0000" w:usb2="00000000" w:usb3="00000000" w:csb0="00040000" w:csb1="00000000"/>
    <w:embedRegular r:id="rId7" w:fontKey="{27C7FC08-9DF8-49F0-9232-6571DDB3106D}"/>
  </w:font>
  <w:font w:name="方正小标宋_GBK">
    <w:panose1 w:val="02000000000000000000"/>
    <w:charset w:val="86"/>
    <w:family w:val="script"/>
    <w:pitch w:val="default"/>
    <w:sig w:usb0="A00002BF" w:usb1="38CF7CFA" w:usb2="00082016" w:usb3="00000000" w:csb0="00040001" w:csb1="00000000"/>
    <w:embedRegular r:id="rId8" w:fontKey="{7F0525C1-1C5D-41B9-864B-A1A538B75663}"/>
  </w:font>
  <w:font w:name="楷体">
    <w:panose1 w:val="02010609060101010101"/>
    <w:charset w:val="86"/>
    <w:family w:val="modern"/>
    <w:pitch w:val="default"/>
    <w:sig w:usb0="800002BF" w:usb1="38CF7CFA" w:usb2="00000016" w:usb3="00000000" w:csb0="00040001" w:csb1="00000000"/>
    <w:embedRegular r:id="rId9" w:fontKey="{66301879-76D8-45A8-81D9-2F41F64FFB39}"/>
  </w:font>
  <w:font w:name="仿宋">
    <w:panose1 w:val="02010609060101010101"/>
    <w:charset w:val="86"/>
    <w:family w:val="modern"/>
    <w:pitch w:val="default"/>
    <w:sig w:usb0="800002BF" w:usb1="38CF7CFA" w:usb2="00000016" w:usb3="00000000" w:csb0="00040001" w:csb1="00000000"/>
    <w:embedRegular r:id="rId10" w:fontKey="{CC4E653D-31D0-42DC-A7E7-DD3B37DEA27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21AD9">
    <w:pPr>
      <w:pStyle w:val="13"/>
      <w:ind w:firstLine="360"/>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rPr>
      <w:t>180</w:t>
    </w:r>
    <w:r>
      <w:rPr>
        <w:rFonts w:hint="default"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20F62">
    <w:pPr>
      <w:pStyle w:val="13"/>
      <w:ind w:firstLine="360"/>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rPr>
      <w:t>180</w:t>
    </w:r>
    <w:r>
      <w:rPr>
        <w:rFonts w:hint="default"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64C41"/>
    <w:multiLevelType w:val="multilevel"/>
    <w:tmpl w:val="A2E64C4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B36193A0"/>
    <w:multiLevelType w:val="multilevel"/>
    <w:tmpl w:val="B36193A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E5E5F961"/>
    <w:multiLevelType w:val="multilevel"/>
    <w:tmpl w:val="E5E5F96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3">
    <w:nsid w:val="FE4FFF15"/>
    <w:multiLevelType w:val="multilevel"/>
    <w:tmpl w:val="FE4FFF1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4">
    <w:nsid w:val="FFE625A3"/>
    <w:multiLevelType w:val="multilevel"/>
    <w:tmpl w:val="FFE625A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5">
    <w:nsid w:val="21A7378D"/>
    <w:multiLevelType w:val="multilevel"/>
    <w:tmpl w:val="21A7378D"/>
    <w:lvl w:ilvl="0" w:tentative="0">
      <w:start w:val="1"/>
      <w:numFmt w:val="japaneseCounting"/>
      <w:pStyle w:val="29"/>
      <w:lvlText w:val="（%1）"/>
      <w:lvlJc w:val="left"/>
      <w:pPr>
        <w:ind w:left="1640" w:hanging="108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6">
    <w:nsid w:val="30CF119B"/>
    <w:multiLevelType w:val="multilevel"/>
    <w:tmpl w:val="30CF119B"/>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7">
    <w:nsid w:val="35A2F500"/>
    <w:multiLevelType w:val="multilevel"/>
    <w:tmpl w:val="35A2F50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8">
    <w:nsid w:val="38EF649B"/>
    <w:multiLevelType w:val="multilevel"/>
    <w:tmpl w:val="38EF649B"/>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9">
    <w:nsid w:val="56A3B412"/>
    <w:multiLevelType w:val="multilevel"/>
    <w:tmpl w:val="56A3B412"/>
    <w:lvl w:ilvl="0" w:tentative="0">
      <w:start w:val="1"/>
      <w:numFmt w:val="chineseCounting"/>
      <w:suff w:val="nothing"/>
      <w:lvlText w:val="第%1章 "/>
      <w:lvlJc w:val="left"/>
      <w:pPr>
        <w:ind w:left="0" w:firstLine="402"/>
      </w:pPr>
      <w:rPr>
        <w:rFonts w:hint="eastAsia" w:ascii="方正小标宋简体" w:hAnsi="方正小标宋简体" w:eastAsia="方正小标宋简体" w:cs="方正小标宋简体"/>
        <w:sz w:val="36"/>
        <w:szCs w:val="36"/>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0">
    <w:nsid w:val="5F76B54D"/>
    <w:multiLevelType w:val="multilevel"/>
    <w:tmpl w:val="5F76B54D"/>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1">
    <w:nsid w:val="62BA49CC"/>
    <w:multiLevelType w:val="multilevel"/>
    <w:tmpl w:val="62BA49CC"/>
    <w:lvl w:ilvl="0" w:tentative="0">
      <w:start w:val="1"/>
      <w:numFmt w:val="decimal"/>
      <w:lvlText w:val="第%1条 "/>
      <w:lvlJc w:val="left"/>
      <w:pPr>
        <w:ind w:left="1552" w:hanging="984"/>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3F281A7"/>
    <w:multiLevelType w:val="multilevel"/>
    <w:tmpl w:val="63F281A7"/>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5"/>
  </w:num>
  <w:num w:numId="2">
    <w:abstractNumId w:val="9"/>
  </w:num>
  <w:num w:numId="3">
    <w:abstractNumId w:val="2"/>
  </w:num>
  <w:num w:numId="4">
    <w:abstractNumId w:val="11"/>
  </w:num>
  <w:num w:numId="5">
    <w:abstractNumId w:val="0"/>
  </w:num>
  <w:num w:numId="6">
    <w:abstractNumId w:val="6"/>
  </w:num>
  <w:num w:numId="7">
    <w:abstractNumId w:val="8"/>
  </w:num>
  <w:num w:numId="8">
    <w:abstractNumId w:val="10"/>
  </w:num>
  <w:num w:numId="9">
    <w:abstractNumId w:val="1"/>
  </w:num>
  <w:num w:numId="10">
    <w:abstractNumId w:val="7"/>
  </w:num>
  <w:num w:numId="11">
    <w:abstractNumId w:val="3"/>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2MGM3ZDU4OWYwMWNjZGNhMTkzNTc4NjQ1YzhkZWEifQ=="/>
  </w:docVars>
  <w:rsids>
    <w:rsidRoot w:val="00B34DBA"/>
    <w:rsid w:val="000613C2"/>
    <w:rsid w:val="00183859"/>
    <w:rsid w:val="002D531E"/>
    <w:rsid w:val="00315BAD"/>
    <w:rsid w:val="003E5364"/>
    <w:rsid w:val="004A7559"/>
    <w:rsid w:val="004C6B38"/>
    <w:rsid w:val="004D0FFE"/>
    <w:rsid w:val="00606846"/>
    <w:rsid w:val="007030DC"/>
    <w:rsid w:val="00847627"/>
    <w:rsid w:val="009643E6"/>
    <w:rsid w:val="00AD10E6"/>
    <w:rsid w:val="00B34DBA"/>
    <w:rsid w:val="00CD3927"/>
    <w:rsid w:val="00CD60CB"/>
    <w:rsid w:val="00CF38C9"/>
    <w:rsid w:val="00D6174F"/>
    <w:rsid w:val="00DA3B2C"/>
    <w:rsid w:val="00DF5326"/>
    <w:rsid w:val="00F103A4"/>
    <w:rsid w:val="00FA0908"/>
    <w:rsid w:val="00FD1DD7"/>
    <w:rsid w:val="02050E6E"/>
    <w:rsid w:val="022C3C60"/>
    <w:rsid w:val="03005596"/>
    <w:rsid w:val="03052895"/>
    <w:rsid w:val="03D345FF"/>
    <w:rsid w:val="05893CF8"/>
    <w:rsid w:val="064F2C3F"/>
    <w:rsid w:val="06635A4F"/>
    <w:rsid w:val="069A65B0"/>
    <w:rsid w:val="07073C20"/>
    <w:rsid w:val="08785439"/>
    <w:rsid w:val="09945539"/>
    <w:rsid w:val="0A0C33C0"/>
    <w:rsid w:val="0A9137E3"/>
    <w:rsid w:val="0BB7550F"/>
    <w:rsid w:val="0DBE0DD6"/>
    <w:rsid w:val="0DDC2E77"/>
    <w:rsid w:val="0E2C1FF3"/>
    <w:rsid w:val="0E595EFE"/>
    <w:rsid w:val="0EFF16A6"/>
    <w:rsid w:val="101A2510"/>
    <w:rsid w:val="11ED6FCD"/>
    <w:rsid w:val="12457469"/>
    <w:rsid w:val="12CB0A04"/>
    <w:rsid w:val="133C52A9"/>
    <w:rsid w:val="13B862C8"/>
    <w:rsid w:val="14240B98"/>
    <w:rsid w:val="144C6DFF"/>
    <w:rsid w:val="156644BF"/>
    <w:rsid w:val="15954377"/>
    <w:rsid w:val="16E41393"/>
    <w:rsid w:val="174D0247"/>
    <w:rsid w:val="17967BF3"/>
    <w:rsid w:val="17E72E71"/>
    <w:rsid w:val="182E7127"/>
    <w:rsid w:val="18ED14C8"/>
    <w:rsid w:val="1B647F51"/>
    <w:rsid w:val="1C0C69AE"/>
    <w:rsid w:val="1C5F4D1A"/>
    <w:rsid w:val="1C79679F"/>
    <w:rsid w:val="1D8C2A69"/>
    <w:rsid w:val="1DA0669F"/>
    <w:rsid w:val="1E5A20DA"/>
    <w:rsid w:val="1ED03C2F"/>
    <w:rsid w:val="1FBF296D"/>
    <w:rsid w:val="20621F0A"/>
    <w:rsid w:val="206D0BF9"/>
    <w:rsid w:val="20B83D7A"/>
    <w:rsid w:val="230177BD"/>
    <w:rsid w:val="231A1A90"/>
    <w:rsid w:val="23812DCE"/>
    <w:rsid w:val="23C21629"/>
    <w:rsid w:val="24DA0247"/>
    <w:rsid w:val="24EA0EB1"/>
    <w:rsid w:val="25BC149D"/>
    <w:rsid w:val="2605561B"/>
    <w:rsid w:val="26766764"/>
    <w:rsid w:val="2680076E"/>
    <w:rsid w:val="26944EA5"/>
    <w:rsid w:val="276A7481"/>
    <w:rsid w:val="27885954"/>
    <w:rsid w:val="28466A4F"/>
    <w:rsid w:val="293E21D3"/>
    <w:rsid w:val="2A194C4D"/>
    <w:rsid w:val="2AC271EA"/>
    <w:rsid w:val="2AE15CAC"/>
    <w:rsid w:val="2B08148B"/>
    <w:rsid w:val="2B5D4A0B"/>
    <w:rsid w:val="2B6C58EF"/>
    <w:rsid w:val="2B7A0E2A"/>
    <w:rsid w:val="2B966A97"/>
    <w:rsid w:val="2BE95017"/>
    <w:rsid w:val="2BFE035B"/>
    <w:rsid w:val="2D106E30"/>
    <w:rsid w:val="2DBF67ED"/>
    <w:rsid w:val="2DD074DC"/>
    <w:rsid w:val="2E5F7614"/>
    <w:rsid w:val="2E6D0A82"/>
    <w:rsid w:val="2E8005F2"/>
    <w:rsid w:val="2E95604F"/>
    <w:rsid w:val="2E9B1CED"/>
    <w:rsid w:val="2F1B4506"/>
    <w:rsid w:val="2F6628DC"/>
    <w:rsid w:val="307F62FF"/>
    <w:rsid w:val="31354233"/>
    <w:rsid w:val="317F49B3"/>
    <w:rsid w:val="320E79B7"/>
    <w:rsid w:val="323D57AC"/>
    <w:rsid w:val="32613493"/>
    <w:rsid w:val="33093FF2"/>
    <w:rsid w:val="338C3EE8"/>
    <w:rsid w:val="33A81A9A"/>
    <w:rsid w:val="33B9552C"/>
    <w:rsid w:val="34AB35B3"/>
    <w:rsid w:val="34B17206"/>
    <w:rsid w:val="34CB3DC2"/>
    <w:rsid w:val="35682070"/>
    <w:rsid w:val="35DC5DD2"/>
    <w:rsid w:val="36291A78"/>
    <w:rsid w:val="368C18D7"/>
    <w:rsid w:val="36975A2F"/>
    <w:rsid w:val="36C61835"/>
    <w:rsid w:val="36F90B23"/>
    <w:rsid w:val="37014297"/>
    <w:rsid w:val="376949F0"/>
    <w:rsid w:val="37732570"/>
    <w:rsid w:val="377E4F84"/>
    <w:rsid w:val="37A02608"/>
    <w:rsid w:val="37C97989"/>
    <w:rsid w:val="38295C7C"/>
    <w:rsid w:val="386A72E1"/>
    <w:rsid w:val="39512091"/>
    <w:rsid w:val="39976B0D"/>
    <w:rsid w:val="39DF4C7B"/>
    <w:rsid w:val="3A9C574C"/>
    <w:rsid w:val="3A9E14C4"/>
    <w:rsid w:val="3B3849FC"/>
    <w:rsid w:val="3B551650"/>
    <w:rsid w:val="3CA20B16"/>
    <w:rsid w:val="3CA620E5"/>
    <w:rsid w:val="3CE22CCE"/>
    <w:rsid w:val="3F6705EF"/>
    <w:rsid w:val="3FC748BC"/>
    <w:rsid w:val="40127A8A"/>
    <w:rsid w:val="40635A95"/>
    <w:rsid w:val="41151DF2"/>
    <w:rsid w:val="4149331B"/>
    <w:rsid w:val="420C5D06"/>
    <w:rsid w:val="43B4299F"/>
    <w:rsid w:val="443C546F"/>
    <w:rsid w:val="451F0080"/>
    <w:rsid w:val="460F6C5B"/>
    <w:rsid w:val="46227AB6"/>
    <w:rsid w:val="46BF20A2"/>
    <w:rsid w:val="47E07021"/>
    <w:rsid w:val="484D3CAB"/>
    <w:rsid w:val="48750E49"/>
    <w:rsid w:val="48A56114"/>
    <w:rsid w:val="48E64B38"/>
    <w:rsid w:val="4961652D"/>
    <w:rsid w:val="49876EC0"/>
    <w:rsid w:val="4A034266"/>
    <w:rsid w:val="4A46348A"/>
    <w:rsid w:val="4A9406C5"/>
    <w:rsid w:val="4AD64F49"/>
    <w:rsid w:val="4B317668"/>
    <w:rsid w:val="4B3E1978"/>
    <w:rsid w:val="4B79460C"/>
    <w:rsid w:val="4BE15613"/>
    <w:rsid w:val="4BEB208F"/>
    <w:rsid w:val="4C057F12"/>
    <w:rsid w:val="4CBC179D"/>
    <w:rsid w:val="4D2E492A"/>
    <w:rsid w:val="4D3011D3"/>
    <w:rsid w:val="4DED12C3"/>
    <w:rsid w:val="4DF717CD"/>
    <w:rsid w:val="4E091F68"/>
    <w:rsid w:val="4E962786"/>
    <w:rsid w:val="4FB1665D"/>
    <w:rsid w:val="50126997"/>
    <w:rsid w:val="50310D41"/>
    <w:rsid w:val="50341765"/>
    <w:rsid w:val="50941962"/>
    <w:rsid w:val="51DD06CC"/>
    <w:rsid w:val="523A7EDE"/>
    <w:rsid w:val="524D69F3"/>
    <w:rsid w:val="52DE294E"/>
    <w:rsid w:val="53FB26C8"/>
    <w:rsid w:val="54EC75A4"/>
    <w:rsid w:val="55ED4248"/>
    <w:rsid w:val="55ED78F7"/>
    <w:rsid w:val="576B3889"/>
    <w:rsid w:val="577B4363"/>
    <w:rsid w:val="58782F40"/>
    <w:rsid w:val="592144C8"/>
    <w:rsid w:val="5A04713E"/>
    <w:rsid w:val="5A5A4FB1"/>
    <w:rsid w:val="5ABB0F61"/>
    <w:rsid w:val="5DC27EC8"/>
    <w:rsid w:val="5E39312E"/>
    <w:rsid w:val="5E44601A"/>
    <w:rsid w:val="5E4915C3"/>
    <w:rsid w:val="5E901BA0"/>
    <w:rsid w:val="5EA75A17"/>
    <w:rsid w:val="5F3F4774"/>
    <w:rsid w:val="60150C86"/>
    <w:rsid w:val="606B6E69"/>
    <w:rsid w:val="60C01654"/>
    <w:rsid w:val="60E02A17"/>
    <w:rsid w:val="60E37529"/>
    <w:rsid w:val="62116CC2"/>
    <w:rsid w:val="621B2B4A"/>
    <w:rsid w:val="6266691D"/>
    <w:rsid w:val="629C5290"/>
    <w:rsid w:val="6372164B"/>
    <w:rsid w:val="64371E2F"/>
    <w:rsid w:val="64745B00"/>
    <w:rsid w:val="64DA6DFD"/>
    <w:rsid w:val="654869B2"/>
    <w:rsid w:val="659E378D"/>
    <w:rsid w:val="65AE6C09"/>
    <w:rsid w:val="65E107A1"/>
    <w:rsid w:val="65E1634B"/>
    <w:rsid w:val="667912D9"/>
    <w:rsid w:val="66794E53"/>
    <w:rsid w:val="667976C3"/>
    <w:rsid w:val="66A000D7"/>
    <w:rsid w:val="66A36583"/>
    <w:rsid w:val="66BF6715"/>
    <w:rsid w:val="66CF63DE"/>
    <w:rsid w:val="66DC7293"/>
    <w:rsid w:val="67463DAF"/>
    <w:rsid w:val="67D8124B"/>
    <w:rsid w:val="6813021F"/>
    <w:rsid w:val="685E6D2E"/>
    <w:rsid w:val="68A13DAA"/>
    <w:rsid w:val="68C23AAC"/>
    <w:rsid w:val="68C94588"/>
    <w:rsid w:val="68E24AEE"/>
    <w:rsid w:val="69B75737"/>
    <w:rsid w:val="69B93063"/>
    <w:rsid w:val="69E8002B"/>
    <w:rsid w:val="6A400A83"/>
    <w:rsid w:val="6A761DC8"/>
    <w:rsid w:val="6AED777A"/>
    <w:rsid w:val="6B2807B2"/>
    <w:rsid w:val="6B5807E5"/>
    <w:rsid w:val="6BC96026"/>
    <w:rsid w:val="6CB97B06"/>
    <w:rsid w:val="6CF057D4"/>
    <w:rsid w:val="6D21370B"/>
    <w:rsid w:val="6D930760"/>
    <w:rsid w:val="6E2C2FBB"/>
    <w:rsid w:val="6E40711C"/>
    <w:rsid w:val="6EB81E4D"/>
    <w:rsid w:val="6F6A591E"/>
    <w:rsid w:val="70DC1E23"/>
    <w:rsid w:val="72B1479F"/>
    <w:rsid w:val="732F6417"/>
    <w:rsid w:val="73F0799B"/>
    <w:rsid w:val="748E0BC3"/>
    <w:rsid w:val="75773A4B"/>
    <w:rsid w:val="75D307FB"/>
    <w:rsid w:val="75E74549"/>
    <w:rsid w:val="75E949D7"/>
    <w:rsid w:val="77145730"/>
    <w:rsid w:val="77A1409D"/>
    <w:rsid w:val="77E14132"/>
    <w:rsid w:val="78683180"/>
    <w:rsid w:val="790D5D22"/>
    <w:rsid w:val="79172B8D"/>
    <w:rsid w:val="79254583"/>
    <w:rsid w:val="793D4465"/>
    <w:rsid w:val="79857AE1"/>
    <w:rsid w:val="79B13EBB"/>
    <w:rsid w:val="79E3269D"/>
    <w:rsid w:val="7A3852EC"/>
    <w:rsid w:val="7B29002C"/>
    <w:rsid w:val="7B4E4B37"/>
    <w:rsid w:val="7B6E4062"/>
    <w:rsid w:val="7C194F23"/>
    <w:rsid w:val="7C633996"/>
    <w:rsid w:val="7D1F2F41"/>
    <w:rsid w:val="7DA5642C"/>
    <w:rsid w:val="7DBD122E"/>
    <w:rsid w:val="7E6A655A"/>
    <w:rsid w:val="7ED353A4"/>
    <w:rsid w:val="7F3D3559"/>
    <w:rsid w:val="7F570C65"/>
    <w:rsid w:val="7FAE2E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1040" w:firstLineChars="200"/>
      <w:jc w:val="both"/>
    </w:pPr>
    <w:rPr>
      <w:rFonts w:asciiTheme="minorAscii" w:hAnsiTheme="minorAscii" w:eastAsiaTheme="minorEastAsia" w:cstheme="minorBidi"/>
      <w:kern w:val="2"/>
      <w:sz w:val="21"/>
      <w:szCs w:val="22"/>
      <w:lang w:val="en-US" w:eastAsia="zh-CN" w:bidi="ar-SA"/>
    </w:rPr>
  </w:style>
  <w:style w:type="paragraph" w:styleId="5">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8">
    <w:name w:val="heading 4"/>
    <w:basedOn w:val="1"/>
    <w:next w:val="1"/>
    <w:qFormat/>
    <w:uiPriority w:val="0"/>
    <w:pPr>
      <w:keepNext/>
      <w:keepLines/>
      <w:widowControl/>
      <w:tabs>
        <w:tab w:val="left" w:pos="864"/>
      </w:tabs>
      <w:spacing w:before="280" w:after="290" w:line="376" w:lineRule="auto"/>
      <w:ind w:left="864" w:hanging="144"/>
      <w:jc w:val="left"/>
      <w:outlineLvl w:val="3"/>
    </w:pPr>
    <w:rPr>
      <w:rFonts w:ascii="Arial" w:hAnsi="Arial" w:eastAsia="黑体"/>
      <w:b/>
      <w:kern w:val="0"/>
      <w:szCs w:val="20"/>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semiHidden/>
    <w:unhideWhenUsed/>
    <w:qFormat/>
    <w:uiPriority w:val="99"/>
    <w:pPr>
      <w:ind w:firstLine="420" w:firstLineChars="200"/>
    </w:pPr>
  </w:style>
  <w:style w:type="paragraph" w:styleId="3">
    <w:name w:val="Body Text Indent"/>
    <w:basedOn w:val="1"/>
    <w:qFormat/>
    <w:uiPriority w:val="0"/>
    <w:pPr>
      <w:spacing w:line="280" w:lineRule="exact"/>
      <w:ind w:firstLine="198"/>
    </w:pPr>
    <w:rPr>
      <w:rFonts w:ascii="楷体_GB2312" w:eastAsia="楷体_GB2312" w:cs="楷体_GB2312"/>
      <w:color w:val="003399"/>
      <w:sz w:val="15"/>
      <w:szCs w:val="15"/>
    </w:rPr>
  </w:style>
  <w:style w:type="paragraph" w:styleId="4">
    <w:name w:val="Plain Text"/>
    <w:basedOn w:val="1"/>
    <w:qFormat/>
    <w:uiPriority w:val="0"/>
    <w:rPr>
      <w:rFonts w:ascii="宋体" w:hAnsi="Courier New" w:cs="Courier New"/>
      <w:szCs w:val="21"/>
    </w:rPr>
  </w:style>
  <w:style w:type="paragraph" w:styleId="9">
    <w:name w:val="Normal Indent"/>
    <w:basedOn w:val="1"/>
    <w:qFormat/>
    <w:uiPriority w:val="99"/>
    <w:pPr>
      <w:spacing w:line="360" w:lineRule="auto"/>
      <w:ind w:firstLine="420"/>
    </w:pPr>
    <w:rPr>
      <w:rFonts w:ascii="宋体" w:hAnsi="宋体"/>
      <w:szCs w:val="20"/>
    </w:rPr>
  </w:style>
  <w:style w:type="paragraph" w:styleId="10">
    <w:name w:val="caption"/>
    <w:basedOn w:val="1"/>
    <w:next w:val="1"/>
    <w:qFormat/>
    <w:uiPriority w:val="0"/>
    <w:pPr>
      <w:ind w:firstLine="0" w:firstLineChars="0"/>
    </w:pPr>
    <w:rPr>
      <w:rFonts w:ascii="Arial" w:hAnsi="Arial" w:eastAsia="黑体" w:cs="Arial"/>
      <w:sz w:val="21"/>
      <w:szCs w:val="20"/>
    </w:rPr>
  </w:style>
  <w:style w:type="paragraph" w:styleId="11">
    <w:name w:val="Body Text"/>
    <w:basedOn w:val="1"/>
    <w:qFormat/>
    <w:uiPriority w:val="0"/>
    <w:pPr>
      <w:spacing w:after="120" w:line="600" w:lineRule="exact"/>
    </w:pPr>
    <w:rPr>
      <w:rFonts w:eastAsia="仿宋_GB2312"/>
      <w:sz w:val="32"/>
    </w:rPr>
  </w:style>
  <w:style w:type="paragraph" w:styleId="12">
    <w:name w:val="Date"/>
    <w:basedOn w:val="1"/>
    <w:next w:val="1"/>
    <w:link w:val="22"/>
    <w:semiHidden/>
    <w:unhideWhenUsed/>
    <w:qFormat/>
    <w:uiPriority w:val="99"/>
    <w:pPr>
      <w:ind w:left="100" w:leftChars="2500"/>
    </w:pPr>
  </w:style>
  <w:style w:type="paragraph" w:styleId="13">
    <w:name w:val="footer"/>
    <w:basedOn w:val="1"/>
    <w:semiHidden/>
    <w:unhideWhenUsed/>
    <w:qFormat/>
    <w:uiPriority w:val="99"/>
    <w:pPr>
      <w:tabs>
        <w:tab w:val="center" w:pos="4153"/>
        <w:tab w:val="right" w:pos="8306"/>
      </w:tabs>
      <w:snapToGrid w:val="0"/>
      <w:jc w:val="left"/>
    </w:pPr>
    <w:rPr>
      <w:sz w:val="18"/>
    </w:rPr>
  </w:style>
  <w:style w:type="paragraph" w:styleId="1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semiHidden/>
    <w:unhideWhenUsed/>
    <w:qFormat/>
    <w:uiPriority w:val="39"/>
  </w:style>
  <w:style w:type="paragraph" w:styleId="16">
    <w:name w:val="toc 2"/>
    <w:basedOn w:val="1"/>
    <w:next w:val="1"/>
    <w:semiHidden/>
    <w:unhideWhenUsed/>
    <w:qFormat/>
    <w:uiPriority w:val="39"/>
    <w:pPr>
      <w:ind w:left="420" w:leftChars="200"/>
    </w:pPr>
  </w:style>
  <w:style w:type="paragraph" w:styleId="17">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cs="宋体"/>
      <w:kern w:val="0"/>
    </w:rPr>
  </w:style>
  <w:style w:type="table" w:styleId="19">
    <w:name w:val="Table Grid"/>
    <w:basedOn w:val="18"/>
    <w:qFormat/>
    <w:uiPriority w:val="39"/>
    <w:pPr>
      <w:widowControl w:val="0"/>
      <w:jc w:val="center"/>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character" w:styleId="21">
    <w:name w:val="Strong"/>
    <w:basedOn w:val="20"/>
    <w:qFormat/>
    <w:uiPriority w:val="22"/>
    <w:rPr>
      <w:b/>
    </w:rPr>
  </w:style>
  <w:style w:type="character" w:customStyle="1" w:styleId="22">
    <w:name w:val="日期 Char"/>
    <w:basedOn w:val="20"/>
    <w:link w:val="12"/>
    <w:semiHidden/>
    <w:qFormat/>
    <w:uiPriority w:val="99"/>
  </w:style>
  <w:style w:type="character" w:customStyle="1" w:styleId="23">
    <w:name w:val="标题 1 Char"/>
    <w:basedOn w:val="20"/>
    <w:link w:val="5"/>
    <w:qFormat/>
    <w:uiPriority w:val="9"/>
    <w:rPr>
      <w:b/>
      <w:bCs/>
      <w:kern w:val="44"/>
      <w:sz w:val="44"/>
      <w:szCs w:val="44"/>
    </w:rPr>
  </w:style>
  <w:style w:type="character" w:customStyle="1" w:styleId="24">
    <w:name w:val="标题 2 Char"/>
    <w:basedOn w:val="20"/>
    <w:link w:val="6"/>
    <w:qFormat/>
    <w:uiPriority w:val="9"/>
    <w:rPr>
      <w:rFonts w:asciiTheme="majorHAnsi" w:hAnsiTheme="majorHAnsi" w:eastAsiaTheme="majorEastAsia" w:cstheme="majorBidi"/>
      <w:b/>
      <w:bCs/>
      <w:sz w:val="32"/>
      <w:szCs w:val="32"/>
    </w:rPr>
  </w:style>
  <w:style w:type="paragraph" w:styleId="25">
    <w:name w:val="List Paragraph"/>
    <w:basedOn w:val="1"/>
    <w:qFormat/>
    <w:uiPriority w:val="34"/>
    <w:pPr>
      <w:ind w:firstLine="420" w:firstLineChars="200"/>
    </w:pPr>
  </w:style>
  <w:style w:type="character" w:customStyle="1" w:styleId="26">
    <w:name w:val="标题 3 Char"/>
    <w:basedOn w:val="20"/>
    <w:link w:val="7"/>
    <w:qFormat/>
    <w:uiPriority w:val="9"/>
    <w:rPr>
      <w:b/>
      <w:bCs/>
      <w:sz w:val="32"/>
      <w:szCs w:val="32"/>
    </w:rPr>
  </w:style>
  <w:style w:type="paragraph" w:customStyle="1" w:styleId="27">
    <w:name w:val="0-表格正文"/>
    <w:basedOn w:val="1"/>
    <w:qFormat/>
    <w:uiPriority w:val="0"/>
    <w:pPr>
      <w:widowControl/>
      <w:spacing w:line="500" w:lineRule="exact"/>
      <w:ind w:firstLine="0" w:firstLineChars="0"/>
      <w:jc w:val="center"/>
    </w:pPr>
    <w:rPr>
      <w:rFonts w:eastAsia="仿宋_GB2312"/>
      <w:kern w:val="0"/>
      <w:sz w:val="21"/>
      <w:szCs w:val="20"/>
    </w:rPr>
  </w:style>
  <w:style w:type="paragraph" w:customStyle="1" w:styleId="28">
    <w:name w:val="0-专栏标题"/>
    <w:basedOn w:val="1"/>
    <w:qFormat/>
    <w:uiPriority w:val="99"/>
    <w:pPr>
      <w:spacing w:line="420" w:lineRule="exact"/>
      <w:ind w:firstLine="0" w:firstLineChars="0"/>
      <w:jc w:val="center"/>
    </w:pPr>
    <w:rPr>
      <w:rFonts w:eastAsia="黑体"/>
      <w:sz w:val="30"/>
    </w:rPr>
  </w:style>
  <w:style w:type="paragraph" w:customStyle="1" w:styleId="29">
    <w:name w:val="四级"/>
    <w:basedOn w:val="1"/>
    <w:next w:val="1"/>
    <w:autoRedefine/>
    <w:qFormat/>
    <w:uiPriority w:val="0"/>
    <w:pPr>
      <w:numPr>
        <w:ilvl w:val="0"/>
        <w:numId w:val="1"/>
      </w:numPr>
      <w:adjustRightInd w:val="0"/>
      <w:snapToGrid w:val="0"/>
      <w:spacing w:before="100" w:beforeLines="100" w:after="100" w:afterLines="100" w:line="240" w:lineRule="auto"/>
      <w:ind w:firstLine="0" w:firstLineChars="0"/>
      <w:jc w:val="left"/>
      <w:outlineLvl w:val="3"/>
    </w:pPr>
    <w:rPr>
      <w:rFonts w:eastAsia="仿宋_GB2312"/>
      <w:b/>
      <w:bCs/>
      <w:sz w:val="30"/>
      <w:szCs w:val="28"/>
    </w:rPr>
  </w:style>
  <w:style w:type="paragraph" w:customStyle="1" w:styleId="30">
    <w:name w:val="文本四级"/>
    <w:basedOn w:val="29"/>
    <w:next w:val="1"/>
    <w:autoRedefine/>
    <w:qFormat/>
    <w:uiPriority w:val="0"/>
    <w:pPr>
      <w:ind w:hanging="1080"/>
    </w:pPr>
  </w:style>
  <w:style w:type="paragraph" w:customStyle="1" w:styleId="31">
    <w:name w:val="表格表头"/>
    <w:basedOn w:val="10"/>
    <w:autoRedefine/>
    <w:qFormat/>
    <w:uiPriority w:val="0"/>
    <w:pPr>
      <w:ind w:firstLine="360"/>
      <w:jc w:val="center"/>
    </w:pPr>
  </w:style>
  <w:style w:type="paragraph" w:customStyle="1" w:styleId="32">
    <w:name w:val="表格"/>
    <w:basedOn w:val="1"/>
    <w:autoRedefine/>
    <w:qFormat/>
    <w:uiPriority w:val="0"/>
    <w:pPr>
      <w:ind w:firstLine="0" w:firstLineChars="0"/>
      <w:jc w:val="center"/>
    </w:pPr>
    <w:rPr>
      <w:kern w:val="0"/>
      <w:sz w:val="18"/>
      <w:szCs w:val="18"/>
    </w:rPr>
  </w:style>
  <w:style w:type="paragraph" w:customStyle="1" w:styleId="33">
    <w:name w:val="专栏正文"/>
    <w:basedOn w:val="1"/>
    <w:autoRedefine/>
    <w:qFormat/>
    <w:uiPriority w:val="0"/>
    <w:pPr>
      <w:spacing w:line="500" w:lineRule="exact"/>
    </w:pPr>
    <w:rPr>
      <w:rFonts w:hAnsi="宋体"/>
      <w:bCs/>
      <w:sz w:val="24"/>
      <w:szCs w:val="21"/>
    </w:rPr>
  </w:style>
  <w:style w:type="character" w:customStyle="1" w:styleId="34">
    <w:name w:val="font21"/>
    <w:basedOn w:val="20"/>
    <w:qFormat/>
    <w:uiPriority w:val="0"/>
    <w:rPr>
      <w:rFonts w:hint="eastAsia" w:ascii="仿宋_GB2312" w:eastAsia="仿宋_GB2312" w:cs="仿宋_GB2312"/>
      <w:color w:val="000000"/>
      <w:sz w:val="18"/>
      <w:szCs w:val="18"/>
      <w:u w:val="none"/>
    </w:rPr>
  </w:style>
  <w:style w:type="character" w:customStyle="1" w:styleId="35">
    <w:name w:val="font11"/>
    <w:basedOn w:val="20"/>
    <w:qFormat/>
    <w:uiPriority w:val="0"/>
    <w:rPr>
      <w:rFonts w:hint="eastAsia" w:ascii="等线" w:hAnsi="等线" w:eastAsia="等线" w:cs="等线"/>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91</Pages>
  <Words>5790</Words>
  <Characters>6072</Characters>
  <Lines>22</Lines>
  <Paragraphs>6</Paragraphs>
  <TotalTime>3</TotalTime>
  <ScaleCrop>false</ScaleCrop>
  <LinksUpToDate>false</LinksUpToDate>
  <CharactersWithSpaces>6215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2024-07-18T15:58:00Z</dcterms:created>
  <dc:creator>dell</dc:creator>
  <cp:lastModifiedBy>第八号当铺</cp:lastModifiedBy>
  <dcterms:modified xsi:type="dcterms:W3CDTF">2025-09-19T04:40:48Z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E52548A5E9D24041A8FE767DABC08AC7_13</vt:lpwstr>
  </property>
  <property fmtid="{D5CDD505-2E9C-101B-9397-08002B2CF9AE}" pid="4" name="KSOTemplateDocerSaveRecord">
    <vt:lpwstr>eyJoZGlkIjoiOTY1MDc1YTVkYTZiMWRhZjUyNzg0N2I4MjlmZTlkODciLCJ1c2VySWQiOiIxMzEzNjY3MDIwIn0=</vt:lpwstr>
  </property>
</Properties>
</file>