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9B7C">
      <w:pPr>
        <w:pStyle w:val="11"/>
        <w:jc w:val="center"/>
        <w:rPr>
          <w:rFonts w:hint="eastAsia" w:ascii="方正小标宋_GBK" w:hAnsi="黑体" w:eastAsia="方正小标宋_GBK"/>
          <w:sz w:val="36"/>
          <w:szCs w:val="36"/>
        </w:rPr>
      </w:pPr>
      <w:bookmarkStart w:id="0" w:name="_Toc135150608"/>
      <w:bookmarkStart w:id="1" w:name="_Toc136502355"/>
      <w:bookmarkStart w:id="2" w:name="_Toc135567126"/>
      <w:bookmarkStart w:id="3" w:name="_Toc135596445"/>
      <w:bookmarkStart w:id="4" w:name="_Toc135940985"/>
      <w:bookmarkStart w:id="5" w:name="_Toc135575687"/>
      <w:bookmarkStart w:id="6" w:name="_Toc146063353"/>
      <w:bookmarkStart w:id="7" w:name="_Toc134965132"/>
      <w:bookmarkStart w:id="8" w:name="_Toc137159448"/>
      <w:bookmarkStart w:id="9" w:name="_Toc137395875"/>
      <w:bookmarkStart w:id="10" w:name="_Toc136471054"/>
      <w:bookmarkStart w:id="11" w:name="_Toc136980517"/>
      <w:r>
        <w:rPr>
          <w:rFonts w:hint="eastAsia" w:ascii="方正小标宋_GBK" w:hAnsi="黑体" w:eastAsia="方正小标宋_GBK"/>
          <w:sz w:val="36"/>
          <w:szCs w:val="36"/>
        </w:rPr>
        <w:t>目录</w:t>
      </w:r>
      <w:bookmarkEnd w:id="0"/>
      <w:bookmarkEnd w:id="1"/>
      <w:bookmarkEnd w:id="2"/>
      <w:bookmarkEnd w:id="3"/>
      <w:bookmarkEnd w:id="4"/>
      <w:bookmarkEnd w:id="5"/>
      <w:bookmarkEnd w:id="6"/>
      <w:bookmarkEnd w:id="7"/>
      <w:bookmarkEnd w:id="8"/>
      <w:bookmarkEnd w:id="9"/>
      <w:bookmarkEnd w:id="10"/>
      <w:bookmarkEnd w:id="11"/>
    </w:p>
    <w:p w14:paraId="3E7F6AB2">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方正小标宋_GBK" w:hAnsi="黑体" w:eastAsia="方正小标宋_GBK" w:cs="Times New Roman"/>
          <w:sz w:val="36"/>
          <w:szCs w:val="36"/>
        </w:rPr>
        <w:fldChar w:fldCharType="begin"/>
      </w:r>
      <w:r>
        <w:rPr>
          <w:rFonts w:hint="eastAsia" w:ascii="方正小标宋_GBK" w:hAnsi="黑体" w:eastAsia="方正小标宋_GBK" w:cs="Times New Roman"/>
          <w:sz w:val="36"/>
          <w:szCs w:val="36"/>
        </w:rPr>
        <w:instrText xml:space="preserve">TOC \o "1-2" \h \u </w:instrText>
      </w:r>
      <w:r>
        <w:rPr>
          <w:rFonts w:hint="eastAsia" w:ascii="方正小标宋_GBK" w:hAnsi="黑体" w:eastAsia="方正小标宋_GBK" w:cs="Times New Roman"/>
          <w:sz w:val="36"/>
          <w:szCs w:val="36"/>
        </w:rPr>
        <w:fldChar w:fldCharType="separate"/>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_Toc25677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前言</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_Toc25677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1</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26F2AD96">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_Toc12278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第一章 规划背景</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_Toc12278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3</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7827D6A2">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_Toc17312 </w:instrText>
      </w:r>
      <w:r>
        <w:rPr>
          <w:rFonts w:hint="eastAsia"/>
        </w:rPr>
        <w:fldChar w:fldCharType="separate"/>
      </w:r>
      <w:r>
        <w:rPr>
          <w:rFonts w:hint="eastAsia"/>
          <w:lang w:val="zh-CN"/>
        </w:rPr>
        <w:t>第一节 禀赋与条件</w:t>
      </w:r>
      <w:r>
        <w:rPr>
          <w:rFonts w:hint="eastAsia"/>
        </w:rPr>
        <w:tab/>
      </w:r>
      <w:r>
        <w:rPr>
          <w:rFonts w:hint="eastAsia"/>
        </w:rPr>
        <w:fldChar w:fldCharType="begin"/>
      </w:r>
      <w:r>
        <w:rPr>
          <w:rFonts w:hint="eastAsia"/>
        </w:rPr>
        <w:instrText xml:space="preserve"> PAGEREF _Toc17312 \h </w:instrText>
      </w:r>
      <w:r>
        <w:rPr>
          <w:rFonts w:hint="eastAsia"/>
        </w:rPr>
        <w:fldChar w:fldCharType="separate"/>
      </w:r>
      <w:r>
        <w:rPr>
          <w:rFonts w:hint="eastAsia"/>
        </w:rPr>
        <w:t>3</w:t>
      </w:r>
      <w:r>
        <w:rPr>
          <w:rFonts w:hint="eastAsia"/>
        </w:rPr>
        <w:fldChar w:fldCharType="end"/>
      </w:r>
      <w:r>
        <w:rPr>
          <w:rFonts w:hint="eastAsia"/>
        </w:rPr>
        <w:fldChar w:fldCharType="end"/>
      </w:r>
    </w:p>
    <w:p w14:paraId="7E8E667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_Toc8862 </w:instrText>
      </w:r>
      <w:r>
        <w:rPr>
          <w:rFonts w:hint="eastAsia"/>
        </w:rPr>
        <w:fldChar w:fldCharType="separate"/>
      </w:r>
      <w:r>
        <w:rPr>
          <w:rFonts w:hint="eastAsia"/>
          <w:lang w:val="zh-CN"/>
        </w:rPr>
        <w:t>第二节 现状与问题</w:t>
      </w:r>
      <w:r>
        <w:rPr>
          <w:rFonts w:hint="eastAsia"/>
        </w:rPr>
        <w:tab/>
      </w:r>
      <w:r>
        <w:rPr>
          <w:rFonts w:hint="eastAsia"/>
        </w:rPr>
        <w:fldChar w:fldCharType="begin"/>
      </w:r>
      <w:r>
        <w:rPr>
          <w:rFonts w:hint="eastAsia"/>
        </w:rPr>
        <w:instrText xml:space="preserve"> PAGEREF _Toc8862 \h </w:instrText>
      </w:r>
      <w:r>
        <w:rPr>
          <w:rFonts w:hint="eastAsia"/>
        </w:rPr>
        <w:fldChar w:fldCharType="separate"/>
      </w:r>
      <w:r>
        <w:rPr>
          <w:rFonts w:hint="eastAsia"/>
        </w:rPr>
        <w:t>4</w:t>
      </w:r>
      <w:r>
        <w:rPr>
          <w:rFonts w:hint="eastAsia"/>
        </w:rPr>
        <w:fldChar w:fldCharType="end"/>
      </w:r>
      <w:r>
        <w:rPr>
          <w:rFonts w:hint="eastAsia"/>
        </w:rPr>
        <w:fldChar w:fldCharType="end"/>
      </w:r>
    </w:p>
    <w:p w14:paraId="073E1806">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_Toc32224 </w:instrText>
      </w:r>
      <w:r>
        <w:rPr>
          <w:rFonts w:hint="eastAsia"/>
        </w:rPr>
        <w:fldChar w:fldCharType="separate"/>
      </w:r>
      <w:r>
        <w:rPr>
          <w:rFonts w:hint="eastAsia"/>
          <w:lang w:val="zh-CN"/>
        </w:rPr>
        <w:t>第三节 挑战与机遇</w:t>
      </w:r>
      <w:r>
        <w:rPr>
          <w:rFonts w:hint="eastAsia"/>
        </w:rPr>
        <w:tab/>
      </w:r>
      <w:r>
        <w:rPr>
          <w:rFonts w:hint="eastAsia"/>
        </w:rPr>
        <w:fldChar w:fldCharType="begin"/>
      </w:r>
      <w:r>
        <w:rPr>
          <w:rFonts w:hint="eastAsia"/>
        </w:rPr>
        <w:instrText xml:space="preserve"> PAGEREF _Toc32224 \h </w:instrText>
      </w:r>
      <w:r>
        <w:rPr>
          <w:rFonts w:hint="eastAsia"/>
        </w:rPr>
        <w:fldChar w:fldCharType="separate"/>
      </w:r>
      <w:r>
        <w:rPr>
          <w:rFonts w:hint="eastAsia"/>
        </w:rPr>
        <w:t>6</w:t>
      </w:r>
      <w:r>
        <w:rPr>
          <w:rFonts w:hint="eastAsia"/>
        </w:rPr>
        <w:fldChar w:fldCharType="end"/>
      </w:r>
      <w:r>
        <w:rPr>
          <w:rFonts w:hint="eastAsia"/>
        </w:rPr>
        <w:fldChar w:fldCharType="end"/>
      </w:r>
    </w:p>
    <w:p w14:paraId="2A144277">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_Toc28885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第二章 指导思想与目标战略</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_Toc28885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9</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47A3EBF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_Toc375 </w:instrText>
      </w:r>
      <w:r>
        <w:rPr>
          <w:rFonts w:hint="eastAsia"/>
        </w:rPr>
        <w:fldChar w:fldCharType="separate"/>
      </w:r>
      <w:r>
        <w:rPr>
          <w:rFonts w:hint="eastAsia"/>
          <w:lang w:val="zh-CN"/>
        </w:rPr>
        <w:t>第一节 指导思想和基本原则</w:t>
      </w:r>
      <w:r>
        <w:rPr>
          <w:rFonts w:hint="eastAsia"/>
        </w:rPr>
        <w:tab/>
      </w:r>
      <w:r>
        <w:rPr>
          <w:rFonts w:hint="eastAsia"/>
        </w:rPr>
        <w:fldChar w:fldCharType="begin"/>
      </w:r>
      <w:r>
        <w:rPr>
          <w:rFonts w:hint="eastAsia"/>
        </w:rPr>
        <w:instrText xml:space="preserve"> PAGEREF _Toc375 \h </w:instrText>
      </w:r>
      <w:r>
        <w:rPr>
          <w:rFonts w:hint="eastAsia"/>
        </w:rPr>
        <w:fldChar w:fldCharType="separate"/>
      </w:r>
      <w:r>
        <w:rPr>
          <w:rFonts w:hint="eastAsia"/>
        </w:rPr>
        <w:t>9</w:t>
      </w:r>
      <w:r>
        <w:rPr>
          <w:rFonts w:hint="eastAsia"/>
        </w:rPr>
        <w:fldChar w:fldCharType="end"/>
      </w:r>
      <w:r>
        <w:rPr>
          <w:rFonts w:hint="eastAsia"/>
        </w:rPr>
        <w:fldChar w:fldCharType="end"/>
      </w:r>
    </w:p>
    <w:p w14:paraId="5624F1B1">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_Toc27644 </w:instrText>
      </w:r>
      <w:r>
        <w:rPr>
          <w:rFonts w:hint="eastAsia"/>
        </w:rPr>
        <w:fldChar w:fldCharType="separate"/>
      </w:r>
      <w:r>
        <w:rPr>
          <w:rFonts w:hint="eastAsia"/>
          <w:lang w:val="zh-CN"/>
        </w:rPr>
        <w:t>第二节 总体定位</w:t>
      </w:r>
      <w:r>
        <w:rPr>
          <w:rFonts w:hint="eastAsia"/>
        </w:rPr>
        <w:tab/>
      </w:r>
      <w:r>
        <w:rPr>
          <w:rFonts w:hint="eastAsia"/>
        </w:rPr>
        <w:fldChar w:fldCharType="begin"/>
      </w:r>
      <w:r>
        <w:rPr>
          <w:rFonts w:hint="eastAsia"/>
        </w:rPr>
        <w:instrText xml:space="preserve"> PAGEREF _Toc27644 \h </w:instrText>
      </w:r>
      <w:r>
        <w:rPr>
          <w:rFonts w:hint="eastAsia"/>
        </w:rPr>
        <w:fldChar w:fldCharType="separate"/>
      </w:r>
      <w:r>
        <w:rPr>
          <w:rFonts w:hint="eastAsia"/>
        </w:rPr>
        <w:t>10</w:t>
      </w:r>
      <w:r>
        <w:rPr>
          <w:rFonts w:hint="eastAsia"/>
        </w:rPr>
        <w:fldChar w:fldCharType="end"/>
      </w:r>
      <w:r>
        <w:rPr>
          <w:rFonts w:hint="eastAsia"/>
        </w:rPr>
        <w:fldChar w:fldCharType="end"/>
      </w:r>
    </w:p>
    <w:p w14:paraId="75D88E2E">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_Toc3163 </w:instrText>
      </w:r>
      <w:r>
        <w:rPr>
          <w:rFonts w:hint="eastAsia"/>
        </w:rPr>
        <w:fldChar w:fldCharType="separate"/>
      </w:r>
      <w:r>
        <w:rPr>
          <w:rFonts w:hint="eastAsia"/>
          <w:lang w:val="zh-CN"/>
        </w:rPr>
        <w:t>第三节 开发保护目标与战略</w:t>
      </w:r>
      <w:r>
        <w:rPr>
          <w:rFonts w:hint="eastAsia"/>
        </w:rPr>
        <w:tab/>
      </w:r>
      <w:r>
        <w:rPr>
          <w:rFonts w:hint="eastAsia"/>
        </w:rPr>
        <w:fldChar w:fldCharType="begin"/>
      </w:r>
      <w:r>
        <w:rPr>
          <w:rFonts w:hint="eastAsia"/>
        </w:rPr>
        <w:instrText xml:space="preserve"> PAGEREF _Toc3163 \h </w:instrText>
      </w:r>
      <w:r>
        <w:rPr>
          <w:rFonts w:hint="eastAsia"/>
        </w:rPr>
        <w:fldChar w:fldCharType="separate"/>
      </w:r>
      <w:r>
        <w:rPr>
          <w:rFonts w:hint="eastAsia"/>
        </w:rPr>
        <w:t>11</w:t>
      </w:r>
      <w:r>
        <w:rPr>
          <w:rFonts w:hint="eastAsia"/>
        </w:rPr>
        <w:fldChar w:fldCharType="end"/>
      </w:r>
      <w:r>
        <w:rPr>
          <w:rFonts w:hint="eastAsia"/>
        </w:rPr>
        <w:fldChar w:fldCharType="end"/>
      </w:r>
    </w:p>
    <w:p w14:paraId="458DD36D">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_Toc11240 </w:instrText>
      </w:r>
      <w:r>
        <w:rPr>
          <w:rFonts w:hint="eastAsia"/>
        </w:rPr>
        <w:fldChar w:fldCharType="separate"/>
      </w:r>
      <w:r>
        <w:rPr>
          <w:rFonts w:hint="eastAsia"/>
          <w:lang w:val="en-US" w:eastAsia="zh-CN"/>
        </w:rPr>
        <w:t>第四节 区域协同</w:t>
      </w:r>
      <w:r>
        <w:rPr>
          <w:rFonts w:hint="eastAsia"/>
        </w:rPr>
        <w:tab/>
      </w:r>
      <w:r>
        <w:rPr>
          <w:rFonts w:hint="eastAsia"/>
        </w:rPr>
        <w:fldChar w:fldCharType="begin"/>
      </w:r>
      <w:r>
        <w:rPr>
          <w:rFonts w:hint="eastAsia"/>
        </w:rPr>
        <w:instrText xml:space="preserve"> PAGEREF _Toc11240 \h </w:instrText>
      </w:r>
      <w:r>
        <w:rPr>
          <w:rFonts w:hint="eastAsia"/>
        </w:rPr>
        <w:fldChar w:fldCharType="separate"/>
      </w:r>
      <w:r>
        <w:rPr>
          <w:rFonts w:hint="eastAsia"/>
        </w:rPr>
        <w:t>14</w:t>
      </w:r>
      <w:r>
        <w:rPr>
          <w:rFonts w:hint="eastAsia"/>
        </w:rPr>
        <w:fldChar w:fldCharType="end"/>
      </w:r>
      <w:r>
        <w:rPr>
          <w:rFonts w:hint="eastAsia"/>
        </w:rPr>
        <w:fldChar w:fldCharType="end"/>
      </w:r>
    </w:p>
    <w:p w14:paraId="6850EC5F">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_Toc10745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第三章 构建国土空间开发保护新格局</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_Toc10745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16</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562BBFC3">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_Toc15756 </w:instrText>
      </w:r>
      <w:r>
        <w:rPr>
          <w:rFonts w:hint="eastAsia"/>
        </w:rPr>
        <w:fldChar w:fldCharType="separate"/>
      </w:r>
      <w:r>
        <w:rPr>
          <w:rFonts w:hint="eastAsia"/>
          <w:lang w:val="zh-CN"/>
        </w:rPr>
        <w:t>第一节 筑牢安全发展的空间基础</w:t>
      </w:r>
      <w:r>
        <w:rPr>
          <w:rFonts w:hint="eastAsia"/>
        </w:rPr>
        <w:tab/>
      </w:r>
      <w:r>
        <w:rPr>
          <w:rFonts w:hint="eastAsia"/>
        </w:rPr>
        <w:fldChar w:fldCharType="begin"/>
      </w:r>
      <w:r>
        <w:rPr>
          <w:rFonts w:hint="eastAsia"/>
        </w:rPr>
        <w:instrText xml:space="preserve"> PAGEREF _Toc15756 \h </w:instrText>
      </w:r>
      <w:r>
        <w:rPr>
          <w:rFonts w:hint="eastAsia"/>
        </w:rPr>
        <w:fldChar w:fldCharType="separate"/>
      </w:r>
      <w:r>
        <w:rPr>
          <w:rFonts w:hint="eastAsia"/>
        </w:rPr>
        <w:t>16</w:t>
      </w:r>
      <w:r>
        <w:rPr>
          <w:rFonts w:hint="eastAsia"/>
        </w:rPr>
        <w:fldChar w:fldCharType="end"/>
      </w:r>
      <w:r>
        <w:rPr>
          <w:rFonts w:hint="eastAsia"/>
        </w:rPr>
        <w:fldChar w:fldCharType="end"/>
      </w:r>
    </w:p>
    <w:p w14:paraId="05360D6E">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_Toc11692 </w:instrText>
      </w:r>
      <w:r>
        <w:rPr>
          <w:rFonts w:hint="eastAsia"/>
        </w:rPr>
        <w:fldChar w:fldCharType="separate"/>
      </w:r>
      <w:r>
        <w:rPr>
          <w:rFonts w:hint="eastAsia"/>
          <w:lang w:val="zh-CN"/>
        </w:rPr>
        <w:t>第二节 严格落实主体功能区布局</w:t>
      </w:r>
      <w:r>
        <w:rPr>
          <w:rFonts w:hint="eastAsia"/>
        </w:rPr>
        <w:tab/>
      </w:r>
      <w:r>
        <w:rPr>
          <w:rFonts w:hint="eastAsia"/>
        </w:rPr>
        <w:fldChar w:fldCharType="begin"/>
      </w:r>
      <w:r>
        <w:rPr>
          <w:rFonts w:hint="eastAsia"/>
        </w:rPr>
        <w:instrText xml:space="preserve"> PAGEREF _Toc11692 \h </w:instrText>
      </w:r>
      <w:r>
        <w:rPr>
          <w:rFonts w:hint="eastAsia"/>
        </w:rPr>
        <w:fldChar w:fldCharType="separate"/>
      </w:r>
      <w:r>
        <w:rPr>
          <w:rFonts w:hint="eastAsia"/>
        </w:rPr>
        <w:t>23</w:t>
      </w:r>
      <w:r>
        <w:rPr>
          <w:rFonts w:hint="eastAsia"/>
        </w:rPr>
        <w:fldChar w:fldCharType="end"/>
      </w:r>
      <w:r>
        <w:rPr>
          <w:rFonts w:hint="eastAsia"/>
        </w:rPr>
        <w:fldChar w:fldCharType="end"/>
      </w:r>
    </w:p>
    <w:p w14:paraId="54F3554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_Toc8238 </w:instrText>
      </w:r>
      <w:r>
        <w:rPr>
          <w:rFonts w:hint="eastAsia"/>
        </w:rPr>
        <w:fldChar w:fldCharType="separate"/>
      </w:r>
      <w:r>
        <w:rPr>
          <w:rFonts w:hint="eastAsia"/>
          <w:lang w:val="zh-CN"/>
        </w:rPr>
        <w:t>第三节 构建国土空间开发保护新格局</w:t>
      </w:r>
      <w:r>
        <w:rPr>
          <w:rFonts w:hint="eastAsia"/>
        </w:rPr>
        <w:tab/>
      </w:r>
      <w:r>
        <w:rPr>
          <w:rFonts w:hint="eastAsia"/>
        </w:rPr>
        <w:fldChar w:fldCharType="begin"/>
      </w:r>
      <w:r>
        <w:rPr>
          <w:rFonts w:hint="eastAsia"/>
        </w:rPr>
        <w:instrText xml:space="preserve"> PAGEREF _Toc8238 \h </w:instrText>
      </w:r>
      <w:r>
        <w:rPr>
          <w:rFonts w:hint="eastAsia"/>
        </w:rPr>
        <w:fldChar w:fldCharType="separate"/>
      </w:r>
      <w:r>
        <w:rPr>
          <w:rFonts w:hint="eastAsia"/>
        </w:rPr>
        <w:t>24</w:t>
      </w:r>
      <w:r>
        <w:rPr>
          <w:rFonts w:hint="eastAsia"/>
        </w:rPr>
        <w:fldChar w:fldCharType="end"/>
      </w:r>
      <w:r>
        <w:rPr>
          <w:rFonts w:hint="eastAsia"/>
        </w:rPr>
        <w:fldChar w:fldCharType="end"/>
      </w:r>
    </w:p>
    <w:p w14:paraId="7763BD10">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_Toc30133 </w:instrText>
      </w:r>
      <w:r>
        <w:rPr>
          <w:rFonts w:hint="eastAsia"/>
        </w:rPr>
        <w:fldChar w:fldCharType="separate"/>
      </w:r>
      <w:r>
        <w:rPr>
          <w:rFonts w:hint="eastAsia"/>
          <w:lang w:val="zh-CN"/>
        </w:rPr>
        <w:t>第四节 国土空间规划分区与用途管制</w:t>
      </w:r>
      <w:r>
        <w:rPr>
          <w:rFonts w:hint="eastAsia"/>
        </w:rPr>
        <w:tab/>
      </w:r>
      <w:r>
        <w:rPr>
          <w:rFonts w:hint="eastAsia"/>
        </w:rPr>
        <w:fldChar w:fldCharType="begin"/>
      </w:r>
      <w:r>
        <w:rPr>
          <w:rFonts w:hint="eastAsia"/>
        </w:rPr>
        <w:instrText xml:space="preserve"> PAGEREF _Toc30133 \h </w:instrText>
      </w:r>
      <w:r>
        <w:rPr>
          <w:rFonts w:hint="eastAsia"/>
        </w:rPr>
        <w:fldChar w:fldCharType="separate"/>
      </w:r>
      <w:r>
        <w:rPr>
          <w:rFonts w:hint="eastAsia"/>
        </w:rPr>
        <w:t>24</w:t>
      </w:r>
      <w:r>
        <w:rPr>
          <w:rFonts w:hint="eastAsia"/>
        </w:rPr>
        <w:fldChar w:fldCharType="end"/>
      </w:r>
      <w:r>
        <w:rPr>
          <w:rFonts w:hint="eastAsia"/>
        </w:rPr>
        <w:fldChar w:fldCharType="end"/>
      </w:r>
    </w:p>
    <w:p w14:paraId="4DE83166">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_Toc19696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第四章 保护生态空间，筑牢生态安全屏障</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_Toc19696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26</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21A23AD9">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_Toc25345 </w:instrText>
      </w:r>
      <w:r>
        <w:rPr>
          <w:rFonts w:hint="eastAsia"/>
        </w:rPr>
        <w:fldChar w:fldCharType="separate"/>
      </w:r>
      <w:r>
        <w:rPr>
          <w:rFonts w:hint="eastAsia"/>
          <w:lang w:val="zh-CN"/>
        </w:rPr>
        <w:t>第一节 建设生物多样性保护网络</w:t>
      </w:r>
      <w:r>
        <w:rPr>
          <w:rFonts w:hint="eastAsia"/>
        </w:rPr>
        <w:tab/>
      </w:r>
      <w:r>
        <w:rPr>
          <w:rFonts w:hint="eastAsia"/>
        </w:rPr>
        <w:fldChar w:fldCharType="begin"/>
      </w:r>
      <w:r>
        <w:rPr>
          <w:rFonts w:hint="eastAsia"/>
        </w:rPr>
        <w:instrText xml:space="preserve"> PAGEREF _Toc25345 \h </w:instrText>
      </w:r>
      <w:r>
        <w:rPr>
          <w:rFonts w:hint="eastAsia"/>
        </w:rPr>
        <w:fldChar w:fldCharType="separate"/>
      </w:r>
      <w:r>
        <w:rPr>
          <w:rFonts w:hint="eastAsia"/>
        </w:rPr>
        <w:t>26</w:t>
      </w:r>
      <w:r>
        <w:rPr>
          <w:rFonts w:hint="eastAsia"/>
        </w:rPr>
        <w:fldChar w:fldCharType="end"/>
      </w:r>
      <w:r>
        <w:rPr>
          <w:rFonts w:hint="eastAsia"/>
        </w:rPr>
        <w:fldChar w:fldCharType="end"/>
      </w:r>
    </w:p>
    <w:p w14:paraId="181BEA70">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_Toc9203 </w:instrText>
      </w:r>
      <w:r>
        <w:rPr>
          <w:rFonts w:hint="eastAsia"/>
        </w:rPr>
        <w:fldChar w:fldCharType="separate"/>
      </w:r>
      <w:r>
        <w:rPr>
          <w:rFonts w:hint="eastAsia"/>
          <w:lang w:val="zh-CN"/>
        </w:rPr>
        <w:t>第二节 增强水资源刚性约束和管控</w:t>
      </w:r>
      <w:r>
        <w:rPr>
          <w:rFonts w:hint="eastAsia"/>
        </w:rPr>
        <w:tab/>
      </w:r>
      <w:r>
        <w:rPr>
          <w:rFonts w:hint="eastAsia"/>
        </w:rPr>
        <w:fldChar w:fldCharType="begin"/>
      </w:r>
      <w:r>
        <w:rPr>
          <w:rFonts w:hint="eastAsia"/>
        </w:rPr>
        <w:instrText xml:space="preserve"> PAGEREF _Toc9203 \h </w:instrText>
      </w:r>
      <w:r>
        <w:rPr>
          <w:rFonts w:hint="eastAsia"/>
        </w:rPr>
        <w:fldChar w:fldCharType="separate"/>
      </w:r>
      <w:r>
        <w:rPr>
          <w:rFonts w:hint="eastAsia"/>
        </w:rPr>
        <w:t>27</w:t>
      </w:r>
      <w:r>
        <w:rPr>
          <w:rFonts w:hint="eastAsia"/>
        </w:rPr>
        <w:fldChar w:fldCharType="end"/>
      </w:r>
      <w:r>
        <w:rPr>
          <w:rFonts w:hint="eastAsia"/>
        </w:rPr>
        <w:fldChar w:fldCharType="end"/>
      </w:r>
    </w:p>
    <w:p w14:paraId="6FF4F09E">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_Toc5208 </w:instrText>
      </w:r>
      <w:r>
        <w:rPr>
          <w:rFonts w:hint="eastAsia"/>
        </w:rPr>
        <w:fldChar w:fldCharType="separate"/>
      </w:r>
      <w:r>
        <w:rPr>
          <w:rFonts w:hint="eastAsia"/>
          <w:lang w:val="zh-CN"/>
        </w:rPr>
        <w:t>第三节 加强生态资源保护与利用</w:t>
      </w:r>
      <w:r>
        <w:rPr>
          <w:rFonts w:hint="eastAsia"/>
        </w:rPr>
        <w:tab/>
      </w:r>
      <w:r>
        <w:rPr>
          <w:rFonts w:hint="eastAsia"/>
        </w:rPr>
        <w:fldChar w:fldCharType="begin"/>
      </w:r>
      <w:r>
        <w:rPr>
          <w:rFonts w:hint="eastAsia"/>
        </w:rPr>
        <w:instrText xml:space="preserve"> PAGEREF _Toc5208 \h </w:instrText>
      </w:r>
      <w:r>
        <w:rPr>
          <w:rFonts w:hint="eastAsia"/>
        </w:rPr>
        <w:fldChar w:fldCharType="separate"/>
      </w:r>
      <w:r>
        <w:rPr>
          <w:rFonts w:hint="eastAsia"/>
        </w:rPr>
        <w:t>28</w:t>
      </w:r>
      <w:r>
        <w:rPr>
          <w:rFonts w:hint="eastAsia"/>
        </w:rPr>
        <w:fldChar w:fldCharType="end"/>
      </w:r>
      <w:r>
        <w:rPr>
          <w:rFonts w:hint="eastAsia"/>
        </w:rPr>
        <w:fldChar w:fldCharType="end"/>
      </w:r>
    </w:p>
    <w:p w14:paraId="64AFB5CD">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_Toc13164 </w:instrText>
      </w:r>
      <w:r>
        <w:rPr>
          <w:rFonts w:hint="eastAsia"/>
        </w:rPr>
        <w:fldChar w:fldCharType="separate"/>
      </w:r>
      <w:r>
        <w:rPr>
          <w:rFonts w:hint="eastAsia"/>
          <w:lang w:val="zh-CN"/>
        </w:rPr>
        <w:t>第四节 实施山水林田湖草沙一体化保护和系统治理</w:t>
      </w:r>
      <w:r>
        <w:rPr>
          <w:rFonts w:hint="eastAsia"/>
        </w:rPr>
        <w:tab/>
      </w:r>
      <w:r>
        <w:rPr>
          <w:rFonts w:hint="eastAsia"/>
        </w:rPr>
        <w:fldChar w:fldCharType="begin"/>
      </w:r>
      <w:r>
        <w:rPr>
          <w:rFonts w:hint="eastAsia"/>
        </w:rPr>
        <w:instrText xml:space="preserve"> PAGEREF _Toc13164 \h </w:instrText>
      </w:r>
      <w:r>
        <w:rPr>
          <w:rFonts w:hint="eastAsia"/>
        </w:rPr>
        <w:fldChar w:fldCharType="separate"/>
      </w:r>
      <w:r>
        <w:rPr>
          <w:rFonts w:hint="eastAsia"/>
        </w:rPr>
        <w:t>29</w:t>
      </w:r>
      <w:r>
        <w:rPr>
          <w:rFonts w:hint="eastAsia"/>
        </w:rPr>
        <w:fldChar w:fldCharType="end"/>
      </w:r>
      <w:r>
        <w:rPr>
          <w:rFonts w:hint="eastAsia"/>
        </w:rPr>
        <w:fldChar w:fldCharType="end"/>
      </w:r>
    </w:p>
    <w:p w14:paraId="131D6BBA">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_Toc10134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第五章 巩固农业空间，提标升级绿色有机农畜产品</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_Toc10134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33</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48868773">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_Toc12370 </w:instrText>
      </w:r>
      <w:r>
        <w:rPr>
          <w:rFonts w:hint="eastAsia"/>
        </w:rPr>
        <w:fldChar w:fldCharType="separate"/>
      </w:r>
      <w:r>
        <w:rPr>
          <w:rFonts w:hint="eastAsia"/>
          <w:lang w:val="zh-CN"/>
        </w:rPr>
        <w:t>第一节 实施耕地数量、质量、生态“三位一体”保护</w:t>
      </w:r>
      <w:r>
        <w:rPr>
          <w:rFonts w:hint="eastAsia"/>
        </w:rPr>
        <w:tab/>
      </w:r>
      <w:r>
        <w:rPr>
          <w:rFonts w:hint="eastAsia"/>
        </w:rPr>
        <w:fldChar w:fldCharType="begin"/>
      </w:r>
      <w:r>
        <w:rPr>
          <w:rFonts w:hint="eastAsia"/>
        </w:rPr>
        <w:instrText xml:space="preserve"> PAGEREF _Toc12370 \h </w:instrText>
      </w:r>
      <w:r>
        <w:rPr>
          <w:rFonts w:hint="eastAsia"/>
        </w:rPr>
        <w:fldChar w:fldCharType="separate"/>
      </w:r>
      <w:r>
        <w:rPr>
          <w:rFonts w:hint="eastAsia"/>
        </w:rPr>
        <w:t>33</w:t>
      </w:r>
      <w:r>
        <w:rPr>
          <w:rFonts w:hint="eastAsia"/>
        </w:rPr>
        <w:fldChar w:fldCharType="end"/>
      </w:r>
      <w:r>
        <w:rPr>
          <w:rFonts w:hint="eastAsia"/>
        </w:rPr>
        <w:fldChar w:fldCharType="end"/>
      </w:r>
    </w:p>
    <w:p w14:paraId="472B6EA8">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_Toc6691 </w:instrText>
      </w:r>
      <w:r>
        <w:rPr>
          <w:rFonts w:hint="eastAsia"/>
        </w:rPr>
        <w:fldChar w:fldCharType="separate"/>
      </w:r>
      <w:r>
        <w:rPr>
          <w:rFonts w:hint="eastAsia"/>
          <w:lang w:val="zh-CN"/>
        </w:rPr>
        <w:t>第二节 重点拓展农畜产品生产空间</w:t>
      </w:r>
      <w:r>
        <w:rPr>
          <w:rFonts w:hint="eastAsia"/>
        </w:rPr>
        <w:tab/>
      </w:r>
      <w:r>
        <w:rPr>
          <w:rFonts w:hint="eastAsia"/>
        </w:rPr>
        <w:fldChar w:fldCharType="begin"/>
      </w:r>
      <w:r>
        <w:rPr>
          <w:rFonts w:hint="eastAsia"/>
        </w:rPr>
        <w:instrText xml:space="preserve"> PAGEREF _Toc6691 \h </w:instrText>
      </w:r>
      <w:r>
        <w:rPr>
          <w:rFonts w:hint="eastAsia"/>
        </w:rPr>
        <w:fldChar w:fldCharType="separate"/>
      </w:r>
      <w:r>
        <w:rPr>
          <w:rFonts w:hint="eastAsia"/>
        </w:rPr>
        <w:t>35</w:t>
      </w:r>
      <w:r>
        <w:rPr>
          <w:rFonts w:hint="eastAsia"/>
        </w:rPr>
        <w:fldChar w:fldCharType="end"/>
      </w:r>
      <w:r>
        <w:rPr>
          <w:rFonts w:hint="eastAsia"/>
        </w:rPr>
        <w:fldChar w:fldCharType="end"/>
      </w:r>
    </w:p>
    <w:p w14:paraId="1309317D">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_Toc30099 </w:instrText>
      </w:r>
      <w:r>
        <w:rPr>
          <w:rFonts w:hint="eastAsia"/>
        </w:rPr>
        <w:fldChar w:fldCharType="separate"/>
      </w:r>
      <w:r>
        <w:rPr>
          <w:rFonts w:hint="eastAsia"/>
          <w:lang w:val="zh-CN"/>
        </w:rPr>
        <w:t>第三节 强化草地资源保护利用</w:t>
      </w:r>
      <w:r>
        <w:rPr>
          <w:rFonts w:hint="eastAsia"/>
        </w:rPr>
        <w:tab/>
      </w:r>
      <w:r>
        <w:rPr>
          <w:rFonts w:hint="eastAsia"/>
        </w:rPr>
        <w:fldChar w:fldCharType="begin"/>
      </w:r>
      <w:r>
        <w:rPr>
          <w:rFonts w:hint="eastAsia"/>
        </w:rPr>
        <w:instrText xml:space="preserve"> PAGEREF _Toc30099 \h </w:instrText>
      </w:r>
      <w:r>
        <w:rPr>
          <w:rFonts w:hint="eastAsia"/>
        </w:rPr>
        <w:fldChar w:fldCharType="separate"/>
      </w:r>
      <w:r>
        <w:rPr>
          <w:rFonts w:hint="eastAsia"/>
        </w:rPr>
        <w:t>36</w:t>
      </w:r>
      <w:r>
        <w:rPr>
          <w:rFonts w:hint="eastAsia"/>
        </w:rPr>
        <w:fldChar w:fldCharType="end"/>
      </w:r>
      <w:r>
        <w:rPr>
          <w:rFonts w:hint="eastAsia"/>
        </w:rPr>
        <w:fldChar w:fldCharType="end"/>
      </w:r>
    </w:p>
    <w:p w14:paraId="1B892D19">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_Toc27083 </w:instrText>
      </w:r>
      <w:r>
        <w:rPr>
          <w:rFonts w:hint="eastAsia"/>
        </w:rPr>
        <w:fldChar w:fldCharType="separate"/>
      </w:r>
      <w:r>
        <w:rPr>
          <w:rFonts w:hint="eastAsia"/>
          <w:lang w:val="zh-CN"/>
        </w:rPr>
        <w:t>第四节 有序实施</w:t>
      </w:r>
      <w:r>
        <w:rPr>
          <w:rFonts w:hint="eastAsia"/>
        </w:rPr>
        <w:t>农用地</w:t>
      </w:r>
      <w:r>
        <w:rPr>
          <w:rFonts w:hint="eastAsia"/>
          <w:lang w:val="zh-CN"/>
        </w:rPr>
        <w:t>综合整治</w:t>
      </w:r>
      <w:r>
        <w:rPr>
          <w:rFonts w:hint="eastAsia"/>
        </w:rPr>
        <w:tab/>
      </w:r>
      <w:r>
        <w:rPr>
          <w:rFonts w:hint="eastAsia"/>
        </w:rPr>
        <w:fldChar w:fldCharType="begin"/>
      </w:r>
      <w:r>
        <w:rPr>
          <w:rFonts w:hint="eastAsia"/>
        </w:rPr>
        <w:instrText xml:space="preserve"> PAGEREF _Toc27083 \h </w:instrText>
      </w:r>
      <w:r>
        <w:rPr>
          <w:rFonts w:hint="eastAsia"/>
        </w:rPr>
        <w:fldChar w:fldCharType="separate"/>
      </w:r>
      <w:r>
        <w:rPr>
          <w:rFonts w:hint="eastAsia"/>
        </w:rPr>
        <w:t>37</w:t>
      </w:r>
      <w:r>
        <w:rPr>
          <w:rFonts w:hint="eastAsia"/>
        </w:rPr>
        <w:fldChar w:fldCharType="end"/>
      </w:r>
      <w:r>
        <w:rPr>
          <w:rFonts w:hint="eastAsia"/>
        </w:rPr>
        <w:fldChar w:fldCharType="end"/>
      </w:r>
    </w:p>
    <w:p w14:paraId="39D6B7B4">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_Toc17913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第六章 优化建设空间，推进以人为本的新型城镇化</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_Toc17913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39</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4DE92B83">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_Toc24988 </w:instrText>
      </w:r>
      <w:r>
        <w:rPr>
          <w:rFonts w:hint="eastAsia"/>
        </w:rPr>
        <w:fldChar w:fldCharType="separate"/>
      </w:r>
      <w:r>
        <w:rPr>
          <w:rFonts w:hint="eastAsia"/>
          <w:lang w:val="zh-CN"/>
        </w:rPr>
        <w:t>第一节 优化镇村空间体系</w:t>
      </w:r>
      <w:r>
        <w:rPr>
          <w:rFonts w:hint="eastAsia"/>
        </w:rPr>
        <w:tab/>
      </w:r>
      <w:r>
        <w:rPr>
          <w:rFonts w:hint="eastAsia"/>
        </w:rPr>
        <w:fldChar w:fldCharType="begin"/>
      </w:r>
      <w:r>
        <w:rPr>
          <w:rFonts w:hint="eastAsia"/>
        </w:rPr>
        <w:instrText xml:space="preserve"> PAGEREF _Toc24988 \h </w:instrText>
      </w:r>
      <w:r>
        <w:rPr>
          <w:rFonts w:hint="eastAsia"/>
        </w:rPr>
        <w:fldChar w:fldCharType="separate"/>
      </w:r>
      <w:r>
        <w:rPr>
          <w:rFonts w:hint="eastAsia"/>
        </w:rPr>
        <w:t>39</w:t>
      </w:r>
      <w:r>
        <w:rPr>
          <w:rFonts w:hint="eastAsia"/>
        </w:rPr>
        <w:fldChar w:fldCharType="end"/>
      </w:r>
      <w:r>
        <w:rPr>
          <w:rFonts w:hint="eastAsia"/>
        </w:rPr>
        <w:fldChar w:fldCharType="end"/>
      </w:r>
    </w:p>
    <w:p w14:paraId="0E76BF4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_Toc11808 </w:instrText>
      </w:r>
      <w:r>
        <w:rPr>
          <w:rFonts w:hint="eastAsia"/>
        </w:rPr>
        <w:fldChar w:fldCharType="separate"/>
      </w:r>
      <w:r>
        <w:rPr>
          <w:rFonts w:hint="eastAsia"/>
          <w:lang w:val="zh-CN"/>
        </w:rPr>
        <w:t>第二节 统筹优化乡村空间布局</w:t>
      </w:r>
      <w:r>
        <w:rPr>
          <w:rFonts w:hint="eastAsia"/>
        </w:rPr>
        <w:tab/>
      </w:r>
      <w:r>
        <w:rPr>
          <w:rFonts w:hint="eastAsia"/>
        </w:rPr>
        <w:fldChar w:fldCharType="begin"/>
      </w:r>
      <w:r>
        <w:rPr>
          <w:rFonts w:hint="eastAsia"/>
        </w:rPr>
        <w:instrText xml:space="preserve"> PAGEREF _Toc11808 \h </w:instrText>
      </w:r>
      <w:r>
        <w:rPr>
          <w:rFonts w:hint="eastAsia"/>
        </w:rPr>
        <w:fldChar w:fldCharType="separate"/>
      </w:r>
      <w:r>
        <w:rPr>
          <w:rFonts w:hint="eastAsia"/>
        </w:rPr>
        <w:t>40</w:t>
      </w:r>
      <w:r>
        <w:rPr>
          <w:rFonts w:hint="eastAsia"/>
        </w:rPr>
        <w:fldChar w:fldCharType="end"/>
      </w:r>
      <w:r>
        <w:rPr>
          <w:rFonts w:hint="eastAsia"/>
        </w:rPr>
        <w:fldChar w:fldCharType="end"/>
      </w:r>
    </w:p>
    <w:p w14:paraId="00B750AD">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_Toc6778 </w:instrText>
      </w:r>
      <w:r>
        <w:rPr>
          <w:rFonts w:hint="eastAsia"/>
        </w:rPr>
        <w:fldChar w:fldCharType="separate"/>
      </w:r>
      <w:r>
        <w:rPr>
          <w:rFonts w:hint="eastAsia"/>
          <w:lang w:val="zh-CN"/>
        </w:rPr>
        <w:t>第三节 引导产业空间布局</w:t>
      </w:r>
      <w:r>
        <w:rPr>
          <w:rFonts w:hint="eastAsia"/>
        </w:rPr>
        <w:tab/>
      </w:r>
      <w:r>
        <w:rPr>
          <w:rFonts w:hint="eastAsia"/>
        </w:rPr>
        <w:fldChar w:fldCharType="begin"/>
      </w:r>
      <w:r>
        <w:rPr>
          <w:rFonts w:hint="eastAsia"/>
        </w:rPr>
        <w:instrText xml:space="preserve"> PAGEREF _Toc6778 \h </w:instrText>
      </w:r>
      <w:r>
        <w:rPr>
          <w:rFonts w:hint="eastAsia"/>
        </w:rPr>
        <w:fldChar w:fldCharType="separate"/>
      </w:r>
      <w:r>
        <w:rPr>
          <w:rFonts w:hint="eastAsia"/>
        </w:rPr>
        <w:t>44</w:t>
      </w:r>
      <w:r>
        <w:rPr>
          <w:rFonts w:hint="eastAsia"/>
        </w:rPr>
        <w:fldChar w:fldCharType="end"/>
      </w:r>
      <w:r>
        <w:rPr>
          <w:rFonts w:hint="eastAsia"/>
        </w:rPr>
        <w:fldChar w:fldCharType="end"/>
      </w:r>
    </w:p>
    <w:p w14:paraId="39983EFC">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_Toc3884 </w:instrText>
      </w:r>
      <w:r>
        <w:rPr>
          <w:rFonts w:hint="eastAsia"/>
        </w:rPr>
        <w:fldChar w:fldCharType="separate"/>
      </w:r>
      <w:r>
        <w:rPr>
          <w:rFonts w:hint="eastAsia"/>
          <w:lang w:val="zh-CN"/>
        </w:rPr>
        <w:t>第四节 完善公共服务设施布局</w:t>
      </w:r>
      <w:r>
        <w:rPr>
          <w:rFonts w:hint="eastAsia"/>
        </w:rPr>
        <w:tab/>
      </w:r>
      <w:r>
        <w:rPr>
          <w:rFonts w:hint="eastAsia"/>
        </w:rPr>
        <w:fldChar w:fldCharType="begin"/>
      </w:r>
      <w:r>
        <w:rPr>
          <w:rFonts w:hint="eastAsia"/>
        </w:rPr>
        <w:instrText xml:space="preserve"> PAGEREF _Toc3884 \h </w:instrText>
      </w:r>
      <w:r>
        <w:rPr>
          <w:rFonts w:hint="eastAsia"/>
        </w:rPr>
        <w:fldChar w:fldCharType="separate"/>
      </w:r>
      <w:r>
        <w:rPr>
          <w:rFonts w:hint="eastAsia"/>
        </w:rPr>
        <w:t>47</w:t>
      </w:r>
      <w:r>
        <w:rPr>
          <w:rFonts w:hint="eastAsia"/>
        </w:rPr>
        <w:fldChar w:fldCharType="end"/>
      </w:r>
      <w:r>
        <w:rPr>
          <w:rFonts w:hint="eastAsia"/>
        </w:rPr>
        <w:fldChar w:fldCharType="end"/>
      </w:r>
    </w:p>
    <w:p w14:paraId="561E9FDF">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_Toc13700 </w:instrText>
      </w:r>
      <w:r>
        <w:rPr>
          <w:rFonts w:hint="eastAsia"/>
        </w:rPr>
        <w:fldChar w:fldCharType="separate"/>
      </w:r>
      <w:r>
        <w:rPr>
          <w:rFonts w:hint="eastAsia"/>
          <w:lang w:val="zh-CN"/>
        </w:rPr>
        <w:t>第五节 促进城乡建设用地节约集约</w:t>
      </w:r>
      <w:r>
        <w:rPr>
          <w:rFonts w:hint="eastAsia"/>
        </w:rPr>
        <w:tab/>
      </w:r>
      <w:r>
        <w:rPr>
          <w:rFonts w:hint="eastAsia"/>
        </w:rPr>
        <w:fldChar w:fldCharType="begin"/>
      </w:r>
      <w:r>
        <w:rPr>
          <w:rFonts w:hint="eastAsia"/>
        </w:rPr>
        <w:instrText xml:space="preserve"> PAGEREF _Toc13700 \h </w:instrText>
      </w:r>
      <w:r>
        <w:rPr>
          <w:rFonts w:hint="eastAsia"/>
        </w:rPr>
        <w:fldChar w:fldCharType="separate"/>
      </w:r>
      <w:r>
        <w:rPr>
          <w:rFonts w:hint="eastAsia"/>
        </w:rPr>
        <w:t>49</w:t>
      </w:r>
      <w:r>
        <w:rPr>
          <w:rFonts w:hint="eastAsia"/>
        </w:rPr>
        <w:fldChar w:fldCharType="end"/>
      </w:r>
      <w:r>
        <w:rPr>
          <w:rFonts w:hint="eastAsia"/>
        </w:rPr>
        <w:fldChar w:fldCharType="end"/>
      </w:r>
    </w:p>
    <w:p w14:paraId="3A98B45E">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_Toc24610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第七章 镇区规划</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_Toc24610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51</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09A09C05">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_Toc18055 </w:instrText>
      </w:r>
      <w:r>
        <w:rPr>
          <w:rFonts w:hint="eastAsia"/>
        </w:rPr>
        <w:fldChar w:fldCharType="separate"/>
      </w:r>
      <w:r>
        <w:rPr>
          <w:rFonts w:hint="eastAsia"/>
          <w:lang w:val="zh-CN"/>
        </w:rPr>
        <w:t>第一节 空间结构</w:t>
      </w:r>
      <w:r>
        <w:rPr>
          <w:rFonts w:hint="eastAsia"/>
        </w:rPr>
        <w:tab/>
      </w:r>
      <w:r>
        <w:rPr>
          <w:rFonts w:hint="eastAsia"/>
        </w:rPr>
        <w:fldChar w:fldCharType="begin"/>
      </w:r>
      <w:r>
        <w:rPr>
          <w:rFonts w:hint="eastAsia"/>
        </w:rPr>
        <w:instrText xml:space="preserve"> PAGEREF _Toc18055 \h </w:instrText>
      </w:r>
      <w:r>
        <w:rPr>
          <w:rFonts w:hint="eastAsia"/>
        </w:rPr>
        <w:fldChar w:fldCharType="separate"/>
      </w:r>
      <w:r>
        <w:rPr>
          <w:rFonts w:hint="eastAsia"/>
        </w:rPr>
        <w:t>51</w:t>
      </w:r>
      <w:r>
        <w:rPr>
          <w:rFonts w:hint="eastAsia"/>
        </w:rPr>
        <w:fldChar w:fldCharType="end"/>
      </w:r>
      <w:r>
        <w:rPr>
          <w:rFonts w:hint="eastAsia"/>
        </w:rPr>
        <w:fldChar w:fldCharType="end"/>
      </w:r>
    </w:p>
    <w:p w14:paraId="68225AB2">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_Toc25357 </w:instrText>
      </w:r>
      <w:r>
        <w:rPr>
          <w:rFonts w:hint="eastAsia"/>
        </w:rPr>
        <w:fldChar w:fldCharType="separate"/>
      </w:r>
      <w:r>
        <w:rPr>
          <w:rFonts w:hint="eastAsia"/>
          <w:lang w:val="zh-CN"/>
        </w:rPr>
        <w:t>第二节 功能与用地布局</w:t>
      </w:r>
      <w:r>
        <w:rPr>
          <w:rFonts w:hint="eastAsia"/>
        </w:rPr>
        <w:tab/>
      </w:r>
      <w:r>
        <w:rPr>
          <w:rFonts w:hint="eastAsia"/>
        </w:rPr>
        <w:fldChar w:fldCharType="begin"/>
      </w:r>
      <w:r>
        <w:rPr>
          <w:rFonts w:hint="eastAsia"/>
        </w:rPr>
        <w:instrText xml:space="preserve"> PAGEREF _Toc25357 \h </w:instrText>
      </w:r>
      <w:r>
        <w:rPr>
          <w:rFonts w:hint="eastAsia"/>
        </w:rPr>
        <w:fldChar w:fldCharType="separate"/>
      </w:r>
      <w:r>
        <w:rPr>
          <w:rFonts w:hint="eastAsia"/>
        </w:rPr>
        <w:t>51</w:t>
      </w:r>
      <w:r>
        <w:rPr>
          <w:rFonts w:hint="eastAsia"/>
        </w:rPr>
        <w:fldChar w:fldCharType="end"/>
      </w:r>
      <w:r>
        <w:rPr>
          <w:rFonts w:hint="eastAsia"/>
        </w:rPr>
        <w:fldChar w:fldCharType="end"/>
      </w:r>
    </w:p>
    <w:p w14:paraId="23B43670">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_Toc22282 </w:instrText>
      </w:r>
      <w:r>
        <w:rPr>
          <w:rFonts w:hint="eastAsia"/>
        </w:rPr>
        <w:fldChar w:fldCharType="separate"/>
      </w:r>
      <w:r>
        <w:rPr>
          <w:rFonts w:hint="eastAsia"/>
          <w:lang w:val="zh-CN"/>
        </w:rPr>
        <w:t>第三节 居住与住房保障</w:t>
      </w:r>
      <w:r>
        <w:rPr>
          <w:rFonts w:hint="eastAsia"/>
        </w:rPr>
        <w:tab/>
      </w:r>
      <w:r>
        <w:rPr>
          <w:rFonts w:hint="eastAsia"/>
        </w:rPr>
        <w:fldChar w:fldCharType="begin"/>
      </w:r>
      <w:r>
        <w:rPr>
          <w:rFonts w:hint="eastAsia"/>
        </w:rPr>
        <w:instrText xml:space="preserve"> PAGEREF _Toc22282 \h </w:instrText>
      </w:r>
      <w:r>
        <w:rPr>
          <w:rFonts w:hint="eastAsia"/>
        </w:rPr>
        <w:fldChar w:fldCharType="separate"/>
      </w:r>
      <w:r>
        <w:rPr>
          <w:rFonts w:hint="eastAsia"/>
        </w:rPr>
        <w:t>52</w:t>
      </w:r>
      <w:r>
        <w:rPr>
          <w:rFonts w:hint="eastAsia"/>
        </w:rPr>
        <w:fldChar w:fldCharType="end"/>
      </w:r>
      <w:r>
        <w:rPr>
          <w:rFonts w:hint="eastAsia"/>
        </w:rPr>
        <w:fldChar w:fldCharType="end"/>
      </w:r>
    </w:p>
    <w:p w14:paraId="40559682">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_Toc13404 </w:instrText>
      </w:r>
      <w:r>
        <w:rPr>
          <w:rFonts w:hint="eastAsia"/>
        </w:rPr>
        <w:fldChar w:fldCharType="separate"/>
      </w:r>
      <w:r>
        <w:rPr>
          <w:rFonts w:hint="eastAsia"/>
          <w:lang w:val="zh-CN"/>
        </w:rPr>
        <w:t>第四节 公共服务设施布局</w:t>
      </w:r>
      <w:r>
        <w:rPr>
          <w:rFonts w:hint="eastAsia"/>
        </w:rPr>
        <w:tab/>
      </w:r>
      <w:r>
        <w:rPr>
          <w:rFonts w:hint="eastAsia"/>
        </w:rPr>
        <w:fldChar w:fldCharType="begin"/>
      </w:r>
      <w:r>
        <w:rPr>
          <w:rFonts w:hint="eastAsia"/>
        </w:rPr>
        <w:instrText xml:space="preserve"> PAGEREF _Toc13404 \h </w:instrText>
      </w:r>
      <w:r>
        <w:rPr>
          <w:rFonts w:hint="eastAsia"/>
        </w:rPr>
        <w:fldChar w:fldCharType="separate"/>
      </w:r>
      <w:r>
        <w:rPr>
          <w:rFonts w:hint="eastAsia"/>
        </w:rPr>
        <w:t>53</w:t>
      </w:r>
      <w:r>
        <w:rPr>
          <w:rFonts w:hint="eastAsia"/>
        </w:rPr>
        <w:fldChar w:fldCharType="end"/>
      </w:r>
      <w:r>
        <w:rPr>
          <w:rFonts w:hint="eastAsia"/>
        </w:rPr>
        <w:fldChar w:fldCharType="end"/>
      </w:r>
    </w:p>
    <w:p w14:paraId="244D3E36">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_Toc28345 </w:instrText>
      </w:r>
      <w:r>
        <w:rPr>
          <w:rFonts w:hint="eastAsia"/>
        </w:rPr>
        <w:fldChar w:fldCharType="separate"/>
      </w:r>
      <w:r>
        <w:rPr>
          <w:rFonts w:hint="eastAsia"/>
          <w:lang w:val="zh-CN"/>
        </w:rPr>
        <w:t>第五节 绿地和开敞空间</w:t>
      </w:r>
      <w:r>
        <w:rPr>
          <w:rFonts w:hint="eastAsia"/>
        </w:rPr>
        <w:tab/>
      </w:r>
      <w:r>
        <w:rPr>
          <w:rFonts w:hint="eastAsia"/>
        </w:rPr>
        <w:fldChar w:fldCharType="begin"/>
      </w:r>
      <w:r>
        <w:rPr>
          <w:rFonts w:hint="eastAsia"/>
        </w:rPr>
        <w:instrText xml:space="preserve"> PAGEREF _Toc28345 \h </w:instrText>
      </w:r>
      <w:r>
        <w:rPr>
          <w:rFonts w:hint="eastAsia"/>
        </w:rPr>
        <w:fldChar w:fldCharType="separate"/>
      </w:r>
      <w:r>
        <w:rPr>
          <w:rFonts w:hint="eastAsia"/>
        </w:rPr>
        <w:t>53</w:t>
      </w:r>
      <w:r>
        <w:rPr>
          <w:rFonts w:hint="eastAsia"/>
        </w:rPr>
        <w:fldChar w:fldCharType="end"/>
      </w:r>
      <w:r>
        <w:rPr>
          <w:rFonts w:hint="eastAsia"/>
        </w:rPr>
        <w:fldChar w:fldCharType="end"/>
      </w:r>
    </w:p>
    <w:p w14:paraId="5D846C33">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_Toc3610 </w:instrText>
      </w:r>
      <w:r>
        <w:rPr>
          <w:rFonts w:hint="eastAsia"/>
        </w:rPr>
        <w:fldChar w:fldCharType="separate"/>
      </w:r>
      <w:r>
        <w:rPr>
          <w:rFonts w:hint="eastAsia"/>
          <w:lang w:val="zh-CN"/>
        </w:rPr>
        <w:t>第六节 综合交通体系</w:t>
      </w:r>
      <w:r>
        <w:rPr>
          <w:rFonts w:hint="eastAsia"/>
        </w:rPr>
        <w:tab/>
      </w:r>
      <w:r>
        <w:rPr>
          <w:rFonts w:hint="eastAsia"/>
        </w:rPr>
        <w:fldChar w:fldCharType="begin"/>
      </w:r>
      <w:r>
        <w:rPr>
          <w:rFonts w:hint="eastAsia"/>
        </w:rPr>
        <w:instrText xml:space="preserve"> PAGEREF _Toc3610 \h </w:instrText>
      </w:r>
      <w:r>
        <w:rPr>
          <w:rFonts w:hint="eastAsia"/>
        </w:rPr>
        <w:fldChar w:fldCharType="separate"/>
      </w:r>
      <w:r>
        <w:rPr>
          <w:rFonts w:hint="eastAsia"/>
        </w:rPr>
        <w:t>54</w:t>
      </w:r>
      <w:r>
        <w:rPr>
          <w:rFonts w:hint="eastAsia"/>
        </w:rPr>
        <w:fldChar w:fldCharType="end"/>
      </w:r>
      <w:r>
        <w:rPr>
          <w:rFonts w:hint="eastAsia"/>
        </w:rPr>
        <w:fldChar w:fldCharType="end"/>
      </w:r>
    </w:p>
    <w:p w14:paraId="0A530CA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_Toc13374 </w:instrText>
      </w:r>
      <w:r>
        <w:rPr>
          <w:rFonts w:hint="eastAsia"/>
        </w:rPr>
        <w:fldChar w:fldCharType="separate"/>
      </w:r>
      <w:r>
        <w:rPr>
          <w:rFonts w:hint="eastAsia"/>
          <w:lang w:val="zh-CN"/>
        </w:rPr>
        <w:t>第七节 市政基础设施布局</w:t>
      </w:r>
      <w:r>
        <w:rPr>
          <w:rFonts w:hint="eastAsia"/>
        </w:rPr>
        <w:tab/>
      </w:r>
      <w:r>
        <w:rPr>
          <w:rFonts w:hint="eastAsia"/>
        </w:rPr>
        <w:fldChar w:fldCharType="begin"/>
      </w:r>
      <w:r>
        <w:rPr>
          <w:rFonts w:hint="eastAsia"/>
        </w:rPr>
        <w:instrText xml:space="preserve"> PAGEREF _Toc13374 \h </w:instrText>
      </w:r>
      <w:r>
        <w:rPr>
          <w:rFonts w:hint="eastAsia"/>
        </w:rPr>
        <w:fldChar w:fldCharType="separate"/>
      </w:r>
      <w:r>
        <w:rPr>
          <w:rFonts w:hint="eastAsia"/>
        </w:rPr>
        <w:t>56</w:t>
      </w:r>
      <w:r>
        <w:rPr>
          <w:rFonts w:hint="eastAsia"/>
        </w:rPr>
        <w:fldChar w:fldCharType="end"/>
      </w:r>
      <w:r>
        <w:rPr>
          <w:rFonts w:hint="eastAsia"/>
        </w:rPr>
        <w:fldChar w:fldCharType="end"/>
      </w:r>
    </w:p>
    <w:p w14:paraId="5623DD1E">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_Toc9707 </w:instrText>
      </w:r>
      <w:r>
        <w:rPr>
          <w:rFonts w:hint="eastAsia"/>
        </w:rPr>
        <w:fldChar w:fldCharType="separate"/>
      </w:r>
      <w:r>
        <w:rPr>
          <w:rFonts w:hint="eastAsia"/>
          <w:lang w:val="zh-CN"/>
        </w:rPr>
        <w:t>第八节 综合防灾减灾</w:t>
      </w:r>
      <w:r>
        <w:rPr>
          <w:rFonts w:hint="eastAsia"/>
        </w:rPr>
        <w:tab/>
      </w:r>
      <w:r>
        <w:rPr>
          <w:rFonts w:hint="eastAsia"/>
        </w:rPr>
        <w:fldChar w:fldCharType="begin"/>
      </w:r>
      <w:r>
        <w:rPr>
          <w:rFonts w:hint="eastAsia"/>
        </w:rPr>
        <w:instrText xml:space="preserve"> PAGEREF _Toc9707 \h </w:instrText>
      </w:r>
      <w:r>
        <w:rPr>
          <w:rFonts w:hint="eastAsia"/>
        </w:rPr>
        <w:fldChar w:fldCharType="separate"/>
      </w:r>
      <w:r>
        <w:rPr>
          <w:rFonts w:hint="eastAsia"/>
        </w:rPr>
        <w:t>58</w:t>
      </w:r>
      <w:r>
        <w:rPr>
          <w:rFonts w:hint="eastAsia"/>
        </w:rPr>
        <w:fldChar w:fldCharType="end"/>
      </w:r>
      <w:r>
        <w:rPr>
          <w:rFonts w:hint="eastAsia"/>
        </w:rPr>
        <w:fldChar w:fldCharType="end"/>
      </w:r>
    </w:p>
    <w:p w14:paraId="534A0267">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_Toc4552 </w:instrText>
      </w:r>
      <w:r>
        <w:rPr>
          <w:rFonts w:hint="eastAsia"/>
        </w:rPr>
        <w:fldChar w:fldCharType="separate"/>
      </w:r>
      <w:r>
        <w:rPr>
          <w:rFonts w:hint="eastAsia"/>
          <w:lang w:val="zh-CN"/>
        </w:rPr>
        <w:t>第九节 城镇风貌引导与管控</w:t>
      </w:r>
      <w:r>
        <w:rPr>
          <w:rFonts w:hint="eastAsia"/>
        </w:rPr>
        <w:tab/>
      </w:r>
      <w:r>
        <w:rPr>
          <w:rFonts w:hint="eastAsia"/>
        </w:rPr>
        <w:fldChar w:fldCharType="begin"/>
      </w:r>
      <w:r>
        <w:rPr>
          <w:rFonts w:hint="eastAsia"/>
        </w:rPr>
        <w:instrText xml:space="preserve"> PAGEREF _Toc4552 \h </w:instrText>
      </w:r>
      <w:r>
        <w:rPr>
          <w:rFonts w:hint="eastAsia"/>
        </w:rPr>
        <w:fldChar w:fldCharType="separate"/>
      </w:r>
      <w:r>
        <w:rPr>
          <w:rFonts w:hint="eastAsia"/>
        </w:rPr>
        <w:t>60</w:t>
      </w:r>
      <w:r>
        <w:rPr>
          <w:rFonts w:hint="eastAsia"/>
        </w:rPr>
        <w:fldChar w:fldCharType="end"/>
      </w:r>
      <w:r>
        <w:rPr>
          <w:rFonts w:hint="eastAsia"/>
        </w:rPr>
        <w:fldChar w:fldCharType="end"/>
      </w:r>
    </w:p>
    <w:p w14:paraId="5FD83ABA">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_Toc1015 </w:instrText>
      </w:r>
      <w:r>
        <w:rPr>
          <w:rFonts w:hint="eastAsia"/>
        </w:rPr>
        <w:fldChar w:fldCharType="separate"/>
      </w:r>
      <w:r>
        <w:rPr>
          <w:rFonts w:hint="eastAsia"/>
          <w:lang w:val="zh-CN"/>
        </w:rPr>
        <w:t>第十节 五线管控</w:t>
      </w:r>
      <w:r>
        <w:rPr>
          <w:rFonts w:hint="eastAsia"/>
        </w:rPr>
        <w:tab/>
      </w:r>
      <w:r>
        <w:rPr>
          <w:rFonts w:hint="eastAsia"/>
        </w:rPr>
        <w:fldChar w:fldCharType="begin"/>
      </w:r>
      <w:r>
        <w:rPr>
          <w:rFonts w:hint="eastAsia"/>
        </w:rPr>
        <w:instrText xml:space="preserve"> PAGEREF _Toc1015 \h </w:instrText>
      </w:r>
      <w:r>
        <w:rPr>
          <w:rFonts w:hint="eastAsia"/>
        </w:rPr>
        <w:fldChar w:fldCharType="separate"/>
      </w:r>
      <w:r>
        <w:rPr>
          <w:rFonts w:hint="eastAsia"/>
        </w:rPr>
        <w:t>62</w:t>
      </w:r>
      <w:r>
        <w:rPr>
          <w:rFonts w:hint="eastAsia"/>
        </w:rPr>
        <w:fldChar w:fldCharType="end"/>
      </w:r>
      <w:r>
        <w:rPr>
          <w:rFonts w:hint="eastAsia"/>
        </w:rPr>
        <w:fldChar w:fldCharType="end"/>
      </w:r>
    </w:p>
    <w:p w14:paraId="6CDFEA8E">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_Toc25288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第八章 历史文化保护与景观风貌引导</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_Toc25288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64</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462EE54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_Toc25129 </w:instrText>
      </w:r>
      <w:r>
        <w:rPr>
          <w:rFonts w:hint="eastAsia"/>
        </w:rPr>
        <w:fldChar w:fldCharType="separate"/>
      </w:r>
      <w:r>
        <w:rPr>
          <w:rFonts w:hint="eastAsia"/>
          <w:lang w:val="zh-CN"/>
        </w:rPr>
        <w:t>第一节 整体保护文化遗产，传承历史文化价值</w:t>
      </w:r>
      <w:r>
        <w:rPr>
          <w:rFonts w:hint="eastAsia"/>
        </w:rPr>
        <w:tab/>
      </w:r>
      <w:r>
        <w:rPr>
          <w:rFonts w:hint="eastAsia"/>
        </w:rPr>
        <w:fldChar w:fldCharType="begin"/>
      </w:r>
      <w:r>
        <w:rPr>
          <w:rFonts w:hint="eastAsia"/>
        </w:rPr>
        <w:instrText xml:space="preserve"> PAGEREF _Toc25129 \h </w:instrText>
      </w:r>
      <w:r>
        <w:rPr>
          <w:rFonts w:hint="eastAsia"/>
        </w:rPr>
        <w:fldChar w:fldCharType="separate"/>
      </w:r>
      <w:r>
        <w:rPr>
          <w:rFonts w:hint="eastAsia"/>
        </w:rPr>
        <w:t>64</w:t>
      </w:r>
      <w:r>
        <w:rPr>
          <w:rFonts w:hint="eastAsia"/>
        </w:rPr>
        <w:fldChar w:fldCharType="end"/>
      </w:r>
      <w:r>
        <w:rPr>
          <w:rFonts w:hint="eastAsia"/>
        </w:rPr>
        <w:fldChar w:fldCharType="end"/>
      </w:r>
    </w:p>
    <w:p w14:paraId="2C2C31E7">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_Toc7351 </w:instrText>
      </w:r>
      <w:r>
        <w:rPr>
          <w:rFonts w:hint="eastAsia"/>
        </w:rPr>
        <w:fldChar w:fldCharType="separate"/>
      </w:r>
      <w:r>
        <w:rPr>
          <w:rFonts w:hint="eastAsia"/>
          <w:lang w:val="zh-CN"/>
        </w:rPr>
        <w:t xml:space="preserve">第二节 </w:t>
      </w:r>
      <w:r>
        <w:rPr>
          <w:rFonts w:hint="eastAsia"/>
        </w:rPr>
        <w:t>美丽城镇建设与</w:t>
      </w:r>
      <w:r>
        <w:rPr>
          <w:rFonts w:hint="eastAsia"/>
          <w:lang w:val="zh-CN"/>
        </w:rPr>
        <w:t>风貌引导</w:t>
      </w:r>
      <w:r>
        <w:rPr>
          <w:rFonts w:hint="eastAsia"/>
        </w:rPr>
        <w:tab/>
      </w:r>
      <w:r>
        <w:rPr>
          <w:rFonts w:hint="eastAsia"/>
        </w:rPr>
        <w:fldChar w:fldCharType="begin"/>
      </w:r>
      <w:r>
        <w:rPr>
          <w:rFonts w:hint="eastAsia"/>
        </w:rPr>
        <w:instrText xml:space="preserve"> PAGEREF _Toc7351 \h </w:instrText>
      </w:r>
      <w:r>
        <w:rPr>
          <w:rFonts w:hint="eastAsia"/>
        </w:rPr>
        <w:fldChar w:fldCharType="separate"/>
      </w:r>
      <w:r>
        <w:rPr>
          <w:rFonts w:hint="eastAsia"/>
        </w:rPr>
        <w:t>65</w:t>
      </w:r>
      <w:r>
        <w:rPr>
          <w:rFonts w:hint="eastAsia"/>
        </w:rPr>
        <w:fldChar w:fldCharType="end"/>
      </w:r>
      <w:r>
        <w:rPr>
          <w:rFonts w:hint="eastAsia"/>
        </w:rPr>
        <w:fldChar w:fldCharType="end"/>
      </w:r>
    </w:p>
    <w:p w14:paraId="50C6C74F">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_Toc24174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第九章 强化空间统筹，保障重大基础设施建设</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_Toc24174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67</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2F385835">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_Toc13018 </w:instrText>
      </w:r>
      <w:r>
        <w:rPr>
          <w:rFonts w:hint="eastAsia"/>
        </w:rPr>
        <w:fldChar w:fldCharType="separate"/>
      </w:r>
      <w:r>
        <w:rPr>
          <w:rFonts w:hint="eastAsia"/>
        </w:rPr>
        <w:t>第一节 优化综合（立体）交通和物流网络布局</w:t>
      </w:r>
      <w:r>
        <w:rPr>
          <w:rFonts w:hint="eastAsia"/>
        </w:rPr>
        <w:tab/>
      </w:r>
      <w:r>
        <w:rPr>
          <w:rFonts w:hint="eastAsia"/>
        </w:rPr>
        <w:fldChar w:fldCharType="begin"/>
      </w:r>
      <w:r>
        <w:rPr>
          <w:rFonts w:hint="eastAsia"/>
        </w:rPr>
        <w:instrText xml:space="preserve"> PAGEREF _Toc13018 \h </w:instrText>
      </w:r>
      <w:r>
        <w:rPr>
          <w:rFonts w:hint="eastAsia"/>
        </w:rPr>
        <w:fldChar w:fldCharType="separate"/>
      </w:r>
      <w:r>
        <w:rPr>
          <w:rFonts w:hint="eastAsia"/>
        </w:rPr>
        <w:t>67</w:t>
      </w:r>
      <w:r>
        <w:rPr>
          <w:rFonts w:hint="eastAsia"/>
        </w:rPr>
        <w:fldChar w:fldCharType="end"/>
      </w:r>
      <w:r>
        <w:rPr>
          <w:rFonts w:hint="eastAsia"/>
        </w:rPr>
        <w:fldChar w:fldCharType="end"/>
      </w:r>
    </w:p>
    <w:p w14:paraId="130FC5BD">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_Toc24530 </w:instrText>
      </w:r>
      <w:r>
        <w:rPr>
          <w:rFonts w:hint="eastAsia"/>
        </w:rPr>
        <w:fldChar w:fldCharType="separate"/>
      </w:r>
      <w:r>
        <w:rPr>
          <w:rFonts w:hint="eastAsia"/>
        </w:rPr>
        <w:t>第二节 构建安全可靠水利基础设施网络</w:t>
      </w:r>
      <w:r>
        <w:rPr>
          <w:rFonts w:hint="eastAsia"/>
        </w:rPr>
        <w:tab/>
      </w:r>
      <w:r>
        <w:rPr>
          <w:rFonts w:hint="eastAsia"/>
        </w:rPr>
        <w:fldChar w:fldCharType="begin"/>
      </w:r>
      <w:r>
        <w:rPr>
          <w:rFonts w:hint="eastAsia"/>
        </w:rPr>
        <w:instrText xml:space="preserve"> PAGEREF _Toc24530 \h </w:instrText>
      </w:r>
      <w:r>
        <w:rPr>
          <w:rFonts w:hint="eastAsia"/>
        </w:rPr>
        <w:fldChar w:fldCharType="separate"/>
      </w:r>
      <w:r>
        <w:rPr>
          <w:rFonts w:hint="eastAsia"/>
        </w:rPr>
        <w:t>69</w:t>
      </w:r>
      <w:r>
        <w:rPr>
          <w:rFonts w:hint="eastAsia"/>
        </w:rPr>
        <w:fldChar w:fldCharType="end"/>
      </w:r>
      <w:r>
        <w:rPr>
          <w:rFonts w:hint="eastAsia"/>
        </w:rPr>
        <w:fldChar w:fldCharType="end"/>
      </w:r>
    </w:p>
    <w:p w14:paraId="59B6645B">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_Toc13667 </w:instrText>
      </w:r>
      <w:r>
        <w:rPr>
          <w:rFonts w:hint="eastAsia"/>
        </w:rPr>
        <w:fldChar w:fldCharType="separate"/>
      </w:r>
      <w:r>
        <w:rPr>
          <w:rFonts w:hint="eastAsia"/>
        </w:rPr>
        <w:t>第三节 保障国家清洁能源产业高地建设</w:t>
      </w:r>
      <w:r>
        <w:rPr>
          <w:rFonts w:hint="eastAsia"/>
        </w:rPr>
        <w:tab/>
      </w:r>
      <w:r>
        <w:rPr>
          <w:rFonts w:hint="eastAsia"/>
        </w:rPr>
        <w:fldChar w:fldCharType="begin"/>
      </w:r>
      <w:r>
        <w:rPr>
          <w:rFonts w:hint="eastAsia"/>
        </w:rPr>
        <w:instrText xml:space="preserve"> PAGEREF _Toc13667 \h </w:instrText>
      </w:r>
      <w:r>
        <w:rPr>
          <w:rFonts w:hint="eastAsia"/>
        </w:rPr>
        <w:fldChar w:fldCharType="separate"/>
      </w:r>
      <w:r>
        <w:rPr>
          <w:rFonts w:hint="eastAsia"/>
        </w:rPr>
        <w:t>70</w:t>
      </w:r>
      <w:r>
        <w:rPr>
          <w:rFonts w:hint="eastAsia"/>
        </w:rPr>
        <w:fldChar w:fldCharType="end"/>
      </w:r>
      <w:r>
        <w:rPr>
          <w:rFonts w:hint="eastAsia"/>
        </w:rPr>
        <w:fldChar w:fldCharType="end"/>
      </w:r>
    </w:p>
    <w:p w14:paraId="01511F7A">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_Toc19892 </w:instrText>
      </w:r>
      <w:r>
        <w:rPr>
          <w:rFonts w:hint="eastAsia"/>
        </w:rPr>
        <w:fldChar w:fldCharType="separate"/>
      </w:r>
      <w:r>
        <w:rPr>
          <w:rFonts w:hint="eastAsia"/>
        </w:rPr>
        <w:t>第四节 推进绿色矿业建设</w:t>
      </w:r>
      <w:r>
        <w:rPr>
          <w:rFonts w:hint="eastAsia"/>
        </w:rPr>
        <w:tab/>
      </w:r>
      <w:r>
        <w:rPr>
          <w:rFonts w:hint="eastAsia"/>
        </w:rPr>
        <w:fldChar w:fldCharType="begin"/>
      </w:r>
      <w:r>
        <w:rPr>
          <w:rFonts w:hint="eastAsia"/>
        </w:rPr>
        <w:instrText xml:space="preserve"> PAGEREF _Toc19892 \h </w:instrText>
      </w:r>
      <w:r>
        <w:rPr>
          <w:rFonts w:hint="eastAsia"/>
        </w:rPr>
        <w:fldChar w:fldCharType="separate"/>
      </w:r>
      <w:r>
        <w:rPr>
          <w:rFonts w:hint="eastAsia"/>
        </w:rPr>
        <w:t>71</w:t>
      </w:r>
      <w:r>
        <w:rPr>
          <w:rFonts w:hint="eastAsia"/>
        </w:rPr>
        <w:fldChar w:fldCharType="end"/>
      </w:r>
      <w:r>
        <w:rPr>
          <w:rFonts w:hint="eastAsia"/>
        </w:rPr>
        <w:fldChar w:fldCharType="end"/>
      </w:r>
    </w:p>
    <w:p w14:paraId="53FE8DB9">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_Toc28259 </w:instrText>
      </w:r>
      <w:r>
        <w:rPr>
          <w:rFonts w:hint="eastAsia"/>
        </w:rPr>
        <w:fldChar w:fldCharType="separate"/>
      </w:r>
      <w:r>
        <w:rPr>
          <w:rFonts w:hint="eastAsia"/>
        </w:rPr>
        <w:t>第五节 系统布局新型基础设施</w:t>
      </w:r>
      <w:r>
        <w:rPr>
          <w:rFonts w:hint="eastAsia"/>
        </w:rPr>
        <w:tab/>
      </w:r>
      <w:r>
        <w:rPr>
          <w:rFonts w:hint="eastAsia"/>
        </w:rPr>
        <w:fldChar w:fldCharType="begin"/>
      </w:r>
      <w:r>
        <w:rPr>
          <w:rFonts w:hint="eastAsia"/>
        </w:rPr>
        <w:instrText xml:space="preserve"> PAGEREF _Toc28259 \h </w:instrText>
      </w:r>
      <w:r>
        <w:rPr>
          <w:rFonts w:hint="eastAsia"/>
        </w:rPr>
        <w:fldChar w:fldCharType="separate"/>
      </w:r>
      <w:r>
        <w:rPr>
          <w:rFonts w:hint="eastAsia"/>
        </w:rPr>
        <w:t>72</w:t>
      </w:r>
      <w:r>
        <w:rPr>
          <w:rFonts w:hint="eastAsia"/>
        </w:rPr>
        <w:fldChar w:fldCharType="end"/>
      </w:r>
      <w:r>
        <w:rPr>
          <w:rFonts w:hint="eastAsia"/>
        </w:rPr>
        <w:fldChar w:fldCharType="end"/>
      </w:r>
    </w:p>
    <w:p w14:paraId="01E83A92">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_Toc29029 </w:instrText>
      </w:r>
      <w:r>
        <w:rPr>
          <w:rFonts w:hint="eastAsia"/>
        </w:rPr>
        <w:fldChar w:fldCharType="separate"/>
      </w:r>
      <w:r>
        <w:rPr>
          <w:rFonts w:hint="eastAsia"/>
        </w:rPr>
        <w:t>第六节 构建韧性安全的综合防灾体系</w:t>
      </w:r>
      <w:r>
        <w:rPr>
          <w:rFonts w:hint="eastAsia"/>
        </w:rPr>
        <w:tab/>
      </w:r>
      <w:r>
        <w:rPr>
          <w:rFonts w:hint="eastAsia"/>
        </w:rPr>
        <w:fldChar w:fldCharType="begin"/>
      </w:r>
      <w:r>
        <w:rPr>
          <w:rFonts w:hint="eastAsia"/>
        </w:rPr>
        <w:instrText xml:space="preserve"> PAGEREF _Toc29029 \h </w:instrText>
      </w:r>
      <w:r>
        <w:rPr>
          <w:rFonts w:hint="eastAsia"/>
        </w:rPr>
        <w:fldChar w:fldCharType="separate"/>
      </w:r>
      <w:r>
        <w:rPr>
          <w:rFonts w:hint="eastAsia"/>
        </w:rPr>
        <w:t>75</w:t>
      </w:r>
      <w:r>
        <w:rPr>
          <w:rFonts w:hint="eastAsia"/>
        </w:rPr>
        <w:fldChar w:fldCharType="end"/>
      </w:r>
      <w:r>
        <w:rPr>
          <w:rFonts w:hint="eastAsia"/>
        </w:rPr>
        <w:fldChar w:fldCharType="end"/>
      </w:r>
    </w:p>
    <w:p w14:paraId="68C62BA5">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_Toc4957 </w:instrText>
      </w:r>
      <w:r>
        <w:rPr>
          <w:rFonts w:hint="eastAsia"/>
        </w:rPr>
        <w:fldChar w:fldCharType="separate"/>
      </w:r>
      <w:r>
        <w:rPr>
          <w:rFonts w:hint="eastAsia"/>
        </w:rPr>
        <w:t>第七节 保障基础设施用地</w:t>
      </w:r>
      <w:r>
        <w:rPr>
          <w:rFonts w:hint="eastAsia"/>
        </w:rPr>
        <w:tab/>
      </w:r>
      <w:r>
        <w:rPr>
          <w:rFonts w:hint="eastAsia"/>
        </w:rPr>
        <w:fldChar w:fldCharType="begin"/>
      </w:r>
      <w:r>
        <w:rPr>
          <w:rFonts w:hint="eastAsia"/>
        </w:rPr>
        <w:instrText xml:space="preserve"> PAGEREF _Toc4957 \h </w:instrText>
      </w:r>
      <w:r>
        <w:rPr>
          <w:rFonts w:hint="eastAsia"/>
        </w:rPr>
        <w:fldChar w:fldCharType="separate"/>
      </w:r>
      <w:r>
        <w:rPr>
          <w:rFonts w:hint="eastAsia"/>
        </w:rPr>
        <w:t>78</w:t>
      </w:r>
      <w:r>
        <w:rPr>
          <w:rFonts w:hint="eastAsia"/>
        </w:rPr>
        <w:fldChar w:fldCharType="end"/>
      </w:r>
      <w:r>
        <w:rPr>
          <w:rFonts w:hint="eastAsia"/>
        </w:rPr>
        <w:fldChar w:fldCharType="end"/>
      </w:r>
    </w:p>
    <w:p w14:paraId="2F8D4EF1">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aps w:val="0"/>
          <w:smallCaps/>
          <w:kern w:val="2"/>
          <w:sz w:val="32"/>
          <w:szCs w:val="32"/>
          <w:lang w:val="en-US" w:eastAsia="zh-CN" w:bidi="ar-SA"/>
        </w:rPr>
      </w:pP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HYPERLINK \l _Toc24045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第十章 完善体制机制，高质量做好规划实施保障</w:t>
      </w:r>
      <w:r>
        <w:rPr>
          <w:rFonts w:hint="eastAsia" w:ascii="黑体" w:hAnsi="黑体" w:eastAsia="黑体" w:cs="黑体"/>
          <w:b w:val="0"/>
          <w:bCs w:val="0"/>
          <w:caps w:val="0"/>
          <w:smallCaps/>
          <w:kern w:val="2"/>
          <w:sz w:val="32"/>
          <w:szCs w:val="32"/>
          <w:lang w:val="en-US" w:eastAsia="zh-CN" w:bidi="ar-SA"/>
        </w:rPr>
        <w:tab/>
      </w:r>
      <w:r>
        <w:rPr>
          <w:rFonts w:hint="eastAsia" w:ascii="黑体" w:hAnsi="黑体" w:eastAsia="黑体" w:cs="黑体"/>
          <w:b w:val="0"/>
          <w:bCs w:val="0"/>
          <w:caps w:val="0"/>
          <w:smallCaps/>
          <w:kern w:val="2"/>
          <w:sz w:val="32"/>
          <w:szCs w:val="32"/>
          <w:lang w:val="en-US" w:eastAsia="zh-CN" w:bidi="ar-SA"/>
        </w:rPr>
        <w:fldChar w:fldCharType="begin"/>
      </w:r>
      <w:r>
        <w:rPr>
          <w:rFonts w:hint="eastAsia" w:ascii="黑体" w:hAnsi="黑体" w:eastAsia="黑体" w:cs="黑体"/>
          <w:b w:val="0"/>
          <w:bCs w:val="0"/>
          <w:caps w:val="0"/>
          <w:smallCaps/>
          <w:kern w:val="2"/>
          <w:sz w:val="32"/>
          <w:szCs w:val="32"/>
          <w:lang w:val="en-US" w:eastAsia="zh-CN" w:bidi="ar-SA"/>
        </w:rPr>
        <w:instrText xml:space="preserve"> PAGEREF _Toc24045 \h </w:instrText>
      </w:r>
      <w:r>
        <w:rPr>
          <w:rFonts w:hint="eastAsia" w:ascii="黑体" w:hAnsi="黑体" w:eastAsia="黑体" w:cs="黑体"/>
          <w:b w:val="0"/>
          <w:bCs w:val="0"/>
          <w:caps w:val="0"/>
          <w:smallCaps/>
          <w:kern w:val="2"/>
          <w:sz w:val="32"/>
          <w:szCs w:val="32"/>
          <w:lang w:val="en-US" w:eastAsia="zh-CN" w:bidi="ar-SA"/>
        </w:rPr>
        <w:fldChar w:fldCharType="separate"/>
      </w:r>
      <w:r>
        <w:rPr>
          <w:rFonts w:hint="eastAsia" w:ascii="黑体" w:hAnsi="黑体" w:eastAsia="黑体" w:cs="黑体"/>
          <w:b w:val="0"/>
          <w:bCs w:val="0"/>
          <w:caps w:val="0"/>
          <w:smallCaps/>
          <w:kern w:val="2"/>
          <w:sz w:val="32"/>
          <w:szCs w:val="32"/>
          <w:lang w:val="en-US" w:eastAsia="zh-CN" w:bidi="ar-SA"/>
        </w:rPr>
        <w:t>81</w:t>
      </w:r>
      <w:r>
        <w:rPr>
          <w:rFonts w:hint="eastAsia" w:ascii="黑体" w:hAnsi="黑体" w:eastAsia="黑体" w:cs="黑体"/>
          <w:b w:val="0"/>
          <w:bCs w:val="0"/>
          <w:caps w:val="0"/>
          <w:smallCaps/>
          <w:kern w:val="2"/>
          <w:sz w:val="32"/>
          <w:szCs w:val="32"/>
          <w:lang w:val="en-US" w:eastAsia="zh-CN" w:bidi="ar-SA"/>
        </w:rPr>
        <w:fldChar w:fldCharType="end"/>
      </w:r>
      <w:r>
        <w:rPr>
          <w:rFonts w:hint="eastAsia" w:ascii="黑体" w:hAnsi="黑体" w:eastAsia="黑体" w:cs="黑体"/>
          <w:b w:val="0"/>
          <w:bCs w:val="0"/>
          <w:caps w:val="0"/>
          <w:smallCaps/>
          <w:kern w:val="2"/>
          <w:sz w:val="32"/>
          <w:szCs w:val="32"/>
          <w:lang w:val="en-US" w:eastAsia="zh-CN" w:bidi="ar-SA"/>
        </w:rPr>
        <w:fldChar w:fldCharType="end"/>
      </w:r>
    </w:p>
    <w:p w14:paraId="4F748AB0">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_Toc6278 </w:instrText>
      </w:r>
      <w:r>
        <w:rPr>
          <w:rFonts w:hint="eastAsia"/>
        </w:rPr>
        <w:fldChar w:fldCharType="separate"/>
      </w:r>
      <w:r>
        <w:rPr>
          <w:rFonts w:hint="eastAsia"/>
        </w:rPr>
        <w:t>第一节 加强党的领导</w:t>
      </w:r>
      <w:r>
        <w:rPr>
          <w:rFonts w:hint="eastAsia"/>
        </w:rPr>
        <w:tab/>
      </w:r>
      <w:r>
        <w:rPr>
          <w:rFonts w:hint="eastAsia"/>
        </w:rPr>
        <w:fldChar w:fldCharType="begin"/>
      </w:r>
      <w:r>
        <w:rPr>
          <w:rFonts w:hint="eastAsia"/>
        </w:rPr>
        <w:instrText xml:space="preserve"> PAGEREF _Toc6278 \h </w:instrText>
      </w:r>
      <w:r>
        <w:rPr>
          <w:rFonts w:hint="eastAsia"/>
        </w:rPr>
        <w:fldChar w:fldCharType="separate"/>
      </w:r>
      <w:r>
        <w:rPr>
          <w:rFonts w:hint="eastAsia"/>
        </w:rPr>
        <w:t>81</w:t>
      </w:r>
      <w:r>
        <w:rPr>
          <w:rFonts w:hint="eastAsia"/>
        </w:rPr>
        <w:fldChar w:fldCharType="end"/>
      </w:r>
      <w:r>
        <w:rPr>
          <w:rFonts w:hint="eastAsia"/>
        </w:rPr>
        <w:fldChar w:fldCharType="end"/>
      </w:r>
    </w:p>
    <w:p w14:paraId="05D256B5">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_Toc22221 </w:instrText>
      </w:r>
      <w:r>
        <w:rPr>
          <w:rFonts w:hint="eastAsia"/>
        </w:rPr>
        <w:fldChar w:fldCharType="separate"/>
      </w:r>
      <w:r>
        <w:rPr>
          <w:rFonts w:hint="eastAsia"/>
        </w:rPr>
        <w:t>第二节 健全配套政策</w:t>
      </w:r>
      <w:r>
        <w:rPr>
          <w:rFonts w:hint="eastAsia"/>
        </w:rPr>
        <w:tab/>
      </w:r>
      <w:r>
        <w:rPr>
          <w:rFonts w:hint="eastAsia"/>
        </w:rPr>
        <w:fldChar w:fldCharType="begin"/>
      </w:r>
      <w:r>
        <w:rPr>
          <w:rFonts w:hint="eastAsia"/>
        </w:rPr>
        <w:instrText xml:space="preserve"> PAGEREF _Toc22221 \h </w:instrText>
      </w:r>
      <w:r>
        <w:rPr>
          <w:rFonts w:hint="eastAsia"/>
        </w:rPr>
        <w:fldChar w:fldCharType="separate"/>
      </w:r>
      <w:r>
        <w:rPr>
          <w:rFonts w:hint="eastAsia"/>
        </w:rPr>
        <w:t>82</w:t>
      </w:r>
      <w:r>
        <w:rPr>
          <w:rFonts w:hint="eastAsia"/>
        </w:rPr>
        <w:fldChar w:fldCharType="end"/>
      </w:r>
      <w:r>
        <w:rPr>
          <w:rFonts w:hint="eastAsia"/>
        </w:rPr>
        <w:fldChar w:fldCharType="end"/>
      </w:r>
    </w:p>
    <w:p w14:paraId="7D70C8F0">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_Toc23285 </w:instrText>
      </w:r>
      <w:r>
        <w:rPr>
          <w:rFonts w:hint="eastAsia"/>
        </w:rPr>
        <w:fldChar w:fldCharType="separate"/>
      </w:r>
      <w:r>
        <w:rPr>
          <w:rFonts w:hint="eastAsia"/>
        </w:rPr>
        <w:t>第三节 强化规划传导与用途管制</w:t>
      </w:r>
      <w:r>
        <w:rPr>
          <w:rFonts w:hint="eastAsia"/>
        </w:rPr>
        <w:tab/>
      </w:r>
      <w:r>
        <w:rPr>
          <w:rFonts w:hint="eastAsia"/>
        </w:rPr>
        <w:fldChar w:fldCharType="begin"/>
      </w:r>
      <w:r>
        <w:rPr>
          <w:rFonts w:hint="eastAsia"/>
        </w:rPr>
        <w:instrText xml:space="preserve"> PAGEREF _Toc23285 \h </w:instrText>
      </w:r>
      <w:r>
        <w:rPr>
          <w:rFonts w:hint="eastAsia"/>
        </w:rPr>
        <w:fldChar w:fldCharType="separate"/>
      </w:r>
      <w:r>
        <w:rPr>
          <w:rFonts w:hint="eastAsia"/>
        </w:rPr>
        <w:t>82</w:t>
      </w:r>
      <w:r>
        <w:rPr>
          <w:rFonts w:hint="eastAsia"/>
        </w:rPr>
        <w:fldChar w:fldCharType="end"/>
      </w:r>
      <w:r>
        <w:rPr>
          <w:rFonts w:hint="eastAsia"/>
        </w:rPr>
        <w:fldChar w:fldCharType="end"/>
      </w:r>
    </w:p>
    <w:p w14:paraId="741FFFC1">
      <w:pPr>
        <w:pStyle w:val="1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fldChar w:fldCharType="begin"/>
      </w:r>
      <w:r>
        <w:rPr>
          <w:rFonts w:hint="eastAsia"/>
        </w:rPr>
        <w:instrText xml:space="preserve"> HYPERLINK \l _Toc13811 </w:instrText>
      </w:r>
      <w:r>
        <w:rPr>
          <w:rFonts w:hint="eastAsia"/>
        </w:rPr>
        <w:fldChar w:fldCharType="separate"/>
      </w:r>
      <w:r>
        <w:rPr>
          <w:rFonts w:hint="eastAsia"/>
        </w:rPr>
        <w:t>第四节 近期安排</w:t>
      </w:r>
      <w:r>
        <w:rPr>
          <w:rFonts w:hint="eastAsia"/>
        </w:rPr>
        <w:tab/>
      </w:r>
      <w:r>
        <w:rPr>
          <w:rFonts w:hint="eastAsia"/>
        </w:rPr>
        <w:fldChar w:fldCharType="begin"/>
      </w:r>
      <w:r>
        <w:rPr>
          <w:rFonts w:hint="eastAsia"/>
        </w:rPr>
        <w:instrText xml:space="preserve"> PAGEREF _Toc13811 \h </w:instrText>
      </w:r>
      <w:r>
        <w:rPr>
          <w:rFonts w:hint="eastAsia"/>
        </w:rPr>
        <w:fldChar w:fldCharType="separate"/>
      </w:r>
      <w:r>
        <w:rPr>
          <w:rFonts w:hint="eastAsia"/>
        </w:rPr>
        <w:t>83</w:t>
      </w:r>
      <w:r>
        <w:rPr>
          <w:rFonts w:hint="eastAsia"/>
        </w:rPr>
        <w:fldChar w:fldCharType="end"/>
      </w:r>
      <w:r>
        <w:rPr>
          <w:rFonts w:hint="eastAsia"/>
        </w:rPr>
        <w:fldChar w:fldCharType="end"/>
      </w:r>
    </w:p>
    <w:p w14:paraId="126E23DB">
      <w:pPr>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fldChar w:fldCharType="end"/>
      </w:r>
    </w:p>
    <w:p w14:paraId="2D174B15">
      <w:pPr>
        <w:tabs>
          <w:tab w:val="left" w:pos="353"/>
        </w:tabs>
        <w:spacing w:before="312" w:beforeLines="100" w:after="312" w:afterLines="100" w:line="520" w:lineRule="exact"/>
        <w:jc w:val="center"/>
        <w:outlineLvl w:val="0"/>
        <w:rPr>
          <w:rFonts w:ascii="方正小标宋_GBK" w:hAnsi="黑体" w:eastAsia="方正小标宋_GBK" w:cs="Times New Roman"/>
          <w:sz w:val="36"/>
          <w:szCs w:val="36"/>
        </w:rPr>
        <w:sectPr>
          <w:footerReference r:id="rId3" w:type="default"/>
          <w:pgSz w:w="11906" w:h="16838"/>
          <w:pgMar w:top="1440" w:right="1800" w:bottom="1440" w:left="1800" w:header="851" w:footer="992" w:gutter="0"/>
          <w:pgNumType w:start="1"/>
          <w:cols w:space="425" w:num="1"/>
          <w:docGrid w:type="lines" w:linePitch="312" w:charSpace="0"/>
        </w:sectPr>
      </w:pPr>
      <w:bookmarkStart w:id="78" w:name="_GoBack"/>
      <w:bookmarkEnd w:id="78"/>
    </w:p>
    <w:p w14:paraId="7A52B6DE">
      <w:pPr>
        <w:tabs>
          <w:tab w:val="left" w:pos="353"/>
        </w:tabs>
        <w:spacing w:before="312" w:beforeLines="100" w:after="312" w:afterLines="100" w:line="520" w:lineRule="exact"/>
        <w:jc w:val="center"/>
        <w:outlineLvl w:val="0"/>
        <w:rPr>
          <w:rFonts w:ascii="方正小标宋_GBK" w:hAnsi="黑体" w:eastAsia="方正小标宋_GBK" w:cs="Times New Roman"/>
          <w:sz w:val="36"/>
          <w:szCs w:val="36"/>
        </w:rPr>
      </w:pPr>
      <w:bookmarkStart w:id="12" w:name="_Toc25677"/>
      <w:r>
        <w:rPr>
          <w:rFonts w:hint="eastAsia" w:ascii="方正小标宋_GBK" w:hAnsi="黑体" w:eastAsia="方正小标宋_GBK" w:cs="Times New Roman"/>
          <w:sz w:val="36"/>
          <w:szCs w:val="36"/>
        </w:rPr>
        <w:t>前言</w:t>
      </w:r>
      <w:bookmarkEnd w:id="12"/>
    </w:p>
    <w:p w14:paraId="0429832F">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龙羊峡</w:t>
      </w:r>
      <w:r>
        <w:rPr>
          <w:rFonts w:hint="eastAsia" w:ascii="仿宋_GB2312" w:hAnsi="仿宋_GB2312" w:eastAsia="仿宋_GB2312" w:cs="Times New Roman"/>
          <w:sz w:val="32"/>
          <w:szCs w:val="32"/>
          <w:lang w:val="en-US" w:eastAsia="zh-CN"/>
        </w:rPr>
        <w:t>镇</w:t>
      </w:r>
      <w:r>
        <w:rPr>
          <w:rFonts w:hint="eastAsia" w:ascii="仿宋_GB2312" w:hAnsi="仿宋_GB2312" w:eastAsia="仿宋_GB2312" w:cs="Times New Roman"/>
          <w:sz w:val="32"/>
          <w:szCs w:val="32"/>
        </w:rPr>
        <w:t>位于青海共和县境内的黄河上游，上距黄河发源地1684公里，下至黄河入海口3376公里，是黄河流经青海大草原后，进入黄河峡谷区的第一个峡谷，被称为“中国的科罗拉多”大峡谷，名扬海外。</w:t>
      </w:r>
    </w:p>
    <w:p w14:paraId="28667C55">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以习近平新时代中国特色社会主义思想为指导，立足青海“三个最大”省情定位、“三个更加重要”战略地位，推进“三个先行区”建设，落实“四个扎扎实实”重大要求，打造生态文明高地，推进五项重大任务，建设产业“四地”，科学把握新发展阶段、深入贯彻新发展理念、加快构建新发展格局，推进青藏高原生态保护和高质量发展，按照《中共中央 国务院关于建立国土空间规划体系并监督实施的若干意见》（中发〔2019〕18 号）、《自然资源部关于全面开展国土空间规划工作的通知》（自然资发〔2019〕87 号）以及青海省《关于建立全省国土空间规划体系并监督实施的意见》（青办发〔2020〕13 号）等相关政策，落实全省建设“六个现代化新青海”奋斗目标、深入推进“一优两高”战略、着力打造生态文明高地、着力构建产业“四地”的要求，围绕建设国家可持续发展议程创新示范区、打造泛共和盆地绿色发展新增长极、落实州县十四五规划目标、抓紧区域发展重大战略机遇，构建共和县“两级三类”国土空间规划体系，特编制《共和县龙羊峡镇国土空间总体规划（2021-2035 年）》（以下简称《规划》）。</w:t>
      </w:r>
    </w:p>
    <w:p w14:paraId="6CB4309A">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规划》是对《共和县国民经济和社会发展第十四个五年规划和二〇三五年远景目标纲要》和《共和县国土空间总体规划（2021-2035年）》的落实和细化，是统筹全镇国土空间保护、开发、利用、修复作出的具体安排和部署，是各层次空间规划的编制依据，是开展各类开发保护建设活动、实施国土空间用途管制的基本依据。</w:t>
      </w:r>
    </w:p>
    <w:p w14:paraId="2E1CBFE3">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本规划范围涉及镇域和镇区两个层次。镇域规划范围为龙羊峡镇行政辖区内范围，统筹全域全要素规划管理，对国土空间开发保护做出的具体部署，对县级国土空间规划细化落实；镇区范围面积</w:t>
      </w:r>
      <w:r>
        <w:rPr>
          <w:rFonts w:ascii="仿宋_GB2312" w:hAnsi="仿宋_GB2312" w:eastAsia="仿宋_GB2312" w:cs="Times New Roman"/>
          <w:sz w:val="32"/>
          <w:szCs w:val="32"/>
        </w:rPr>
        <w:t>96.88</w:t>
      </w:r>
      <w:r>
        <w:rPr>
          <w:rFonts w:hint="eastAsia" w:ascii="仿宋_GB2312" w:hAnsi="仿宋_GB2312" w:eastAsia="仿宋_GB2312" w:cs="Times New Roman"/>
          <w:sz w:val="32"/>
          <w:szCs w:val="32"/>
        </w:rPr>
        <w:t>公顷，重点细化土地使用和空间布局，侧重功能完善和结构优化；镇域与镇区要落实重要管控要素的系统传导和衔接。规划基期为2020年，规划期限为2021-2035年，近期到2025年，远景展望到2050年。</w:t>
      </w:r>
    </w:p>
    <w:p w14:paraId="5AC0CDF2">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文本中加下划线的内容以及附表中约束性指标为规划的强制性内容。本规划自海南州人民政府批复之日起生效，由龙羊峡镇人民政府组织实施，任何单位和个人不得违反和擅自修改。因国家重大战略调整、重大项目建设或者行政区划调整等确需修改本规划的，须按照法定程序进行修改。</w:t>
      </w:r>
    </w:p>
    <w:p w14:paraId="3D925AD4">
      <w:pPr>
        <w:widowControl/>
        <w:jc w:val="left"/>
        <w:rPr>
          <w:rFonts w:ascii="仿宋_GB2312" w:hAnsi="仿宋_GB2312" w:eastAsia="仿宋_GB2312" w:cs="Times New Roman"/>
          <w:sz w:val="32"/>
          <w:szCs w:val="32"/>
        </w:rPr>
      </w:pPr>
      <w:r>
        <w:rPr>
          <w:rFonts w:ascii="仿宋_GB2312" w:hAnsi="仿宋_GB2312" w:eastAsia="仿宋_GB2312" w:cs="Times New Roman"/>
          <w:sz w:val="32"/>
          <w:szCs w:val="32"/>
        </w:rPr>
        <w:br w:type="page"/>
      </w:r>
    </w:p>
    <w:p w14:paraId="0E5E5309">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13" w:name="_Toc12278"/>
      <w:r>
        <w:rPr>
          <w:rFonts w:hint="eastAsia" w:ascii="Times New Roman" w:hAnsi="Times New Roman" w:eastAsia="方正小标宋简体" w:cs="Times New Roman"/>
          <w:b w:val="0"/>
          <w:bCs w:val="0"/>
          <w:sz w:val="36"/>
          <w:szCs w:val="36"/>
        </w:rPr>
        <w:t>规划背景</w:t>
      </w:r>
      <w:bookmarkEnd w:id="13"/>
    </w:p>
    <w:p w14:paraId="6CE25ECB">
      <w:pPr>
        <w:pStyle w:val="3"/>
        <w:numPr>
          <w:ilvl w:val="1"/>
          <w:numId w:val="3"/>
        </w:numPr>
        <w:spacing w:before="100" w:after="100" w:line="400" w:lineRule="exact"/>
        <w:ind w:firstLine="0"/>
        <w:jc w:val="center"/>
        <w:rPr>
          <w:rFonts w:ascii="Arial" w:hAnsi="Arial" w:eastAsia="黑体" w:cs="Times New Roman"/>
          <w:b w:val="0"/>
          <w:lang w:val="zh-CN"/>
        </w:rPr>
      </w:pPr>
      <w:bookmarkStart w:id="14" w:name="_Toc17312"/>
      <w:r>
        <w:rPr>
          <w:rFonts w:hint="eastAsia" w:ascii="Arial" w:hAnsi="Arial" w:eastAsia="黑体" w:cs="Times New Roman"/>
          <w:b w:val="0"/>
          <w:lang w:val="zh-CN"/>
        </w:rPr>
        <w:t>禀赋与条件</w:t>
      </w:r>
      <w:bookmarkEnd w:id="14"/>
    </w:p>
    <w:p w14:paraId="7240053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基本情况</w:t>
      </w:r>
    </w:p>
    <w:p w14:paraId="1B28FE0F">
      <w:pPr>
        <w:spacing w:after="120" w:line="600" w:lineRule="exact"/>
        <w:ind w:firstLine="640" w:firstLineChars="200"/>
        <w:rPr>
          <w:rFonts w:ascii="仿宋_GB2312" w:hAnsi="仿宋_GB2312" w:eastAsia="仿宋_GB2312" w:cs="仿宋_GB2312"/>
          <w:bCs/>
          <w:sz w:val="32"/>
          <w:szCs w:val="24"/>
        </w:rPr>
      </w:pPr>
      <w:r>
        <w:rPr>
          <w:rFonts w:hint="eastAsia" w:ascii="楷体_GB2312" w:hAnsi="楷体_GB2312" w:eastAsia="楷体_GB2312" w:cs="楷体_GB2312"/>
          <w:bCs/>
          <w:sz w:val="32"/>
          <w:szCs w:val="24"/>
        </w:rPr>
        <w:t>山地峡谷相间格局清晰。</w:t>
      </w:r>
      <w:r>
        <w:rPr>
          <w:rFonts w:hint="eastAsia" w:ascii="仿宋_GB2312" w:hAnsi="仿宋_GB2312" w:eastAsia="仿宋_GB2312" w:cs="仿宋_GB2312"/>
          <w:bCs/>
          <w:sz w:val="32"/>
          <w:szCs w:val="24"/>
        </w:rPr>
        <w:t>龙羊峡镇位于龙羊峡水库北侧，黄河北岸，境内有龙羊峡水库大部分区域，北至倒淌河镇，西临恰卜恰镇，形成北高南低的整体地势形态。</w:t>
      </w:r>
    </w:p>
    <w:p w14:paraId="7A8CF071">
      <w:pPr>
        <w:spacing w:after="120" w:line="600" w:lineRule="exact"/>
        <w:ind w:firstLine="640" w:firstLineChars="200"/>
        <w:rPr>
          <w:rFonts w:ascii="仿宋_GB2312" w:hAnsi="仿宋_GB2312" w:eastAsia="仿宋_GB2312" w:cs="仿宋_GB2312"/>
          <w:bCs/>
          <w:sz w:val="32"/>
          <w:szCs w:val="24"/>
        </w:rPr>
      </w:pPr>
      <w:r>
        <w:rPr>
          <w:rFonts w:hint="eastAsia" w:ascii="楷体_GB2312" w:hAnsi="楷体_GB2312" w:eastAsia="楷体_GB2312" w:cs="楷体_GB2312"/>
          <w:bCs/>
          <w:sz w:val="32"/>
          <w:szCs w:val="24"/>
        </w:rPr>
        <w:t>生态本底良好，生态重要性突出。</w:t>
      </w:r>
      <w:r>
        <w:rPr>
          <w:rFonts w:hint="eastAsia" w:ascii="仿宋_GB2312" w:hAnsi="仿宋_GB2312" w:eastAsia="仿宋_GB2312" w:cs="仿宋_GB2312"/>
          <w:bCs/>
          <w:sz w:val="32"/>
          <w:szCs w:val="24"/>
        </w:rPr>
        <w:t>镇域范围内山水林田湖草资源齐备，生态环境良好。南部龙羊峡水库是进入黄河峡谷区的龙羊峡水库第一峡口，是全国重要的生态及物种多样性保护区域。</w:t>
      </w:r>
    </w:p>
    <w:p w14:paraId="43BB1EBC">
      <w:pPr>
        <w:spacing w:after="120" w:line="600" w:lineRule="exact"/>
        <w:ind w:firstLine="640" w:firstLineChars="200"/>
        <w:rPr>
          <w:rFonts w:ascii="仿宋_GB2312" w:hAnsi="仿宋_GB2312" w:eastAsia="仿宋_GB2312" w:cs="仿宋_GB2312"/>
          <w:bCs/>
          <w:sz w:val="32"/>
          <w:szCs w:val="24"/>
        </w:rPr>
      </w:pPr>
      <w:r>
        <w:rPr>
          <w:rFonts w:hint="eastAsia" w:ascii="楷体_GB2312" w:hAnsi="楷体_GB2312" w:eastAsia="楷体_GB2312" w:cs="楷体_GB2312"/>
          <w:bCs/>
          <w:sz w:val="32"/>
          <w:szCs w:val="24"/>
        </w:rPr>
        <w:t>历史文化资源丰富，人文底蕴深厚。</w:t>
      </w:r>
      <w:r>
        <w:rPr>
          <w:rFonts w:hint="eastAsia" w:ascii="仿宋_GB2312" w:hAnsi="仿宋_GB2312" w:eastAsia="仿宋_GB2312" w:cs="仿宋_GB2312"/>
          <w:bCs/>
          <w:sz w:val="32"/>
          <w:szCs w:val="24"/>
        </w:rPr>
        <w:t>文化底蕴厚，拥有克才古城、当家寺、曲沟台西沿遗址等重要遗址遗迹，是唐蕃文化的重要展示区域，境内多民族融合，民俗文化多样。</w:t>
      </w:r>
    </w:p>
    <w:p w14:paraId="3B9A1CE4">
      <w:pPr>
        <w:spacing w:after="120" w:line="600" w:lineRule="exact"/>
        <w:ind w:firstLine="640" w:firstLineChars="200"/>
        <w:rPr>
          <w:rFonts w:ascii="仿宋_GB2312" w:hAnsi="仿宋_GB2312" w:eastAsia="仿宋_GB2312" w:cs="仿宋_GB2312"/>
          <w:bCs/>
          <w:sz w:val="32"/>
          <w:szCs w:val="24"/>
        </w:rPr>
      </w:pPr>
      <w:r>
        <w:rPr>
          <w:rFonts w:hint="eastAsia" w:ascii="楷体_GB2312" w:hAnsi="楷体_GB2312" w:eastAsia="楷体_GB2312" w:cs="楷体_GB2312"/>
          <w:bCs/>
          <w:sz w:val="32"/>
          <w:szCs w:val="24"/>
        </w:rPr>
        <w:t>能源优势显著。</w:t>
      </w:r>
      <w:r>
        <w:rPr>
          <w:rFonts w:hint="eastAsia" w:ascii="仿宋_GB2312" w:hAnsi="仿宋_GB2312" w:eastAsia="仿宋_GB2312" w:cs="仿宋_GB2312"/>
          <w:bCs/>
          <w:sz w:val="32"/>
          <w:szCs w:val="24"/>
        </w:rPr>
        <w:t>龙羊峡水电站是黄河上游第一座大型梯级电站，人称黄河“龙头”电站。电站建成后，年平均发电量60亿千瓦时。龙羊峡水电站除发电之外，还具有防洪、防凌、灌溉、养殖四大效益。龙羊峡水电站为西北电网的调峰、调频和下游防洪、防凌、灌溉及缓解下游断流发挥了重要作用。为促进青海经济发展奠定了基础，同时也为龙羊峡地区的旅游、养殖和改变区域环境创造了条件。同时龙羊峡水电站生活区遗址已经成为具有历史特色的景观风貌区，为龙羊峡镇每年带来</w:t>
      </w:r>
      <w:r>
        <w:rPr>
          <w:rFonts w:hint="eastAsia" w:ascii="仿宋_GB2312" w:hAnsi="仿宋_GB2312" w:eastAsia="仿宋_GB2312" w:cs="仿宋_GB2312"/>
          <w:bCs/>
          <w:sz w:val="32"/>
          <w:szCs w:val="24"/>
          <w:lang w:val="en-US" w:eastAsia="zh-CN"/>
        </w:rPr>
        <w:t>可观</w:t>
      </w:r>
      <w:r>
        <w:rPr>
          <w:rFonts w:hint="eastAsia" w:ascii="仿宋_GB2312" w:hAnsi="仿宋_GB2312" w:eastAsia="仿宋_GB2312" w:cs="仿宋_GB2312"/>
          <w:bCs/>
          <w:sz w:val="32"/>
          <w:szCs w:val="24"/>
        </w:rPr>
        <w:t>的旅游收入。</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7EF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5E6F2C9B">
            <w:pPr>
              <w:tabs>
                <w:tab w:val="left" w:pos="353"/>
              </w:tabs>
              <w:spacing w:line="600" w:lineRule="exact"/>
              <w:ind w:firstLine="21" w:firstLineChars="7"/>
              <w:jc w:val="center"/>
              <w:rPr>
                <w:rFonts w:ascii="黑体" w:hAnsi="黑体" w:eastAsia="黑体" w:cs="Times New Roman"/>
                <w:sz w:val="30"/>
                <w:szCs w:val="30"/>
              </w:rPr>
            </w:pPr>
            <w:r>
              <w:rPr>
                <w:rFonts w:hint="eastAsia" w:ascii="黑体" w:hAnsi="黑体" w:eastAsia="黑体" w:cs="Times New Roman"/>
                <w:sz w:val="30"/>
                <w:szCs w:val="30"/>
              </w:rPr>
              <w:t>专栏</w:t>
            </w:r>
            <w:r>
              <w:rPr>
                <w:rFonts w:ascii="黑体" w:hAnsi="黑体" w:eastAsia="黑体" w:cs="Times New Roman"/>
                <w:sz w:val="30"/>
                <w:szCs w:val="30"/>
              </w:rPr>
              <w:t xml:space="preserve">1 </w:t>
            </w:r>
            <w:r>
              <w:rPr>
                <w:rFonts w:hint="eastAsia" w:ascii="黑体" w:hAnsi="黑体" w:eastAsia="黑体" w:cs="Times New Roman"/>
                <w:sz w:val="30"/>
                <w:szCs w:val="30"/>
              </w:rPr>
              <w:t>主要自然资源总体状况</w:t>
            </w:r>
          </w:p>
        </w:tc>
      </w:tr>
      <w:tr w14:paraId="0E8C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078D1F2F">
            <w:pPr>
              <w:spacing w:line="600" w:lineRule="exact"/>
              <w:ind w:firstLine="480" w:firstLineChars="200"/>
              <w:rPr>
                <w:rFonts w:ascii="楷体_GB2312" w:hAnsi="仿宋_GB2312" w:eastAsia="楷体_GB2312" w:cs="Times New Roman"/>
                <w:sz w:val="24"/>
                <w:szCs w:val="24"/>
              </w:rPr>
            </w:pPr>
            <w:r>
              <w:rPr>
                <w:rFonts w:hint="eastAsia" w:ascii="楷体_GB2312" w:hAnsi="仿宋_GB2312" w:eastAsia="楷体_GB2312" w:cs="Times New Roman"/>
                <w:sz w:val="24"/>
                <w:szCs w:val="24"/>
              </w:rPr>
              <w:t>土地资源。</w:t>
            </w:r>
            <w:r>
              <w:rPr>
                <w:rFonts w:hint="eastAsia" w:ascii="仿宋_GB2312" w:hAnsi="仿宋_GB2312" w:eastAsia="仿宋_GB2312" w:cs="仿宋_GB2312"/>
                <w:sz w:val="24"/>
                <w:szCs w:val="24"/>
              </w:rPr>
              <w:t>龙羊峡镇</w:t>
            </w:r>
            <w:r>
              <w:rPr>
                <w:rFonts w:hint="eastAsia" w:ascii="仿宋_GB2312" w:hAnsi="仿宋_GB2312" w:eastAsia="仿宋_GB2312" w:cs="仿宋_GB2312"/>
                <w:sz w:val="24"/>
                <w:szCs w:val="24"/>
                <w:lang w:val="en-US" w:eastAsia="zh-CN"/>
              </w:rPr>
              <w:t>现状</w:t>
            </w:r>
            <w:r>
              <w:rPr>
                <w:rFonts w:hint="eastAsia" w:ascii="仿宋_GB2312" w:hAnsi="仿宋_GB2312" w:eastAsia="仿宋_GB2312" w:cs="仿宋_GB2312"/>
                <w:sz w:val="24"/>
                <w:szCs w:val="24"/>
              </w:rPr>
              <w:t>耕地面积约</w:t>
            </w:r>
            <w:r>
              <w:rPr>
                <w:rFonts w:ascii="仿宋_GB2312" w:hAnsi="仿宋_GB2312" w:eastAsia="仿宋_GB2312" w:cs="仿宋_GB2312"/>
                <w:sz w:val="24"/>
                <w:szCs w:val="24"/>
              </w:rPr>
              <w:t>11.39</w:t>
            </w:r>
            <w:r>
              <w:rPr>
                <w:rFonts w:hint="eastAsia" w:ascii="仿宋_GB2312" w:hAnsi="仿宋_GB2312" w:eastAsia="仿宋_GB2312" w:cs="仿宋_GB2312"/>
                <w:sz w:val="24"/>
                <w:szCs w:val="24"/>
              </w:rPr>
              <w:t>平方千米，园地面积约0.10平方千米，林地面积约7.2</w:t>
            </w:r>
            <w:r>
              <w:rPr>
                <w:rFonts w:ascii="仿宋_GB2312" w:hAnsi="仿宋_GB2312" w:eastAsia="仿宋_GB2312" w:cs="仿宋_GB2312"/>
                <w:sz w:val="24"/>
                <w:szCs w:val="24"/>
              </w:rPr>
              <w:t>4</w:t>
            </w:r>
            <w:r>
              <w:rPr>
                <w:rFonts w:hint="eastAsia" w:ascii="仿宋_GB2312" w:hAnsi="仿宋_GB2312" w:eastAsia="仿宋_GB2312" w:cs="仿宋_GB2312"/>
                <w:sz w:val="24"/>
                <w:szCs w:val="24"/>
              </w:rPr>
              <w:t>平方千米，草地面积约480.</w:t>
            </w:r>
            <w:r>
              <w:rPr>
                <w:rFonts w:ascii="仿宋_GB2312" w:hAnsi="仿宋_GB2312" w:eastAsia="仿宋_GB2312" w:cs="仿宋_GB2312"/>
                <w:sz w:val="24"/>
                <w:szCs w:val="24"/>
              </w:rPr>
              <w:t>89</w:t>
            </w:r>
            <w:r>
              <w:rPr>
                <w:rFonts w:hint="eastAsia" w:ascii="仿宋_GB2312" w:hAnsi="仿宋_GB2312" w:eastAsia="仿宋_GB2312" w:cs="仿宋_GB2312"/>
                <w:sz w:val="24"/>
                <w:szCs w:val="24"/>
              </w:rPr>
              <w:t>平方千米，湿地面积约2.62平方千米，农业设施建设用地面积约2.50平方千米，城乡建设用地面积约3.73平方千米，其中，城镇建设用地面积约0.78平方千米，村庄用地面积约2.95平方千米，区域基础设施用地面积约1.34平方千米，其他建设用地面积约</w:t>
            </w:r>
            <w:r>
              <w:rPr>
                <w:rFonts w:ascii="仿宋_GB2312" w:hAnsi="仿宋_GB2312" w:eastAsia="仿宋_GB2312" w:cs="仿宋_GB2312"/>
                <w:sz w:val="24"/>
                <w:szCs w:val="24"/>
              </w:rPr>
              <w:t>1.39</w:t>
            </w:r>
            <w:r>
              <w:rPr>
                <w:rFonts w:hint="eastAsia" w:ascii="仿宋_GB2312" w:hAnsi="仿宋_GB2312" w:eastAsia="仿宋_GB2312" w:cs="仿宋_GB2312"/>
                <w:sz w:val="24"/>
                <w:szCs w:val="24"/>
              </w:rPr>
              <w:t>平方千米，陆地水域面积约228.90平方千米，其他土地面积约19.</w:t>
            </w:r>
            <w:r>
              <w:rPr>
                <w:rFonts w:ascii="仿宋_GB2312" w:hAnsi="仿宋_GB2312" w:eastAsia="仿宋_GB2312" w:cs="仿宋_GB2312"/>
                <w:sz w:val="24"/>
                <w:szCs w:val="24"/>
              </w:rPr>
              <w:t>39</w:t>
            </w:r>
            <w:r>
              <w:rPr>
                <w:rFonts w:hint="eastAsia" w:ascii="仿宋_GB2312" w:hAnsi="仿宋_GB2312" w:eastAsia="仿宋_GB2312" w:cs="仿宋_GB2312"/>
                <w:sz w:val="24"/>
                <w:szCs w:val="24"/>
              </w:rPr>
              <w:t>平方千米</w:t>
            </w:r>
            <w:r>
              <w:rPr>
                <w:rFonts w:hint="eastAsia" w:ascii="仿宋_GB2312" w:hAnsi="仿宋_GB2312" w:eastAsia="仿宋_GB2312" w:cs="Times New Roman"/>
                <w:sz w:val="24"/>
                <w:szCs w:val="24"/>
              </w:rPr>
              <w:t>。</w:t>
            </w:r>
          </w:p>
          <w:p w14:paraId="5B28ADD3">
            <w:pPr>
              <w:tabs>
                <w:tab w:val="left" w:pos="353"/>
              </w:tabs>
              <w:spacing w:line="600" w:lineRule="exact"/>
              <w:ind w:firstLine="480" w:firstLineChars="200"/>
              <w:rPr>
                <w:rFonts w:ascii="仿宋_GB2312" w:hAnsi="仿宋_GB2312" w:eastAsia="仿宋_GB2312" w:cs="Times New Roman"/>
                <w:sz w:val="24"/>
                <w:szCs w:val="24"/>
              </w:rPr>
            </w:pPr>
            <w:r>
              <w:rPr>
                <w:rFonts w:hint="eastAsia" w:ascii="楷体_GB2312" w:hAnsi="仿宋_GB2312" w:eastAsia="楷体_GB2312" w:cs="Times New Roman"/>
                <w:sz w:val="24"/>
                <w:szCs w:val="24"/>
              </w:rPr>
              <w:t>水资源</w:t>
            </w:r>
            <w:r>
              <w:rPr>
                <w:rFonts w:hint="eastAsia" w:ascii="仿宋_GB2312" w:hAnsi="仿宋_GB2312" w:eastAsia="仿宋_GB2312" w:cs="Times New Roman"/>
                <w:sz w:val="24"/>
                <w:szCs w:val="24"/>
              </w:rPr>
              <w:t>。龙羊峡水电站坝址以上水库面积约 226.30平方千米，河流面积约2.31平方千米，其他水域面积约0.19平方千米。</w:t>
            </w:r>
          </w:p>
          <w:p w14:paraId="6B223A25">
            <w:pPr>
              <w:tabs>
                <w:tab w:val="left" w:pos="353"/>
              </w:tabs>
              <w:spacing w:line="600" w:lineRule="exact"/>
              <w:ind w:firstLine="480" w:firstLineChars="200"/>
              <w:rPr>
                <w:rFonts w:ascii="仿宋_GB2312" w:hAnsi="仿宋_GB2312" w:eastAsia="仿宋_GB2312" w:cs="Times New Roman"/>
                <w:sz w:val="24"/>
                <w:szCs w:val="24"/>
              </w:rPr>
            </w:pPr>
            <w:r>
              <w:rPr>
                <w:rFonts w:hint="eastAsia" w:ascii="楷体_GB2312" w:hAnsi="仿宋_GB2312" w:eastAsia="楷体_GB2312" w:cs="Times New Roman"/>
                <w:sz w:val="24"/>
                <w:szCs w:val="24"/>
              </w:rPr>
              <w:t>野生动植物资源。</w:t>
            </w:r>
            <w:r>
              <w:rPr>
                <w:rFonts w:hint="eastAsia" w:ascii="仿宋_GB2312" w:hAnsi="仿宋_GB2312" w:eastAsia="仿宋_GB2312" w:cs="Times New Roman"/>
                <w:sz w:val="24"/>
                <w:szCs w:val="24"/>
              </w:rPr>
              <w:t>龙羊峡上游是黄河源区，该区域属高原大陆性气候，干燥少雨、寒冷多风、空气稀薄，地区间差异大，垂直变化明显，河源地区为半干旱区，其它地区为半湿润区，水体冷凉无污染，饵料生物量低，属贫营养型水体，适合裂腹鱼及条鳅鱼类繁衍生息，是目前黄河上游仅有的几个鱼类生态保护相对完好的，还未受到人类活动的严重影响的区域。</w:t>
            </w:r>
          </w:p>
          <w:p w14:paraId="4D9F9578">
            <w:pPr>
              <w:tabs>
                <w:tab w:val="left" w:pos="353"/>
              </w:tabs>
              <w:spacing w:line="6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龙羊峡上游目前共有鱼类10 种，隶属于 1 目、2科、7 属，均为鲤形目土著鱼类 ，其中鲤科鱼类 6种，分别为厚唇裸重唇鱼、花斑裸鲤、骨唇黄河鱼、极边扁咽齿鱼、黄河裸裂尻鱼、刺</w:t>
            </w:r>
            <w:r>
              <w:rPr>
                <w:rFonts w:hint="eastAsia" w:ascii="微软雅黑" w:hAnsi="微软雅黑" w:eastAsia="微软雅黑" w:cs="微软雅黑"/>
                <w:sz w:val="24"/>
                <w:szCs w:val="24"/>
              </w:rPr>
              <w:t>鮈</w:t>
            </w:r>
            <w:r>
              <w:rPr>
                <w:rFonts w:hint="eastAsia" w:ascii="仿宋_GB2312" w:hAnsi="仿宋_GB2312" w:eastAsia="仿宋_GB2312" w:cs="仿宋_GB2312"/>
                <w:sz w:val="24"/>
                <w:szCs w:val="24"/>
              </w:rPr>
              <w:t>（</w:t>
            </w:r>
            <w:r>
              <w:rPr>
                <w:rFonts w:hint="eastAsia" w:ascii="微软雅黑" w:hAnsi="微软雅黑" w:eastAsia="微软雅黑" w:cs="微软雅黑"/>
                <w:sz w:val="24"/>
                <w:szCs w:val="24"/>
              </w:rPr>
              <w:t>鮈</w:t>
            </w:r>
            <w:r>
              <w:rPr>
                <w:rFonts w:hint="eastAsia" w:ascii="仿宋_GB2312" w:hAnsi="仿宋_GB2312" w:eastAsia="仿宋_GB2312" w:cs="仿宋_GB2312"/>
                <w:sz w:val="24"/>
                <w:szCs w:val="24"/>
              </w:rPr>
              <w:t>亚科）；鳅科鱼类</w:t>
            </w:r>
            <w:r>
              <w:rPr>
                <w:rFonts w:hint="eastAsia" w:ascii="仿宋_GB2312" w:hAnsi="仿宋_GB2312" w:eastAsia="仿宋_GB2312" w:cs="Times New Roman"/>
                <w:sz w:val="24"/>
                <w:szCs w:val="24"/>
              </w:rPr>
              <w:t xml:space="preserve"> 4 种，分别为拟鲶高原鳅、拟硬刺高原鳅、硬刺高原鳅、黄河高原鳅。</w:t>
            </w:r>
          </w:p>
        </w:tc>
      </w:tr>
    </w:tbl>
    <w:p w14:paraId="7F683B99">
      <w:pPr>
        <w:pStyle w:val="3"/>
        <w:numPr>
          <w:ilvl w:val="1"/>
          <w:numId w:val="3"/>
        </w:numPr>
        <w:spacing w:before="100" w:after="100" w:line="400" w:lineRule="exact"/>
        <w:ind w:firstLine="0"/>
        <w:jc w:val="center"/>
        <w:rPr>
          <w:rFonts w:ascii="Arial" w:hAnsi="Arial" w:eastAsia="黑体" w:cs="Times New Roman"/>
          <w:b w:val="0"/>
          <w:lang w:val="zh-CN"/>
        </w:rPr>
      </w:pPr>
      <w:bookmarkStart w:id="15" w:name="_Toc8862"/>
      <w:r>
        <w:rPr>
          <w:rFonts w:hint="eastAsia" w:ascii="Arial" w:hAnsi="Arial" w:eastAsia="黑体" w:cs="Times New Roman"/>
          <w:b w:val="0"/>
          <w:lang w:val="zh-CN"/>
        </w:rPr>
        <w:t>现状与问题</w:t>
      </w:r>
      <w:bookmarkEnd w:id="15"/>
    </w:p>
    <w:p w14:paraId="666FC86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现状成效</w:t>
      </w:r>
    </w:p>
    <w:p w14:paraId="7EE6B1D8">
      <w:pPr>
        <w:spacing w:after="120" w:line="600" w:lineRule="exact"/>
        <w:ind w:firstLine="640" w:firstLineChars="200"/>
        <w:rPr>
          <w:rFonts w:ascii="仿宋_GB2312" w:hAnsi="仿宋_GB2312" w:eastAsia="仿宋_GB2312" w:cs="仿宋_GB2312"/>
          <w:bCs/>
          <w:sz w:val="32"/>
          <w:szCs w:val="24"/>
        </w:rPr>
      </w:pPr>
      <w:r>
        <w:rPr>
          <w:rFonts w:hint="eastAsia" w:ascii="楷体_GB2312" w:hAnsi="楷体_GB2312" w:eastAsia="楷体_GB2312" w:cs="楷体_GB2312"/>
          <w:sz w:val="32"/>
          <w:szCs w:val="32"/>
        </w:rPr>
        <w:t>生态安全屏障更加稳固。</w:t>
      </w:r>
      <w:r>
        <w:rPr>
          <w:rFonts w:hint="eastAsia" w:ascii="仿宋_GB2312" w:hAnsi="仿宋_GB2312" w:eastAsia="仿宋_GB2312" w:cs="仿宋_GB2312"/>
          <w:bCs/>
          <w:sz w:val="32"/>
          <w:szCs w:val="24"/>
        </w:rPr>
        <w:t>党的十八大以来，龙羊峡镇生态环境质量整体呈现向好趋势，水库周边生态环境质量、生物多样性保护、生态保护与治理工程以及政策与制度保障等方面均取得了积极进展。推进了全县 “一湖一河、三山两盆地”的自然地理格局的总体稳定，其中“一河”指黄河，是全省重要生态屏障的构成部分。</w:t>
      </w:r>
    </w:p>
    <w:p w14:paraId="275D65AE">
      <w:pPr>
        <w:pStyle w:val="7"/>
        <w:ind w:firstLine="640"/>
      </w:pPr>
      <w:r>
        <w:rPr>
          <w:rFonts w:hint="eastAsia" w:ascii="楷体_GB2312" w:hAnsi="楷体_GB2312" w:eastAsia="楷体_GB2312" w:cs="楷体_GB2312"/>
          <w:szCs w:val="32"/>
        </w:rPr>
        <w:t>农业空间质效提升。</w:t>
      </w:r>
      <w:r>
        <w:rPr>
          <w:rFonts w:hint="eastAsia" w:ascii="仿宋_GB2312" w:hAnsi="仿宋_GB2312" w:cs="仿宋_GB2312"/>
          <w:lang w:bidi="ar"/>
        </w:rPr>
        <w:t>龙羊峡镇</w:t>
      </w:r>
      <w:r>
        <w:rPr>
          <w:rFonts w:hint="eastAsia"/>
          <w:lang w:bidi="ar"/>
        </w:rPr>
        <w:t>全面完成耕地和永久基本农田保护任务</w:t>
      </w:r>
      <w:r>
        <w:rPr>
          <w:rFonts w:hint="eastAsia"/>
        </w:rPr>
        <w:t>，耕地得到有效保护。积极推进高标准农田建设工程，提高耕地</w:t>
      </w:r>
      <w:r>
        <w:rPr>
          <w:rFonts w:hint="eastAsia" w:ascii="仿宋_GB2312" w:hAnsi="仿宋_GB2312" w:cs="仿宋_GB2312"/>
        </w:rPr>
        <w:t>利用等别。草地资源丰富，植被类型包括温性草原、高寒草原、高寒草甸、盐生草甸等，镇牧草地面积</w:t>
      </w:r>
      <w:r>
        <w:rPr>
          <w:rFonts w:hint="eastAsia" w:ascii="仿宋_GB2312" w:hAnsi="仿宋_GB2312" w:cs="仿宋_GB2312"/>
          <w:lang w:bidi="ar"/>
        </w:rPr>
        <w:t>占国土总面积的</w:t>
      </w:r>
      <w:r>
        <w:rPr>
          <w:rFonts w:ascii="仿宋_GB2312" w:hAnsi="仿宋_GB2312" w:cs="仿宋_GB2312"/>
        </w:rPr>
        <w:t>63.32</w:t>
      </w:r>
      <w:r>
        <w:rPr>
          <w:rFonts w:hint="eastAsia" w:ascii="仿宋_GB2312" w:hAnsi="仿宋_GB2312" w:cs="仿宋_GB2312"/>
        </w:rPr>
        <w:t xml:space="preserve">% </w:t>
      </w:r>
      <w:r>
        <w:rPr>
          <w:rFonts w:hint="eastAsia"/>
        </w:rPr>
        <w:t>。</w:t>
      </w:r>
    </w:p>
    <w:p w14:paraId="1A9FD2EE">
      <w:pPr>
        <w:pStyle w:val="7"/>
        <w:ind w:firstLine="640" w:firstLineChars="200"/>
      </w:pPr>
      <w:r>
        <w:rPr>
          <w:rFonts w:hint="eastAsia" w:ascii="楷体_GB2312" w:hAnsi="楷体_GB2312" w:eastAsia="楷体_GB2312" w:cs="楷体_GB2312"/>
          <w:szCs w:val="32"/>
        </w:rPr>
        <w:t>城镇空间保障有效。</w:t>
      </w:r>
      <w:r>
        <w:rPr>
          <w:rFonts w:hint="eastAsia" w:ascii="仿宋_GB2312" w:hAnsi="仿宋_GB2312" w:cs="仿宋_GB2312"/>
        </w:rPr>
        <w:t>全镇建设用地总量</w:t>
      </w:r>
      <w:r>
        <w:rPr>
          <w:rFonts w:ascii="仿宋_GB2312" w:hAnsi="仿宋_GB2312" w:cs="仿宋_GB2312"/>
        </w:rPr>
        <w:t>373.25</w:t>
      </w:r>
      <w:r>
        <w:rPr>
          <w:rFonts w:hint="eastAsia" w:ascii="仿宋_GB2312" w:hAnsi="仿宋_GB2312" w:cs="仿宋_GB2312"/>
        </w:rPr>
        <w:t>公顷，占国土总面积比例仅0.</w:t>
      </w:r>
      <w:r>
        <w:rPr>
          <w:rFonts w:ascii="仿宋_GB2312" w:hAnsi="仿宋_GB2312" w:cs="仿宋_GB2312"/>
        </w:rPr>
        <w:t>49</w:t>
      </w:r>
      <w:r>
        <w:rPr>
          <w:rFonts w:hint="eastAsia" w:ascii="仿宋_GB2312" w:hAnsi="仿宋_GB2312" w:cs="仿宋_GB2312"/>
        </w:rPr>
        <w:t>%。近十年空间拓展较快，尤其旅游业、水产养殖加工业的发展带动了产业用地迅速增加，村庄旅游服务用地有效支撑了旅游业的发展。镇区有序拓展，镇村两级公共服务设施基本高标准建成，城镇空间框架进一步拉开。</w:t>
      </w:r>
    </w:p>
    <w:p w14:paraId="47778C7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主要问题</w:t>
      </w:r>
    </w:p>
    <w:p w14:paraId="6C61C40C">
      <w:pPr>
        <w:pStyle w:val="7"/>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ascii="仿宋_GB2312" w:hAnsi="仿宋_GB2312" w:cs="仿宋_GB2312"/>
          <w:szCs w:val="32"/>
        </w:rPr>
      </w:pPr>
      <w:r>
        <w:rPr>
          <w:rFonts w:hint="eastAsia" w:ascii="楷体_GB2312" w:hAnsi="楷体_GB2312" w:eastAsia="楷体_GB2312" w:cs="楷体_GB2312"/>
          <w:szCs w:val="32"/>
        </w:rPr>
        <w:t>国土空间保护压力较大。</w:t>
      </w:r>
      <w:r>
        <w:rPr>
          <w:rFonts w:hint="eastAsia" w:ascii="仿宋_GB2312" w:hAnsi="仿宋_GB2312" w:eastAsia="仿宋_GB2312" w:cs="仿宋_GB2312"/>
          <w:szCs w:val="32"/>
          <w:lang w:val="en-US" w:eastAsia="zh-CN"/>
        </w:rPr>
        <w:t>国家政策对生态资源环境保护的力度不断增强，同时</w:t>
      </w:r>
      <w:r>
        <w:rPr>
          <w:rFonts w:hint="eastAsia" w:ascii="仿宋_GB2312" w:hAnsi="仿宋_GB2312" w:cs="仿宋_GB2312"/>
          <w:szCs w:val="32"/>
        </w:rPr>
        <w:t>城镇发展对土地资源的需求也日益增大。生态环境保护、耕地保护和可持续发展已成为龙羊峡镇面临的最重要、最艰巨的任务之一。</w:t>
      </w:r>
    </w:p>
    <w:p w14:paraId="5F96492E">
      <w:pPr>
        <w:pStyle w:val="7"/>
        <w:ind w:firstLine="640"/>
        <w:rPr>
          <w:rFonts w:ascii="仿宋_GB2312" w:hAnsi="仿宋_GB2312" w:cs="仿宋_GB2312"/>
        </w:rPr>
      </w:pPr>
      <w:r>
        <w:rPr>
          <w:rFonts w:hint="eastAsia" w:ascii="楷体_GB2312" w:hAnsi="楷体_GB2312" w:eastAsia="楷体_GB2312" w:cs="楷体_GB2312"/>
          <w:szCs w:val="32"/>
        </w:rPr>
        <w:t>资源节约集约利用水平不高。</w:t>
      </w:r>
      <w:r>
        <w:rPr>
          <w:rFonts w:hint="eastAsia" w:ascii="仿宋_GB2312" w:hAnsi="仿宋_GB2312" w:cs="仿宋_GB2312"/>
          <w:bCs/>
        </w:rPr>
        <w:t>建设用地集约利用水平较低，空间布局分散。建设用地地均生产总值偏低，人均城镇建设用地</w:t>
      </w:r>
      <w:r>
        <w:rPr>
          <w:rFonts w:ascii="仿宋_GB2312" w:hAnsi="仿宋_GB2312" w:cs="仿宋_GB2312"/>
          <w:bCs/>
        </w:rPr>
        <w:t>514.77</w:t>
      </w:r>
      <w:r>
        <w:rPr>
          <w:rFonts w:hint="eastAsia" w:ascii="仿宋_GB2312" w:hAnsi="仿宋_GB2312" w:cs="仿宋_GB2312"/>
          <w:bCs/>
        </w:rPr>
        <w:t>平方米，建设用地效益有待提升。</w:t>
      </w:r>
      <w:r>
        <w:rPr>
          <w:rFonts w:hint="eastAsia" w:ascii="仿宋_GB2312" w:hAnsi="仿宋_GB2312" w:cs="仿宋_GB2312"/>
        </w:rPr>
        <w:t>乡村建设用地快速增长，农村居民点人均建设用地面积为</w:t>
      </w:r>
      <w:r>
        <w:rPr>
          <w:rFonts w:ascii="仿宋_GB2312" w:hAnsi="仿宋_GB2312" w:cs="仿宋_GB2312"/>
        </w:rPr>
        <w:t>325.09</w:t>
      </w:r>
      <w:r>
        <w:rPr>
          <w:rFonts w:hint="eastAsia" w:ascii="仿宋_GB2312" w:hAnsi="仿宋_GB2312" w:cs="仿宋_GB2312"/>
        </w:rPr>
        <w:t>平方米/人，土地利用粗放。</w:t>
      </w:r>
    </w:p>
    <w:p w14:paraId="02189EEE">
      <w:pPr>
        <w:spacing w:after="120"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城乡空间特色有待凸显</w:t>
      </w:r>
      <w:r>
        <w:rPr>
          <w:rFonts w:hint="eastAsia" w:ascii="楷体_GB2312" w:hAnsi="楷体_GB2312" w:eastAsia="楷体_GB2312" w:cs="楷体_GB2312"/>
          <w:sz w:val="32"/>
          <w:szCs w:val="24"/>
        </w:rPr>
        <w:t>。</w:t>
      </w:r>
      <w:r>
        <w:rPr>
          <w:rFonts w:hint="eastAsia" w:ascii="Times New Roman" w:hAnsi="Times New Roman" w:eastAsia="仿宋_GB2312" w:cs="Times New Roman"/>
          <w:sz w:val="32"/>
          <w:szCs w:val="24"/>
        </w:rPr>
        <w:t>龙羊峡镇现状城乡风貌较杂乱，空间形态缺乏引导，开敞空间不足，慢行环境品质较差，绿地景观系统建设较为滞后。</w:t>
      </w:r>
      <w:r>
        <w:rPr>
          <w:rFonts w:hint="eastAsia" w:ascii="仿宋_GB2312" w:hAnsi="仿宋_GB2312" w:eastAsia="仿宋_GB2312" w:cs="仿宋_GB2312"/>
          <w:sz w:val="32"/>
          <w:szCs w:val="32"/>
        </w:rPr>
        <w:t>镇区绿化结构单一，观赏性有待提升，缺乏整体设计和标志性节点；公共空间不足，需要新增公共空间以增加居民生活的幸福感；建筑色彩繁杂，缺少标志节点建筑物，风貌亟待整体打造。</w:t>
      </w:r>
    </w:p>
    <w:p w14:paraId="2D0F5E28">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产业发展布局有待优化。</w:t>
      </w:r>
      <w:r>
        <w:rPr>
          <w:rFonts w:hint="eastAsia" w:ascii="仿宋_GB2312" w:hAnsi="仿宋_GB2312" w:eastAsia="仿宋_GB2312" w:cs="仿宋_GB2312"/>
          <w:sz w:val="32"/>
          <w:szCs w:val="32"/>
        </w:rPr>
        <w:t>龙羊峡镇城镇经济以第一产业为主，第二产业以三文鱼加工为主，虽发展前景良好，但种类相对单一，第三产业服务水平低下。农牧业以传统方式发展，速度缓慢，受自然因素影响较大。农牧产品深加工产业多为初级农产品，向下游产业延伸较短，产品附加值有待提升。</w:t>
      </w:r>
    </w:p>
    <w:p w14:paraId="24BA2BA4">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公共设施服务质量有待提升。</w:t>
      </w:r>
      <w:r>
        <w:rPr>
          <w:rFonts w:hint="eastAsia" w:ascii="仿宋_GB2312" w:hAnsi="仿宋_GB2312" w:eastAsia="仿宋_GB2312" w:cs="仿宋_GB2312"/>
          <w:sz w:val="32"/>
          <w:szCs w:val="32"/>
        </w:rPr>
        <w:t>龙羊峡镇镇区服务设施配置较为齐全，但村庄居民点服务设施不够完善。旅游配套设施品质有待提高，缺乏特色化、多样化的住宿、餐饮及购物等旅游设施，公用设施品质和数量有待进一步提高。</w:t>
      </w:r>
    </w:p>
    <w:p w14:paraId="01D4F661">
      <w:pPr>
        <w:pStyle w:val="3"/>
        <w:numPr>
          <w:ilvl w:val="1"/>
          <w:numId w:val="3"/>
        </w:numPr>
        <w:spacing w:before="100" w:after="100" w:line="400" w:lineRule="exact"/>
        <w:ind w:firstLine="0"/>
        <w:jc w:val="center"/>
        <w:rPr>
          <w:rFonts w:ascii="Arial" w:hAnsi="Arial" w:eastAsia="黑体" w:cs="Times New Roman"/>
          <w:b w:val="0"/>
          <w:lang w:val="zh-CN"/>
        </w:rPr>
      </w:pPr>
      <w:bookmarkStart w:id="16" w:name="_Toc32224"/>
      <w:r>
        <w:rPr>
          <w:rFonts w:hint="eastAsia" w:ascii="Arial" w:hAnsi="Arial" w:eastAsia="黑体" w:cs="Times New Roman"/>
          <w:b w:val="0"/>
          <w:lang w:val="zh-CN"/>
        </w:rPr>
        <w:t>挑战与机遇</w:t>
      </w:r>
      <w:bookmarkEnd w:id="16"/>
    </w:p>
    <w:p w14:paraId="25FFEFC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国土空间开发保护机遇</w:t>
      </w:r>
    </w:p>
    <w:p w14:paraId="36481E04">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区位交通优势挖掘旅游新潜力。</w:t>
      </w:r>
      <w:r>
        <w:rPr>
          <w:rFonts w:hint="eastAsia" w:ascii="仿宋_GB2312" w:hAnsi="仿宋_GB2312" w:eastAsia="仿宋_GB2312" w:cs="仿宋_GB2312"/>
          <w:sz w:val="32"/>
          <w:szCs w:val="32"/>
        </w:rPr>
        <w:t>规划</w:t>
      </w:r>
      <w:r>
        <w:rPr>
          <w:rFonts w:hint="eastAsia" w:ascii="仿宋_GB2312" w:hAnsi="仿宋_GB2312" w:eastAsia="仿宋_GB2312" w:cs="仿宋_GB2312"/>
          <w:sz w:val="32"/>
          <w:szCs w:val="32"/>
          <w:lang w:val="en-US" w:eastAsia="zh-CN"/>
        </w:rPr>
        <w:t>国道310进行改扩建，并规划新建铁盖至龙羊峡大桥、贵南县龙羊峡黄河大桥等重大交通建设项目，对龙羊峡与周边城镇</w:t>
      </w:r>
      <w:r>
        <w:rPr>
          <w:rFonts w:hint="eastAsia" w:ascii="仿宋_GB2312" w:hAnsi="仿宋_GB2312" w:eastAsia="仿宋_GB2312" w:cs="仿宋_GB2312"/>
          <w:sz w:val="32"/>
          <w:szCs w:val="32"/>
        </w:rPr>
        <w:t>实现互联互通，促进景区协同联动，提升全域旅游发展水平具有重要意义。</w:t>
      </w:r>
    </w:p>
    <w:p w14:paraId="47E51215">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国省重大战略实施提供发展新机遇。</w:t>
      </w:r>
      <w:r>
        <w:rPr>
          <w:rFonts w:hint="eastAsia" w:ascii="仿宋_GB2312" w:hAnsi="仿宋_GB2312" w:eastAsia="仿宋_GB2312" w:cs="仿宋_GB2312"/>
          <w:sz w:val="32"/>
          <w:szCs w:val="32"/>
        </w:rPr>
        <w:t>共和是兰州-西宁城市群节点城市，龙羊峡镇作为共和县的重点城镇，在区域交通互联互通、绿色产业集聚、生态价值转换方面迎来新的机遇。区域交通条件的改善，龙羊峡镇作为重点城镇的职能将进一步凸显；旅游集散职能将进一步增强，特色小（城）镇建设进程加快，促进龙羊峡镇建设成为沿黄地区旅游综合服务中心。</w:t>
      </w:r>
    </w:p>
    <w:p w14:paraId="2397AC5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国土空间开发保护挑战</w:t>
      </w:r>
    </w:p>
    <w:p w14:paraId="7824C55C">
      <w:pPr>
        <w:spacing w:line="600" w:lineRule="exact"/>
        <w:ind w:firstLine="560"/>
        <w:rPr>
          <w:rFonts w:ascii="楷体_GB2312" w:hAnsi="楷体_GB2312" w:eastAsia="楷体_GB2312" w:cs="楷体_GB2312"/>
          <w:sz w:val="32"/>
          <w:szCs w:val="32"/>
        </w:rPr>
      </w:pPr>
      <w:r>
        <w:rPr>
          <w:rFonts w:hint="eastAsia" w:ascii="楷体_GB2312" w:hAnsi="楷体_GB2312" w:eastAsia="楷体_GB2312" w:cs="楷体_GB2312"/>
          <w:sz w:val="32"/>
          <w:szCs w:val="32"/>
        </w:rPr>
        <w:t>生态文明建设对国土空间生态安全提出新要求。</w:t>
      </w:r>
      <w:r>
        <w:rPr>
          <w:rFonts w:hint="eastAsia" w:ascii="仿宋_GB2312" w:hAnsi="仿宋_GB2312" w:eastAsia="仿宋_GB2312" w:cs="仿宋_GB2312"/>
          <w:sz w:val="32"/>
          <w:szCs w:val="32"/>
        </w:rPr>
        <w:t>龙羊峡镇生态系统类型多样、生态保护重要性突出。生态约束趋紧要求转变生产生活方式，加强龙羊峡水库及周边的山水林田湖草沙系统治理，提升生态系统碳汇能力。</w:t>
      </w:r>
    </w:p>
    <w:p w14:paraId="68FCEBAF">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高质量发展对优化国土空间布局指引新方向。</w:t>
      </w:r>
      <w:r>
        <w:rPr>
          <w:rFonts w:hint="eastAsia" w:ascii="仿宋_GB2312" w:hAnsi="仿宋_GB2312" w:eastAsia="仿宋_GB2312" w:cs="仿宋_GB2312"/>
          <w:sz w:val="32"/>
          <w:szCs w:val="32"/>
        </w:rPr>
        <w:t>高质量发展是全面建设社会主义现代化国家的首要任务，国土空间作为高质量发展的空间载体，与经济社会的高质量发展相辅相成。应以全新视角看待和处理国土空间开发与保护的关系，高标准保护、高效率开发、高水平协调、高效能治理，构建高质量发展的国土空间布局。</w:t>
      </w:r>
    </w:p>
    <w:p w14:paraId="527D0EAF">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自然灾害对国土空间安全韧性带来新挑战。</w:t>
      </w:r>
      <w:r>
        <w:rPr>
          <w:rFonts w:hint="eastAsia" w:ascii="仿宋_GB2312" w:hAnsi="仿宋_GB2312" w:eastAsia="仿宋_GB2312" w:cs="仿宋_GB2312"/>
          <w:sz w:val="32"/>
          <w:szCs w:val="32"/>
        </w:rPr>
        <w:t>龙羊峡镇地质灾害主要包括泥石流、滑坡、崩塌等，地质灾害高风险区面积</w:t>
      </w:r>
      <w:r>
        <w:rPr>
          <w:rFonts w:ascii="仿宋_GB2312" w:hAnsi="仿宋_GB2312" w:eastAsia="仿宋_GB2312" w:cs="仿宋_GB2312"/>
          <w:sz w:val="32"/>
          <w:szCs w:val="32"/>
        </w:rPr>
        <w:t>267.98</w:t>
      </w:r>
      <w:r>
        <w:rPr>
          <w:rFonts w:hint="eastAsia" w:ascii="仿宋_GB2312" w:hAnsi="仿宋_GB2312" w:eastAsia="仿宋_GB2312" w:cs="仿宋_GB2312"/>
          <w:sz w:val="32"/>
          <w:szCs w:val="32"/>
        </w:rPr>
        <w:t>平方千米，地质灾害中风险区面积</w:t>
      </w:r>
      <w:r>
        <w:rPr>
          <w:rFonts w:ascii="仿宋_GB2312" w:hAnsi="仿宋_GB2312" w:eastAsia="仿宋_GB2312" w:cs="仿宋_GB2312"/>
          <w:sz w:val="32"/>
          <w:szCs w:val="32"/>
        </w:rPr>
        <w:t>241.34</w:t>
      </w:r>
      <w:r>
        <w:rPr>
          <w:rFonts w:hint="eastAsia" w:ascii="仿宋_GB2312" w:hAnsi="仿宋_GB2312" w:eastAsia="仿宋_GB2312" w:cs="仿宋_GB2312"/>
          <w:sz w:val="32"/>
          <w:szCs w:val="32"/>
        </w:rPr>
        <w:t>平方千米，地质灾害低风险区面积</w:t>
      </w:r>
      <w:r>
        <w:rPr>
          <w:rFonts w:ascii="仿宋_GB2312" w:hAnsi="仿宋_GB2312" w:eastAsia="仿宋_GB2312" w:cs="仿宋_GB2312"/>
          <w:sz w:val="32"/>
          <w:szCs w:val="32"/>
        </w:rPr>
        <w:t>57.74</w:t>
      </w:r>
      <w:r>
        <w:rPr>
          <w:rFonts w:hint="eastAsia" w:ascii="仿宋_GB2312" w:hAnsi="仿宋_GB2312" w:eastAsia="仿宋_GB2312" w:cs="仿宋_GB2312"/>
          <w:sz w:val="32"/>
          <w:szCs w:val="32"/>
        </w:rPr>
        <w:t>平方千米。气象灾害主要包括暴雨洪涝、冰雹、干旱、霜冻、连阴雨、雪灾等，潜在风险隐患多，季节性明显，影响区域广泛，防灾减灾任务繁重。</w:t>
      </w:r>
    </w:p>
    <w:p w14:paraId="74EDFFCE">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人民群众对共同富裕美好生活向往对空间品质建设提出新任务。</w:t>
      </w:r>
      <w:r>
        <w:rPr>
          <w:rFonts w:hint="eastAsia" w:ascii="仿宋_GB2312" w:hAnsi="仿宋_GB2312" w:eastAsia="仿宋_GB2312" w:cs="仿宋_GB2312"/>
          <w:sz w:val="32"/>
          <w:szCs w:val="32"/>
        </w:rPr>
        <w:t>党的二十大报告提出的“中国式现代化”，是全体人民共同富裕的现代化，要求国土空间规划回归以人为本，聚焦民生，完善各类公共服务设施、提高城乡建设品质，建设宜居、宜业、宜游的城乡空间。</w:t>
      </w:r>
    </w:p>
    <w:p w14:paraId="1A2C4E73">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14:paraId="0A0F6780">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17" w:name="_Toc28885"/>
      <w:r>
        <w:rPr>
          <w:rFonts w:hint="eastAsia" w:ascii="Times New Roman" w:hAnsi="Times New Roman" w:eastAsia="方正小标宋简体" w:cs="Times New Roman"/>
          <w:b w:val="0"/>
          <w:bCs w:val="0"/>
          <w:sz w:val="36"/>
          <w:szCs w:val="36"/>
        </w:rPr>
        <w:t>指导思想与目标战略</w:t>
      </w:r>
      <w:bookmarkEnd w:id="17"/>
    </w:p>
    <w:p w14:paraId="3F2CED74">
      <w:pPr>
        <w:pStyle w:val="3"/>
        <w:numPr>
          <w:ilvl w:val="1"/>
          <w:numId w:val="5"/>
        </w:numPr>
        <w:spacing w:before="100" w:after="100" w:line="400" w:lineRule="exact"/>
        <w:ind w:firstLine="0"/>
        <w:jc w:val="center"/>
        <w:rPr>
          <w:rFonts w:ascii="Arial" w:hAnsi="Arial" w:eastAsia="黑体" w:cs="Times New Roman"/>
          <w:b w:val="0"/>
          <w:lang w:val="zh-CN"/>
        </w:rPr>
      </w:pPr>
      <w:bookmarkStart w:id="18" w:name="_Toc375"/>
      <w:r>
        <w:rPr>
          <w:rFonts w:hint="eastAsia" w:ascii="Arial" w:hAnsi="Arial" w:eastAsia="黑体" w:cs="Times New Roman"/>
          <w:b w:val="0"/>
          <w:lang w:val="zh-CN"/>
        </w:rPr>
        <w:t>指导思想和基本原则</w:t>
      </w:r>
      <w:bookmarkEnd w:id="18"/>
    </w:p>
    <w:p w14:paraId="5BB09AC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指导思想</w:t>
      </w:r>
    </w:p>
    <w:p w14:paraId="5E31100F">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坚持以习近平新时代中国特色社会主义思想为指导，全面贯彻落实党的二十大和二十届</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细化落实《共和县国土空间总体规划（2021—2035年）》，统筹高质量发展和高水平的安全，统筹划定落实耕地和永久基本农田、生态保护红线、城镇开发边界三条控制线，优化农业、生态、城镇等功能空间，整体谋划国土空间开发保护新格局，强化国土空间生态保护与修复，提高国土空间资源利用效率，为支撑龙羊峡镇更高质量、更有效率、更加公平、更可持续、更为安全的发展，建设人与自然和谐共生的现代化筑牢根基。</w:t>
      </w:r>
    </w:p>
    <w:p w14:paraId="277D111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基本原则</w:t>
      </w:r>
    </w:p>
    <w:p w14:paraId="42DA7777">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安全底线原则，</w:t>
      </w:r>
      <w:r>
        <w:rPr>
          <w:rFonts w:hint="eastAsia" w:ascii="仿宋_GB2312" w:hAnsi="仿宋_GB2312" w:eastAsia="仿宋_GB2312" w:cs="仿宋_GB2312"/>
          <w:sz w:val="32"/>
          <w:szCs w:val="32"/>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3C723C85">
      <w:pPr>
        <w:pStyle w:val="7"/>
        <w:ind w:firstLine="640"/>
      </w:pPr>
      <w:r>
        <w:rPr>
          <w:rFonts w:hint="eastAsia" w:ascii="楷体_GB2312" w:hAnsi="楷体_GB2312" w:eastAsia="楷体_GB2312" w:cs="楷体_GB2312"/>
          <w:szCs w:val="32"/>
        </w:rPr>
        <w:t>生态优先原则</w:t>
      </w:r>
      <w:r>
        <w:rPr>
          <w:rFonts w:hint="eastAsia" w:ascii="楷体_GB2312" w:hAnsi="楷体_GB2312" w:eastAsia="楷体_GB2312" w:cs="楷体_GB2312"/>
        </w:rPr>
        <w:t>，</w:t>
      </w:r>
      <w:r>
        <w:t>在生态文明思想和国家总体安全观指导下</w:t>
      </w:r>
      <w:r>
        <w:rPr>
          <w:rFonts w:hint="eastAsia"/>
        </w:rPr>
        <w:t>，</w:t>
      </w:r>
      <w:r>
        <w:t>探索内涵式</w:t>
      </w:r>
      <w:r>
        <w:rPr>
          <w:rFonts w:hint="eastAsia"/>
        </w:rPr>
        <w:t>、</w:t>
      </w:r>
      <w:r>
        <w:t>集约型</w:t>
      </w:r>
      <w:r>
        <w:rPr>
          <w:rFonts w:hint="eastAsia"/>
        </w:rPr>
        <w:t>、</w:t>
      </w:r>
      <w:r>
        <w:t>绿色化的高质量发展路径</w:t>
      </w:r>
      <w:r>
        <w:rPr>
          <w:rFonts w:hint="eastAsia"/>
        </w:rPr>
        <w:t>，坚持山水林田湖草沙生命共同体理念，加强整体保护与自然修复，全面筑牢国家生态安全屏障。</w:t>
      </w:r>
    </w:p>
    <w:p w14:paraId="575117F8">
      <w:pPr>
        <w:pStyle w:val="7"/>
        <w:ind w:firstLine="640"/>
      </w:pPr>
      <w:r>
        <w:rPr>
          <w:rFonts w:hint="eastAsia" w:ascii="楷体_GB2312" w:hAnsi="楷体_GB2312" w:eastAsia="楷体_GB2312" w:cs="楷体_GB2312"/>
          <w:szCs w:val="32"/>
        </w:rPr>
        <w:t>以人为本原则</w:t>
      </w:r>
      <w:r>
        <w:rPr>
          <w:rFonts w:hint="eastAsia" w:ascii="楷体_GB2312" w:hAnsi="楷体_GB2312" w:eastAsia="楷体_GB2312" w:cs="楷体_GB2312"/>
        </w:rPr>
        <w:t>，</w:t>
      </w:r>
      <w:r>
        <w:rPr>
          <w:rFonts w:hint="eastAsia"/>
        </w:rPr>
        <w:t>从社会全面进步和人的全面发展出发，塑造高品质城乡人居环境，构建高水平均等化的城乡公共服务体系，建立便捷完善的城乡交通和基础设施网络，不断提升人民群众获得感、幸福感、安全感。</w:t>
      </w:r>
    </w:p>
    <w:p w14:paraId="6514C46E">
      <w:pPr>
        <w:pStyle w:val="7"/>
        <w:ind w:firstLine="640"/>
      </w:pPr>
      <w:r>
        <w:rPr>
          <w:rFonts w:hint="eastAsia" w:ascii="楷体_GB2312" w:hAnsi="楷体_GB2312" w:eastAsia="楷体_GB2312" w:cs="楷体_GB2312"/>
          <w:szCs w:val="32"/>
        </w:rPr>
        <w:t>协同融合原则</w:t>
      </w:r>
      <w:r>
        <w:rPr>
          <w:rFonts w:hint="eastAsia" w:ascii="楷体_GB2312" w:hAnsi="楷体_GB2312" w:eastAsia="楷体_GB2312" w:cs="楷体_GB2312"/>
        </w:rPr>
        <w:t>，</w:t>
      </w:r>
      <w:r>
        <w:rPr>
          <w:rFonts w:hint="eastAsia"/>
        </w:rPr>
        <w:t>坚持区域协同，积极融入一带一路、兰西城镇群等区域战略，助力泛共和盆地城镇区绿色崛起，落实新型城镇化、乡村振兴、高原美丽城镇建设等战略，促进城乡协调发展。</w:t>
      </w:r>
    </w:p>
    <w:p w14:paraId="1FBDAD5A">
      <w:pPr>
        <w:pStyle w:val="7"/>
        <w:ind w:firstLine="640"/>
      </w:pPr>
      <w:r>
        <w:rPr>
          <w:rFonts w:hint="eastAsia" w:ascii="楷体_GB2312" w:hAnsi="楷体_GB2312" w:eastAsia="楷体_GB2312" w:cs="楷体_GB2312"/>
          <w:szCs w:val="32"/>
        </w:rPr>
        <w:t>因地制宜原则</w:t>
      </w:r>
      <w:r>
        <w:rPr>
          <w:rFonts w:hint="eastAsia" w:ascii="楷体_GB2312" w:hAnsi="楷体_GB2312" w:eastAsia="楷体_GB2312" w:cs="楷体_GB2312"/>
        </w:rPr>
        <w:t>，</w:t>
      </w:r>
      <w:r>
        <w:t>立足龙羊峡镇自然和人文禀赋</w:t>
      </w:r>
      <w:r>
        <w:rPr>
          <w:rFonts w:hint="eastAsia"/>
        </w:rPr>
        <w:t>、</w:t>
      </w:r>
      <w:r>
        <w:t>资源环境条件</w:t>
      </w:r>
      <w:r>
        <w:rPr>
          <w:rFonts w:hint="eastAsia"/>
        </w:rPr>
        <w:t>、</w:t>
      </w:r>
      <w:r>
        <w:t>发展阶段特征</w:t>
      </w:r>
      <w:r>
        <w:rPr>
          <w:rFonts w:hint="eastAsia"/>
        </w:rPr>
        <w:t>、区域地理格局、</w:t>
      </w:r>
      <w:r>
        <w:t>民族文化特色</w:t>
      </w:r>
      <w:r>
        <w:rPr>
          <w:rFonts w:hint="eastAsia"/>
        </w:rPr>
        <w:t>，充分体现地域特征、民族特色、时代风貌，突出规划编制的针对性、实用性和特色化。</w:t>
      </w:r>
    </w:p>
    <w:p w14:paraId="4FBAAD62">
      <w:pPr>
        <w:pStyle w:val="3"/>
        <w:numPr>
          <w:ilvl w:val="1"/>
          <w:numId w:val="5"/>
        </w:numPr>
        <w:spacing w:before="100" w:after="100" w:line="400" w:lineRule="exact"/>
        <w:ind w:firstLine="0"/>
        <w:jc w:val="center"/>
        <w:rPr>
          <w:rFonts w:ascii="Arial" w:hAnsi="Arial" w:eastAsia="黑体" w:cs="Times New Roman"/>
          <w:b w:val="0"/>
          <w:lang w:val="zh-CN"/>
        </w:rPr>
      </w:pPr>
      <w:bookmarkStart w:id="19" w:name="_Toc27644"/>
      <w:r>
        <w:rPr>
          <w:rFonts w:hint="eastAsia" w:ascii="Arial" w:hAnsi="Arial" w:eastAsia="黑体" w:cs="Times New Roman"/>
          <w:b w:val="0"/>
          <w:lang w:val="zh-CN"/>
        </w:rPr>
        <w:t>总体定位</w:t>
      </w:r>
      <w:bookmarkEnd w:id="19"/>
    </w:p>
    <w:p w14:paraId="6C66683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总体定位</w:t>
      </w:r>
    </w:p>
    <w:p w14:paraId="344885E5">
      <w:pPr>
        <w:pStyle w:val="7"/>
        <w:ind w:firstLine="640"/>
        <w:rPr>
          <w:rFonts w:ascii="仿宋_GB2312" w:hAnsi="仿宋_GB2312" w:cs="仿宋_GB2312"/>
          <w:szCs w:val="32"/>
        </w:rPr>
      </w:pPr>
      <w:r>
        <w:rPr>
          <w:rFonts w:hint="eastAsia" w:ascii="仿宋_GB2312" w:hAnsi="仿宋_GB2312" w:cs="仿宋_GB2312"/>
          <w:szCs w:val="32"/>
        </w:rPr>
        <w:t>落实县级国土空间规划对龙羊峡镇的城镇定位：沿黄地区黄河文化传承保护重镇；承载红色水利旅游、体育旅游、工业旅游的全国特色小镇；湖峡共舞、文水和合的高原生态小镇；共和县东南部生态宜居重点城镇。</w:t>
      </w:r>
    </w:p>
    <w:p w14:paraId="5EAB8294">
      <w:pPr>
        <w:pStyle w:val="3"/>
        <w:numPr>
          <w:ilvl w:val="1"/>
          <w:numId w:val="5"/>
        </w:numPr>
        <w:spacing w:before="100" w:after="100" w:line="400" w:lineRule="exact"/>
        <w:ind w:firstLine="0"/>
        <w:jc w:val="center"/>
        <w:rPr>
          <w:rFonts w:ascii="Arial" w:hAnsi="Arial" w:eastAsia="黑体" w:cs="Times New Roman"/>
          <w:b w:val="0"/>
          <w:lang w:val="zh-CN"/>
        </w:rPr>
      </w:pPr>
      <w:bookmarkStart w:id="20" w:name="_Toc3163"/>
      <w:r>
        <w:rPr>
          <w:rFonts w:hint="eastAsia" w:ascii="Arial" w:hAnsi="Arial" w:eastAsia="黑体" w:cs="Times New Roman"/>
          <w:b w:val="0"/>
          <w:lang w:val="zh-CN"/>
        </w:rPr>
        <w:t>开发保护目标与战略</w:t>
      </w:r>
      <w:bookmarkEnd w:id="20"/>
    </w:p>
    <w:p w14:paraId="0E09374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国土空间开发保护目标</w:t>
      </w:r>
    </w:p>
    <w:p w14:paraId="41CA2269">
      <w:pPr>
        <w:pStyle w:val="7"/>
        <w:ind w:firstLine="640"/>
        <w:rPr>
          <w:rFonts w:ascii="仿宋_GB2312" w:hAnsi="仿宋_GB2312" w:cs="仿宋_GB2312"/>
          <w:szCs w:val="32"/>
        </w:rPr>
      </w:pPr>
      <w:r>
        <w:rPr>
          <w:rFonts w:hint="eastAsia" w:ascii="仿宋_GB2312" w:hAnsi="仿宋_GB2312" w:cs="仿宋_GB2312"/>
          <w:szCs w:val="32"/>
        </w:rPr>
        <w:t>2035年，围绕二〇三五年社会经济发展远景目标，强化空间保护与发展支撑，充分保障社会经济发展总体目标实现的空间基础，全面落实生态文明建设和高质量发展的要求。夯实龙羊峡镇重要生态屏障地位，优化山水林田湖草沙的镇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016F4A39">
      <w:pPr>
        <w:pStyle w:val="7"/>
        <w:ind w:firstLine="640"/>
        <w:rPr>
          <w:rFonts w:ascii="仿宋_GB2312" w:hAnsi="仿宋_GB2312" w:cs="仿宋_GB2312"/>
          <w:szCs w:val="32"/>
        </w:rPr>
      </w:pPr>
      <w:r>
        <w:rPr>
          <w:rFonts w:hint="eastAsia" w:ascii="楷体_GB2312" w:hAnsi="楷体_GB2312" w:eastAsia="楷体_GB2312" w:cs="楷体_GB2312"/>
          <w:szCs w:val="32"/>
        </w:rPr>
        <w:t>国土空间保护水平大幅提高。</w:t>
      </w:r>
      <w:r>
        <w:rPr>
          <w:rFonts w:hint="eastAsia" w:ascii="仿宋_GB2312" w:hAnsi="仿宋_GB2312" w:cs="仿宋_GB2312"/>
          <w:szCs w:val="32"/>
        </w:rPr>
        <w:t>耕地和永久基本农田、生态保护红线等安全底线得到严格落实。生态系统得到全面保护，生态脆弱和退化严重区域得到有效治理，生态系统更加稳固，生态功能大幅提升，生态环境持续向好，生态安全屏障得到有效保障。</w:t>
      </w:r>
    </w:p>
    <w:p w14:paraId="21FB0B45">
      <w:pPr>
        <w:pStyle w:val="7"/>
        <w:ind w:firstLine="640"/>
        <w:rPr>
          <w:rFonts w:ascii="仿宋_GB2312" w:hAnsi="仿宋_GB2312" w:cs="仿宋_GB2312"/>
          <w:szCs w:val="32"/>
        </w:rPr>
      </w:pPr>
      <w:r>
        <w:rPr>
          <w:rFonts w:hint="eastAsia" w:ascii="楷体_GB2312" w:hAnsi="楷体_GB2312" w:eastAsia="楷体_GB2312" w:cs="楷体_GB2312"/>
          <w:szCs w:val="32"/>
        </w:rPr>
        <w:t>国土空间开发效率显著提升。</w:t>
      </w:r>
      <w:r>
        <w:rPr>
          <w:rFonts w:hint="eastAsia" w:ascii="仿宋_GB2312" w:hAnsi="仿宋_GB2312" w:cs="仿宋_GB2312"/>
          <w:szCs w:val="32"/>
        </w:rPr>
        <w:t>城乡空间集约高效，城镇空间有序集聚，自然资源利用效率大幅提升，生产生活方式绿色转型成效显著。</w:t>
      </w:r>
    </w:p>
    <w:p w14:paraId="5CEFE9CA">
      <w:pPr>
        <w:pStyle w:val="7"/>
        <w:ind w:firstLine="640"/>
        <w:rPr>
          <w:rFonts w:ascii="仿宋_GB2312" w:hAnsi="仿宋_GB2312"/>
          <w:szCs w:val="32"/>
        </w:rPr>
      </w:pPr>
      <w:r>
        <w:rPr>
          <w:rFonts w:hint="eastAsia" w:ascii="楷体_GB2312" w:hAnsi="楷体_GB2312" w:eastAsia="楷体_GB2312" w:cs="楷体_GB2312"/>
          <w:szCs w:val="32"/>
        </w:rPr>
        <w:t>国土空间支撑能力稳步增强。</w:t>
      </w:r>
      <w:r>
        <w:rPr>
          <w:rFonts w:hint="eastAsia" w:ascii="仿宋_GB2312" w:hAnsi="仿宋_GB2312" w:cs="仿宋_GB2312"/>
          <w:szCs w:val="32"/>
        </w:rPr>
        <w:t>现代</w:t>
      </w:r>
      <w:r>
        <w:rPr>
          <w:rFonts w:hint="eastAsia" w:ascii="仿宋_GB2312" w:hAnsi="仿宋_GB2312"/>
          <w:szCs w:val="32"/>
        </w:rPr>
        <w:t>综合交通网络逐渐完善，国土空间对外联通能力和开放度全面增强，与周边城镇联系更加紧密。水利、能源、防灾减灾等基础设施体系建设得到有力保障,应对各类灾害的风险防范能力明显提升。</w:t>
      </w:r>
    </w:p>
    <w:p w14:paraId="465BC82E">
      <w:pPr>
        <w:pStyle w:val="7"/>
        <w:ind w:firstLine="640"/>
      </w:pPr>
      <w:r>
        <w:rPr>
          <w:rFonts w:hint="eastAsia" w:ascii="楷体_GB2312" w:hAnsi="楷体_GB2312" w:eastAsia="楷体_GB2312" w:cs="楷体_GB2312"/>
        </w:rPr>
        <w:t>国土空间品质持续提高。</w:t>
      </w:r>
      <w:r>
        <w:rPr>
          <w:rFonts w:hint="eastAsia"/>
        </w:rPr>
        <w:t>城乡社区生活圈建成全覆盖，人居环境品质得到全面增强，城乡基本公共服务实现均等化，乡村振兴战略取得实质进展。文化和自然遗产得到有效保护传承，凸显龙羊峡镇的城镇形象和龙羊峡水库景区的特色。</w:t>
      </w:r>
    </w:p>
    <w:p w14:paraId="736996F0">
      <w:pPr>
        <w:pStyle w:val="23"/>
        <w:rPr>
          <w:rFonts w:hint="eastAsia" w:ascii="Cambria" w:hAnsi="Cambria"/>
          <w:bCs/>
          <w:sz w:val="32"/>
          <w:szCs w:val="36"/>
        </w:rPr>
      </w:pPr>
      <w:r>
        <w:rPr>
          <w:rFonts w:hint="eastAsia" w:ascii="Cambria" w:hAnsi="Cambria"/>
          <w:bCs/>
          <w:sz w:val="32"/>
          <w:szCs w:val="36"/>
        </w:rPr>
        <w:t>国土空间开发保护主要指标</w:t>
      </w:r>
    </w:p>
    <w:tbl>
      <w:tblPr>
        <w:tblStyle w:val="14"/>
        <w:tblW w:w="5387" w:type="pct"/>
        <w:tblInd w:w="-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1699"/>
        <w:gridCol w:w="1829"/>
        <w:gridCol w:w="1034"/>
        <w:gridCol w:w="1207"/>
        <w:gridCol w:w="1212"/>
        <w:gridCol w:w="847"/>
        <w:gridCol w:w="709"/>
      </w:tblGrid>
      <w:tr w14:paraId="718EC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31F0E">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序号</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01816">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指标项</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1CA06">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基期值2020年</w:t>
            </w:r>
          </w:p>
        </w:tc>
        <w:tc>
          <w:tcPr>
            <w:tcW w:w="13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EA28E">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目标值</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2B5A3">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指标属性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95F0A">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指标层级</w:t>
            </w:r>
          </w:p>
        </w:tc>
      </w:tr>
      <w:tr w14:paraId="75A0E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78A94">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2381F">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0DAEB">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35EDC">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2025年</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E3FF">
            <w:pPr>
              <w:widowControl/>
              <w:spacing w:line="500" w:lineRule="exact"/>
              <w:jc w:val="center"/>
              <w:textAlignment w:val="center"/>
              <w:rPr>
                <w:rFonts w:hint="eastAsia"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val="en-US" w:eastAsia="zh-CN" w:bidi="ar"/>
              </w:rPr>
              <w:t>2035年</w:t>
            </w: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FC35">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5ABF">
            <w:pPr>
              <w:widowControl/>
              <w:spacing w:line="500" w:lineRule="exact"/>
              <w:jc w:val="center"/>
              <w:textAlignment w:val="center"/>
              <w:rPr>
                <w:rFonts w:hint="eastAsia" w:ascii="仿宋_GB2312" w:hAnsi="仿宋_GB2312" w:eastAsia="仿宋_GB2312" w:cs="仿宋_GB2312"/>
                <w:b/>
                <w:bCs/>
                <w:kern w:val="0"/>
                <w:szCs w:val="21"/>
                <w:lang w:bidi="ar"/>
              </w:rPr>
            </w:pPr>
          </w:p>
        </w:tc>
      </w:tr>
      <w:tr w14:paraId="14BF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18616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一、空间底线</w:t>
            </w:r>
          </w:p>
        </w:tc>
      </w:tr>
      <w:tr w14:paraId="4C33B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0F26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103D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生态保护红线面积（平方千米）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6E2C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1A00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0898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0239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9EB1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6E6B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11DC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0E6B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793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0255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4792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D806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01B2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4CB3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EF7D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03EF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用水总量（亿立方米）</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F3AF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5B0B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依据上级下达指标确定</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9E0B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依据上级下达指标确定</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24D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D02B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1173E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7B0F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3</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DC36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永久基本农田保护面积（万亩）</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59EF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0.9475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3475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≥0.9475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2C4D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≥0.9475</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0775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4F96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14EC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C42F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7207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E87BF">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8E33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D8CD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CBE9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D730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2EDD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C85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4</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7F3E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耕地保有量（万亩）</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D1C8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1.3662</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1E86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≥1.3662</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8E7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≥1.3662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5A8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A09C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7B529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7E49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7356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城镇开发边界扩展倍数</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CFA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78A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≤1.05</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76E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433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141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4AD09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CFA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6</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89BB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森林覆盖率（%）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42F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2.57</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27F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≥2.57</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E7F0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≥2.57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09C3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F1FA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60600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86D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3369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草原综合植被盖度（%）</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E3F7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8E13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≥54.00</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D000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≥56.03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50E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8734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21E5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7957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5B55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湿地保护率（%）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9F12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18</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F21F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依据上级下达任务确定</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40DE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依据上级下达任务确定</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C94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78F6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09E2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0F02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91F4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水域空间保有量（万亩）</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FF69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 xml:space="preserve">34.34 </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3304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≥34.34</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86AE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≥34.34</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5B67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FAF2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0FB49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17BB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6530B">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9D79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A46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A12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DD8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CBD81">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42401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B3E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w:t>
            </w:r>
          </w:p>
        </w:tc>
        <w:tc>
          <w:tcPr>
            <w:tcW w:w="1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4C27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自然和文化遗产（处）</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B0A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A782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D5D6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629A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4B46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03D8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9A3DA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二、空间结构与效率</w:t>
            </w:r>
          </w:p>
        </w:tc>
      </w:tr>
      <w:tr w14:paraId="58855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584E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w:t>
            </w:r>
          </w:p>
        </w:tc>
        <w:tc>
          <w:tcPr>
            <w:tcW w:w="1921" w:type="pct"/>
            <w:gridSpan w:val="2"/>
            <w:tcBorders>
              <w:top w:val="single" w:color="000000" w:sz="4" w:space="0"/>
              <w:left w:val="single" w:color="000000" w:sz="4" w:space="0"/>
              <w:bottom w:val="nil"/>
              <w:right w:val="single" w:color="000000" w:sz="4" w:space="0"/>
            </w:tcBorders>
            <w:shd w:val="clear" w:color="auto" w:fill="auto"/>
            <w:vAlign w:val="center"/>
          </w:tcPr>
          <w:p w14:paraId="4F73FBA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人均村庄建设用地面积（平方米）</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3B7A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246.52</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8E2B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≤200</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F23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≤180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CDD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3A8B77F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576D4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54B8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11</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1C4C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人均城镇建设用地面积（平方米）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EC15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136.55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B2AD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≤140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1F07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4144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52E9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2D0A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9E4EF">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971B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48B9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576C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340C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D17BF">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24F8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4865B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0471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12</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E20F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人均应急避难场所面积（平方米）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22AD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0.8</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F220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4AA1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≥1.5</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9FAE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59F1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181B5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1D03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4120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61DA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9B47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331E5">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899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038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7FA83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BD5A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13</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6B9F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道路网密度（千米/平方千米）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0466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6.87</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74DF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≥7.8</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6107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B19C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002B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24C2B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2B6B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4CA61">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553D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95A0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EE34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837A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EC84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216D3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B09EB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三、空间品质</w:t>
            </w:r>
          </w:p>
        </w:tc>
      </w:tr>
      <w:tr w14:paraId="22EAA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BEE0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14</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6B79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公园绿地、广场步行5分钟覆盖率（%）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6EE9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B438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2334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6152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约束性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CFD2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1B8F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36D8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28CFF">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4872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68FA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4DFC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16E81">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E9B7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56459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2F5F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15</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8617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卫生、养老、教育、文化、体育等社区公共服务设施15分钟覆盖率</w:t>
            </w: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2842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体育设施步行15分钟覆盖率（%）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000C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80</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FF9B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B2A2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02BA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7110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2B32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618CD">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2F87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7684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AAF3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53BA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AC6EB">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06B0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53CCD">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4B65A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3EEB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334D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34AD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文化设施步行15分钟覆盖率（%）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E303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80</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C807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FAE1F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FBA3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A1F9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3194F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0969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76F2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5C6C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BE95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D563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B0FE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9A42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F9395">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0E67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A2C06">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5506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7A19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教育设施步行15分钟覆盖率（%）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2E8A62">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60D4E">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F96C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2D94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95CD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2B5BC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8C02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7463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E7D0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599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692C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0C45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2847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9712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224FB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AEFD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B023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CCFD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卫生设施步行15分钟覆盖率（%）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C4E9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95FC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7454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1DC6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A510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10E1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2338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97FDF">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6EA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E9C9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8085">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31AA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971F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674C1">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38D2F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913A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D2004">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69FC6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养老设施步行15分钟覆盖率（%）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7DBC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80</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73B74">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C8C6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CFA0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39FE9">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5B04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E6B5B">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9957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66918">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E1A0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376B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CB72">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343F1">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E5A7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268FB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B71D">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6A38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84C696">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社区中心步行15分钟覆盖率（%）</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6A66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50</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D613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75B1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100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2E200">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49E83">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3EB8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510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4E01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9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8969B">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C1A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440DD">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71EF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A511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B7127">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46A71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DBD6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16</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381B1">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城镇人均住房面积（平方米）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B5829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75</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7492B">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≥72</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BB23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≥70</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9E67A">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9CE1C">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镇域</w:t>
            </w:r>
          </w:p>
        </w:tc>
      </w:tr>
      <w:tr w14:paraId="0A784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A29A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4F16C">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A5350">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913CE">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04233">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450EA">
            <w:pPr>
              <w:widowControl/>
              <w:spacing w:line="500" w:lineRule="exact"/>
              <w:jc w:val="center"/>
              <w:textAlignment w:val="center"/>
              <w:rPr>
                <w:rFonts w:hint="eastAsia" w:ascii="仿宋_GB2312" w:hAnsi="仿宋_GB2312" w:eastAsia="仿宋_GB2312" w:cs="仿宋_GB2312"/>
                <w:b w:val="0"/>
                <w:bCs w:val="0"/>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D7329">
            <w:pPr>
              <w:widowControl/>
              <w:spacing w:line="500" w:lineRule="exact"/>
              <w:jc w:val="center"/>
              <w:textAlignment w:val="center"/>
              <w:rPr>
                <w:rFonts w:hint="eastAsia" w:ascii="仿宋_GB2312" w:hAnsi="仿宋_GB2312" w:eastAsia="仿宋_GB2312" w:cs="仿宋_GB2312"/>
                <w:b w:val="0"/>
                <w:bCs w:val="0"/>
                <w:kern w:val="0"/>
                <w:szCs w:val="21"/>
                <w:lang w:bidi="ar"/>
              </w:rPr>
            </w:pPr>
          </w:p>
        </w:tc>
      </w:tr>
      <w:tr w14:paraId="21FC6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1433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17</w:t>
            </w:r>
          </w:p>
        </w:tc>
        <w:tc>
          <w:tcPr>
            <w:tcW w:w="1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79F05">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人均公园绿地面积（平方米）</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928078">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CE587">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430A7">
            <w:pPr>
              <w:widowControl/>
              <w:spacing w:line="500" w:lineRule="exact"/>
              <w:jc w:val="center"/>
              <w:textAlignment w:val="center"/>
              <w:rPr>
                <w:rFonts w:hint="default" w:ascii="仿宋_GB2312" w:hAnsi="仿宋_GB2312" w:eastAsia="仿宋_GB2312" w:cs="仿宋_GB2312"/>
                <w:b w:val="0"/>
                <w:bCs w:val="0"/>
                <w:kern w:val="0"/>
                <w:szCs w:val="21"/>
                <w:lang w:val="en-US" w:bidi="ar"/>
              </w:rPr>
            </w:pPr>
            <w:r>
              <w:rPr>
                <w:rFonts w:hint="eastAsia" w:ascii="仿宋_GB2312" w:hAnsi="仿宋_GB2312" w:eastAsia="仿宋_GB2312" w:cs="仿宋_GB2312"/>
                <w:b w:val="0"/>
                <w:bCs w:val="0"/>
                <w:kern w:val="0"/>
                <w:szCs w:val="21"/>
                <w:lang w:val="en-US" w:eastAsia="zh-CN" w:bidi="ar"/>
              </w:rPr>
              <w:t>≥8.22</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422AD">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预期性</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B359F">
            <w:pPr>
              <w:widowControl/>
              <w:spacing w:line="500" w:lineRule="exact"/>
              <w:jc w:val="center"/>
              <w:textAlignment w:val="center"/>
              <w:rPr>
                <w:rFonts w:hint="eastAsia" w:ascii="仿宋_GB2312" w:hAnsi="仿宋_GB2312" w:eastAsia="仿宋_GB2312" w:cs="仿宋_GB2312"/>
                <w:b w:val="0"/>
                <w:bCs w:val="0"/>
                <w:kern w:val="0"/>
                <w:szCs w:val="21"/>
                <w:lang w:bidi="ar"/>
              </w:rPr>
            </w:pPr>
            <w:r>
              <w:rPr>
                <w:rFonts w:hint="eastAsia" w:ascii="仿宋_GB2312" w:hAnsi="仿宋_GB2312" w:eastAsia="仿宋_GB2312" w:cs="仿宋_GB2312"/>
                <w:b w:val="0"/>
                <w:bCs w:val="0"/>
                <w:kern w:val="0"/>
                <w:szCs w:val="21"/>
                <w:lang w:val="en-US" w:eastAsia="zh-CN" w:bidi="ar"/>
              </w:rPr>
              <w:t>镇区</w:t>
            </w:r>
          </w:p>
        </w:tc>
      </w:tr>
      <w:tr w14:paraId="41F3C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2E39B">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1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C9052">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4CB5F">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9DC9">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44596">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619C1">
            <w:pPr>
              <w:widowControl/>
              <w:spacing w:line="500" w:lineRule="exact"/>
              <w:jc w:val="center"/>
              <w:textAlignment w:val="center"/>
              <w:rPr>
                <w:rFonts w:hint="eastAsia" w:ascii="仿宋_GB2312" w:hAnsi="仿宋_GB2312" w:eastAsia="仿宋_GB2312" w:cs="仿宋_GB2312"/>
                <w:b/>
                <w:bCs/>
                <w:kern w:val="0"/>
                <w:szCs w:val="21"/>
                <w:lang w:bidi="ar"/>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C0E97">
            <w:pPr>
              <w:widowControl/>
              <w:spacing w:line="500" w:lineRule="exact"/>
              <w:jc w:val="center"/>
              <w:textAlignment w:val="center"/>
              <w:rPr>
                <w:rFonts w:hint="eastAsia" w:ascii="仿宋_GB2312" w:hAnsi="仿宋_GB2312" w:eastAsia="仿宋_GB2312" w:cs="仿宋_GB2312"/>
                <w:b/>
                <w:bCs/>
                <w:kern w:val="0"/>
                <w:szCs w:val="21"/>
                <w:lang w:bidi="ar"/>
              </w:rPr>
            </w:pPr>
          </w:p>
        </w:tc>
      </w:tr>
    </w:tbl>
    <w:p w14:paraId="0434DAE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国土空间开发保护战略</w:t>
      </w:r>
    </w:p>
    <w:p w14:paraId="797DECE1">
      <w:pPr>
        <w:pStyle w:val="7"/>
        <w:ind w:firstLine="640" w:firstLineChars="200"/>
        <w:rPr>
          <w:rFonts w:ascii="仿宋_GB2312" w:hAnsi="仿宋_GB2312" w:cs="仿宋_GB2312"/>
          <w:szCs w:val="32"/>
        </w:rPr>
      </w:pPr>
      <w:r>
        <w:rPr>
          <w:rFonts w:hint="eastAsia" w:ascii="楷体_GB2312" w:hAnsi="楷体_GB2312" w:eastAsia="楷体_GB2312" w:cs="楷体_GB2312"/>
          <w:szCs w:val="32"/>
        </w:rPr>
        <w:t>生态优先战略。</w:t>
      </w:r>
      <w:r>
        <w:rPr>
          <w:rFonts w:hint="eastAsia" w:ascii="仿宋_GB2312" w:hAnsi="仿宋_GB2312" w:cs="仿宋_GB2312"/>
          <w:szCs w:val="32"/>
        </w:rPr>
        <w:t>基于资源环境承载</w:t>
      </w:r>
      <w:r>
        <w:rPr>
          <w:rFonts w:hint="eastAsia" w:ascii="仿宋_GB2312" w:hAnsi="仿宋_GB2312" w:cs="仿宋_GB2312"/>
          <w:szCs w:val="32"/>
          <w:lang w:val="en-US" w:eastAsia="zh-CN"/>
        </w:rPr>
        <w:t>能力和国土空间</w:t>
      </w:r>
      <w:r>
        <w:rPr>
          <w:rFonts w:hint="eastAsia" w:ascii="仿宋_GB2312" w:hAnsi="仿宋_GB2312" w:cs="仿宋_GB2312"/>
          <w:szCs w:val="32"/>
        </w:rPr>
        <w:t>开发适宜性评价及国家生态屏障构建需求，严格落实生态保护底线；通过生态修复工程实施，筑牢国家生态安全屏障。</w:t>
      </w:r>
    </w:p>
    <w:p w14:paraId="314E130F">
      <w:pPr>
        <w:pStyle w:val="7"/>
        <w:ind w:firstLine="640"/>
      </w:pPr>
      <w:r>
        <w:rPr>
          <w:rFonts w:hint="eastAsia" w:ascii="楷体_GB2312" w:hAnsi="楷体_GB2312" w:eastAsia="楷体_GB2312" w:cs="楷体_GB2312"/>
          <w:szCs w:val="32"/>
        </w:rPr>
        <w:t>绿色发展战略</w:t>
      </w:r>
      <w:r>
        <w:rPr>
          <w:rFonts w:hint="eastAsia" w:ascii="楷体_GB2312" w:hAnsi="楷体_GB2312" w:eastAsia="楷体_GB2312" w:cs="楷体_GB2312"/>
        </w:rPr>
        <w:t>。</w:t>
      </w:r>
      <w:r>
        <w:rPr>
          <w:rFonts w:hint="eastAsia"/>
        </w:rPr>
        <w:t>以“四大产业”为支撑，打造共和县区域中心城镇，推进“能源+、旅游+、农业+”战略；重点培育产业发展载体，提高城乡产业空间土地利用效率。</w:t>
      </w:r>
    </w:p>
    <w:p w14:paraId="7C467031">
      <w:pPr>
        <w:pStyle w:val="7"/>
        <w:ind w:firstLine="640" w:firstLineChars="200"/>
      </w:pPr>
      <w:r>
        <w:rPr>
          <w:rFonts w:hint="eastAsia" w:ascii="楷体_GB2312" w:hAnsi="楷体_GB2312" w:eastAsia="楷体_GB2312" w:cs="楷体_GB2312"/>
          <w:szCs w:val="32"/>
        </w:rPr>
        <w:t>宜居共享战略</w:t>
      </w:r>
      <w:r>
        <w:rPr>
          <w:rFonts w:hint="eastAsia" w:ascii="楷体_GB2312" w:hAnsi="楷体_GB2312" w:eastAsia="楷体_GB2312" w:cs="楷体_GB2312"/>
        </w:rPr>
        <w:t>。</w:t>
      </w:r>
      <w:r>
        <w:rPr>
          <w:rFonts w:hint="eastAsia"/>
        </w:rPr>
        <w:t>围绕满足人民群众对美好生活的向往，构建城乡均等的公共服务、基础设施网络，建设城乡幸福生活圈；围绕建设区域中心城镇，提升高水平公共服务设施建设，提高镇区服务镇域、周边城镇的能力。</w:t>
      </w:r>
    </w:p>
    <w:p w14:paraId="00F4859E">
      <w:pPr>
        <w:pStyle w:val="7"/>
        <w:ind w:firstLine="640" w:firstLineChars="200"/>
        <w:rPr>
          <w:rFonts w:hint="eastAsia"/>
        </w:rPr>
      </w:pPr>
      <w:r>
        <w:rPr>
          <w:rFonts w:hint="eastAsia" w:ascii="楷体_GB2312" w:hAnsi="楷体_GB2312" w:eastAsia="楷体_GB2312" w:cs="楷体_GB2312"/>
          <w:szCs w:val="32"/>
        </w:rPr>
        <w:t>魅力彰显战略</w:t>
      </w:r>
      <w:r>
        <w:rPr>
          <w:rFonts w:hint="eastAsia" w:ascii="楷体_GB2312" w:hAnsi="楷体_GB2312" w:eastAsia="楷体_GB2312" w:cs="楷体_GB2312"/>
        </w:rPr>
        <w:t>。</w:t>
      </w:r>
      <w:r>
        <w:rPr>
          <w:rFonts w:hint="eastAsia"/>
        </w:rPr>
        <w:t>充分挖掘</w:t>
      </w:r>
      <w:r>
        <w:rPr>
          <w:rFonts w:hint="eastAsia" w:ascii="仿宋_GB2312" w:hAnsi="仿宋_GB2312" w:cs="仿宋_GB2312"/>
          <w:szCs w:val="32"/>
        </w:rPr>
        <w:t>文化等</w:t>
      </w:r>
      <w:r>
        <w:rPr>
          <w:rFonts w:hint="eastAsia"/>
        </w:rPr>
        <w:t>历史文化资源，保护龙羊峡镇传统文化、民族文化、多民族文化融合的特色；立足龙羊峡水库特点，建设富有高原自然风貌、文化特色鲜明的美丽城镇。</w:t>
      </w:r>
    </w:p>
    <w:p w14:paraId="04F3574C">
      <w:pPr>
        <w:pStyle w:val="3"/>
        <w:keepNext/>
        <w:keepLines/>
        <w:pageBreakBefore w:val="0"/>
        <w:widowControl w:val="0"/>
        <w:numPr>
          <w:ilvl w:val="1"/>
          <w:numId w:val="5"/>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default" w:ascii="Arial" w:hAnsi="Arial" w:eastAsia="黑体" w:cs="Times New Roman"/>
          <w:b w:val="0"/>
          <w:highlight w:val="none"/>
          <w:lang w:val="en-US" w:eastAsia="zh-CN"/>
        </w:rPr>
      </w:pPr>
      <w:bookmarkStart w:id="21" w:name="_Toc11240"/>
      <w:bookmarkStart w:id="22" w:name="_Toc27761"/>
      <w:r>
        <w:rPr>
          <w:rFonts w:hint="eastAsia" w:ascii="Arial" w:hAnsi="Arial" w:eastAsia="黑体" w:cs="Times New Roman"/>
          <w:b w:val="0"/>
          <w:highlight w:val="none"/>
          <w:lang w:val="en-US" w:eastAsia="zh-CN"/>
        </w:rPr>
        <w:t>区域协同</w:t>
      </w:r>
      <w:bookmarkEnd w:id="21"/>
      <w:bookmarkEnd w:id="22"/>
    </w:p>
    <w:p w14:paraId="66DB31F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highlight w:val="none"/>
          <w:lang w:val="en-US" w:eastAsia="zh-CN"/>
        </w:rPr>
      </w:pPr>
      <w:r>
        <w:rPr>
          <w:rFonts w:hint="eastAsia" w:ascii="楷体_GB2312" w:hAnsi="Times New Roman" w:eastAsia="楷体_GB2312" w:cs="Times New Roman"/>
          <w:bCs/>
          <w:sz w:val="32"/>
          <w:szCs w:val="32"/>
          <w:highlight w:val="none"/>
          <w:lang w:val="en-US" w:eastAsia="zh-CN"/>
        </w:rPr>
        <w:t>积极融入泛共和盆地城镇区</w:t>
      </w:r>
    </w:p>
    <w:p w14:paraId="5CFFA012">
      <w:pPr>
        <w:pStyle w:val="7"/>
        <w:ind w:firstLine="64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通过综合交通网络逐渐完善，国土空间对外联通能力和开放度全面增强，龙羊峡镇与泛共和盆地城镇区联系更加紧密。水利、能源、防灾减灾等基础设施体系建设得到有力保障,应对各类灾害的风险防范能力明显提升。</w:t>
      </w:r>
    </w:p>
    <w:p w14:paraId="729F2B0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highlight w:val="none"/>
          <w:lang w:val="en-US" w:eastAsia="zh-CN"/>
        </w:rPr>
      </w:pPr>
      <w:r>
        <w:rPr>
          <w:rFonts w:hint="eastAsia" w:ascii="楷体_GB2312" w:hAnsi="Times New Roman" w:eastAsia="楷体_GB2312" w:cs="Times New Roman"/>
          <w:bCs/>
          <w:sz w:val="32"/>
          <w:szCs w:val="32"/>
          <w:highlight w:val="none"/>
          <w:lang w:val="en-US" w:eastAsia="zh-CN"/>
        </w:rPr>
        <w:t>强化沿黄生态保护带</w:t>
      </w:r>
    </w:p>
    <w:p w14:paraId="3D633C27">
      <w:pPr>
        <w:pStyle w:val="7"/>
        <w:ind w:firstLine="64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实施黄河沿岸生态保护综合治理与景观修复工程，加强 </w:t>
      </w:r>
      <w:r>
        <w:rPr>
          <w:rFonts w:hint="default" w:ascii="Times New Roman" w:hAnsi="Times New Roman" w:cs="Times New Roman"/>
          <w:highlight w:val="none"/>
          <w:lang w:val="en-US" w:eastAsia="zh-CN"/>
        </w:rPr>
        <w:t>对黄河沿岸生态脆弱区、地灾易发区的综合治理，对沿岸生 态景观进行重点修复。突出环龙羊峡库区水土流失治理，切实保护国家水利枢纽工程安全</w:t>
      </w:r>
      <w:r>
        <w:rPr>
          <w:rFonts w:hint="eastAsia" w:ascii="Times New Roman" w:hAnsi="Times New Roman" w:cs="Times New Roman"/>
          <w:highlight w:val="none"/>
          <w:lang w:val="en-US" w:eastAsia="zh-CN"/>
        </w:rPr>
        <w:t>。</w:t>
      </w:r>
    </w:p>
    <w:p w14:paraId="441854D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highlight w:val="none"/>
          <w:lang w:val="en-US" w:eastAsia="zh-CN"/>
        </w:rPr>
      </w:pPr>
      <w:r>
        <w:rPr>
          <w:rFonts w:hint="eastAsia" w:ascii="楷体_GB2312" w:hAnsi="Times New Roman" w:eastAsia="楷体_GB2312" w:cs="Times New Roman"/>
          <w:bCs/>
          <w:sz w:val="32"/>
          <w:szCs w:val="32"/>
          <w:highlight w:val="none"/>
          <w:lang w:val="en-US" w:eastAsia="zh-CN"/>
        </w:rPr>
        <w:t>产业协同发展</w:t>
      </w:r>
    </w:p>
    <w:p w14:paraId="6D663A1C">
      <w:pPr>
        <w:pStyle w:val="7"/>
        <w:ind w:firstLine="64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旅游产业上，与贵德县协同开发龙羊峡区域旅游产业串联线路、共享客源，配套设施互补；农牧业方面，产品联合销售；生态产业中，保护工作联动开展，生态养殖、旅游等产业携手合作 ；文化产业领域，联合举办文化活动，整合文化资源开发利用。通过这些协同举措，提升了区域整体竞争力，促进了经济、生态、文化的共同发展。</w:t>
      </w:r>
    </w:p>
    <w:p w14:paraId="243FDD2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highlight w:val="none"/>
          <w:lang w:val="en-US" w:eastAsia="zh-CN"/>
        </w:rPr>
      </w:pPr>
      <w:r>
        <w:rPr>
          <w:rFonts w:hint="eastAsia" w:ascii="楷体_GB2312" w:hAnsi="Times New Roman" w:eastAsia="楷体_GB2312" w:cs="Times New Roman"/>
          <w:bCs/>
          <w:sz w:val="32"/>
          <w:szCs w:val="32"/>
          <w:highlight w:val="none"/>
          <w:lang w:val="en-US" w:eastAsia="zh-CN"/>
        </w:rPr>
        <w:t>基础设施互联互通</w:t>
      </w:r>
    </w:p>
    <w:p w14:paraId="5F6421CA">
      <w:pPr>
        <w:pStyle w:val="7"/>
        <w:ind w:firstLine="640" w:firstLineChars="200"/>
        <w:rPr>
          <w:rFonts w:hint="eastAsia"/>
        </w:rPr>
      </w:pPr>
      <w:r>
        <w:rPr>
          <w:rFonts w:hint="eastAsia" w:ascii="Times New Roman" w:hAnsi="Times New Roman" w:cs="Times New Roman"/>
          <w:highlight w:val="none"/>
          <w:lang w:val="en-US" w:eastAsia="zh-CN"/>
        </w:rPr>
        <w:t>龙羊峡镇与周边地区加强交通、通信、水电等基础设施建设的协同。共同修建和升级区域内的公路，提高道路通行能力，实现镇与镇之间、村与村之间的便捷交通连接。</w:t>
      </w:r>
    </w:p>
    <w:p w14:paraId="38E58976">
      <w:r>
        <w:rPr>
          <w:rFonts w:hint="eastAsia"/>
        </w:rPr>
        <w:br w:type="page"/>
      </w:r>
    </w:p>
    <w:p w14:paraId="43669EBC">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23" w:name="_Toc10745"/>
      <w:r>
        <w:rPr>
          <w:rFonts w:hint="eastAsia" w:ascii="Times New Roman" w:hAnsi="Times New Roman" w:eastAsia="方正小标宋简体" w:cs="Times New Roman"/>
          <w:b w:val="0"/>
          <w:bCs w:val="0"/>
          <w:sz w:val="36"/>
          <w:szCs w:val="36"/>
        </w:rPr>
        <w:t>构建国土空间开发保护新格局</w:t>
      </w:r>
      <w:bookmarkEnd w:id="23"/>
    </w:p>
    <w:p w14:paraId="0845E8DC">
      <w:pPr>
        <w:pStyle w:val="3"/>
        <w:numPr>
          <w:ilvl w:val="1"/>
          <w:numId w:val="6"/>
        </w:numPr>
        <w:spacing w:before="100" w:after="100" w:line="400" w:lineRule="exact"/>
        <w:ind w:firstLine="0"/>
        <w:jc w:val="center"/>
        <w:rPr>
          <w:rFonts w:ascii="Arial" w:hAnsi="Arial" w:eastAsia="黑体" w:cs="Times New Roman"/>
          <w:b w:val="0"/>
          <w:lang w:val="zh-CN"/>
        </w:rPr>
      </w:pPr>
      <w:bookmarkStart w:id="24" w:name="_Toc15756"/>
      <w:r>
        <w:rPr>
          <w:rFonts w:hint="eastAsia" w:ascii="Arial" w:hAnsi="Arial" w:eastAsia="黑体" w:cs="Times New Roman"/>
          <w:b w:val="0"/>
          <w:lang w:val="zh-CN"/>
        </w:rPr>
        <w:t>筑牢安全发展的空间基础</w:t>
      </w:r>
      <w:bookmarkEnd w:id="24"/>
    </w:p>
    <w:p w14:paraId="0CB2710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落实耕地和永久基本农田保护目标</w:t>
      </w:r>
    </w:p>
    <w:p w14:paraId="5CFF0653">
      <w:pPr>
        <w:pStyle w:val="7"/>
        <w:ind w:firstLine="640"/>
        <w:rPr>
          <w:rFonts w:ascii="仿宋_GB2312" w:hAnsi="仿宋_GB2312" w:cs="仿宋_GB2312"/>
          <w:szCs w:val="32"/>
        </w:rPr>
      </w:pPr>
      <w:r>
        <w:rPr>
          <w:rFonts w:hint="eastAsia" w:ascii="仿宋_GB2312" w:hAnsi="仿宋_GB2312" w:cs="仿宋_GB2312"/>
          <w:szCs w:val="32"/>
          <w:u w:val="single"/>
        </w:rPr>
        <w:t>到2035年龙羊峡镇耕地保护任务不少于</w:t>
      </w:r>
      <w:r>
        <w:rPr>
          <w:rFonts w:ascii="仿宋_GB2312" w:hAnsi="仿宋_GB2312" w:cs="仿宋_GB2312"/>
          <w:szCs w:val="32"/>
          <w:u w:val="single"/>
        </w:rPr>
        <w:t>1.3662</w:t>
      </w:r>
      <w:r>
        <w:rPr>
          <w:rFonts w:hint="eastAsia" w:ascii="仿宋_GB2312" w:hAnsi="仿宋_GB2312" w:cs="仿宋_GB2312"/>
          <w:szCs w:val="32"/>
          <w:u w:val="single"/>
        </w:rPr>
        <w:t>万亩，永久基本农田保护面积不少于</w:t>
      </w:r>
      <w:r>
        <w:rPr>
          <w:rFonts w:ascii="仿宋_GB2312" w:hAnsi="仿宋_GB2312" w:cs="仿宋_GB2312"/>
          <w:szCs w:val="32"/>
          <w:u w:val="single"/>
        </w:rPr>
        <w:t>0.947</w:t>
      </w:r>
      <w:r>
        <w:rPr>
          <w:rFonts w:hint="eastAsia" w:ascii="仿宋_GB2312" w:hAnsi="仿宋_GB2312" w:cs="仿宋_GB2312"/>
          <w:szCs w:val="32"/>
          <w:u w:val="single"/>
          <w:lang w:val="en-US" w:eastAsia="zh-CN"/>
        </w:rPr>
        <w:t>5</w:t>
      </w:r>
      <w:r>
        <w:rPr>
          <w:rFonts w:hint="eastAsia" w:ascii="仿宋_GB2312" w:hAnsi="仿宋_GB2312" w:cs="仿宋_GB2312"/>
          <w:szCs w:val="32"/>
          <w:u w:val="single"/>
        </w:rPr>
        <w:t>万亩。</w:t>
      </w:r>
      <w:r>
        <w:rPr>
          <w:rFonts w:hint="eastAsia" w:ascii="仿宋_GB2312" w:hAnsi="仿宋_GB2312" w:cs="仿宋_GB2312"/>
          <w:szCs w:val="32"/>
        </w:rPr>
        <w:t>从严管控非农建设占用永久基本农田，永久基本农田一经划定，任何单位和个人不得擅自占用或者擅自改变用途，严禁通过擅自调整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5C06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6E9852">
            <w:pPr>
              <w:spacing w:line="600" w:lineRule="exact"/>
              <w:jc w:val="center"/>
              <w:rPr>
                <w:rFonts w:ascii="黑体" w:hAnsi="宋体" w:eastAsia="黑体" w:cs="Times New Roman"/>
                <w:sz w:val="30"/>
                <w:szCs w:val="30"/>
              </w:rPr>
            </w:pPr>
            <w:r>
              <w:rPr>
                <w:rFonts w:ascii="黑体" w:hAnsi="宋体" w:eastAsia="黑体" w:cs="黑体"/>
                <w:sz w:val="30"/>
                <w:szCs w:val="30"/>
                <w:lang w:bidi="ar"/>
              </w:rPr>
              <w:t>专栏2耕地和永久基本农田保护红线管理规则</w:t>
            </w:r>
          </w:p>
        </w:tc>
      </w:tr>
      <w:tr w14:paraId="47CF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3FDB7F15">
            <w:pPr>
              <w:spacing w:line="500" w:lineRule="exact"/>
              <w:rPr>
                <w:rFonts w:ascii="仿宋_GB2312" w:hAnsi="宋体" w:eastAsia="仿宋_GB2312" w:cs="Times New Roman"/>
                <w:sz w:val="24"/>
                <w:szCs w:val="24"/>
              </w:rPr>
            </w:pPr>
            <w:r>
              <w:rPr>
                <w:rFonts w:ascii="仿宋_GB2312" w:hAnsi="宋体" w:eastAsia="仿宋_GB2312" w:cs="仿宋_GB2312"/>
                <w:sz w:val="24"/>
                <w:szCs w:val="24"/>
                <w:lang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65F51133">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国家对耕地实行特殊保护，严守耕地保护红线，严格控制耕地转为林地、草地、园地等其他农用地，并落实国家耕地保护补偿制度，具体办法和耕地保护补偿实施步骤按照自然资源部有关部门规定执行。</w:t>
            </w:r>
          </w:p>
          <w:p w14:paraId="30D550DB">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非农业建设经批准占用耕地的，按照“占多少、垦多少”的原则，由占用耕地的单位负责开垦与所占用耕地的数量相等、质量相当的耕地；没有条件开垦或者开垦的耕地不符合要求的，应当按照青海省的规定缴纳耕地开垦费，专款用于开垦新的耕地。</w:t>
            </w:r>
          </w:p>
          <w:p w14:paraId="399BBB1C">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各类非农建设、农业结构调整、造林种树等各类占用耕地行为统一纳入耕地占补平衡管理，优先将适宜恢复为优质耕地的园地、林地、草地等其他农用地以及盐碱地等未利用地、低效闲置建设用地统筹作为补充耕地来源。</w:t>
            </w:r>
          </w:p>
          <w:p w14:paraId="28C772DF">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地方各级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人民政府责令在规定期限内组织整治。新开垦和整治的耕地由自然资源主管部门会同农业农村主管部门验收。</w:t>
            </w:r>
          </w:p>
          <w:p w14:paraId="642C540D">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非农建设必须节约使用土地，可以利用荒地的，不得占用耕地；可以利用劣地的，不得占用好地。禁止占用耕地建窑、建坟或者擅自在耕地上建房、挖砂、采石、采矿、取土等。</w:t>
            </w:r>
          </w:p>
          <w:p w14:paraId="5792A4AA">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青海省的规定缴纳闲置费；连续两年未使用的，经原批准机关批准，由县级以上人民政府无偿收回用地单位的土地使用权；该幅土地原为农民集体所有的，应当交由原农村集体经济组织恢复耕种。</w:t>
            </w:r>
          </w:p>
          <w:p w14:paraId="15DDB158">
            <w:pPr>
              <w:spacing w:line="500" w:lineRule="exact"/>
              <w:ind w:firstLine="480" w:firstLineChars="200"/>
              <w:rPr>
                <w:rFonts w:ascii="仿宋_GB2312" w:hAnsi="宋体" w:eastAsia="仿宋_GB2312" w:cs="Times New Roman"/>
                <w:sz w:val="24"/>
                <w:szCs w:val="24"/>
              </w:rPr>
            </w:pPr>
            <w:r>
              <w:rPr>
                <w:rFonts w:ascii="仿宋_GB2312" w:hAnsi="宋体" w:eastAsia="仿宋_GB2312" w:cs="仿宋_GB2312"/>
                <w:kern w:val="2"/>
                <w:sz w:val="24"/>
                <w:szCs w:val="24"/>
                <w:highlight w:val="none"/>
                <w:lang w:val="en-US" w:eastAsia="zh-CN" w:bidi="ar"/>
              </w:rPr>
              <w:t>禁止任何单位和个人在国土空间规划确定的禁止开垦的范围内从事土地开发活动。</w:t>
            </w:r>
          </w:p>
        </w:tc>
      </w:tr>
      <w:tr w14:paraId="5749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343FEE11">
            <w:pPr>
              <w:spacing w:line="500" w:lineRule="exact"/>
              <w:rPr>
                <w:rFonts w:ascii="仿宋_GB2312" w:hAnsi="宋体" w:eastAsia="仿宋_GB2312" w:cs="Times New Roman"/>
                <w:sz w:val="24"/>
                <w:szCs w:val="24"/>
              </w:rPr>
            </w:pPr>
            <w:r>
              <w:rPr>
                <w:rFonts w:ascii="仿宋_GB2312" w:hAnsi="宋体" w:eastAsia="仿宋_GB2312" w:cs="仿宋_GB2312"/>
                <w:sz w:val="24"/>
                <w:szCs w:val="24"/>
                <w:lang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5C57563A">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45E4BF0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highlight w:val="none"/>
                <w:lang w:val="en-US" w:eastAsia="zh-CN" w:bidi="ar-SA"/>
              </w:rPr>
            </w:pPr>
            <w:r>
              <w:rPr>
                <w:rFonts w:ascii="仿宋_GB2312" w:hAnsi="宋体" w:eastAsia="仿宋_GB2312" w:cs="仿宋_GB2312"/>
                <w:kern w:val="2"/>
                <w:sz w:val="24"/>
                <w:szCs w:val="24"/>
                <w:highlight w:val="none"/>
                <w:lang w:val="en-US" w:eastAsia="zh-CN"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1CE11556">
            <w:pPr>
              <w:spacing w:line="500" w:lineRule="exact"/>
              <w:ind w:firstLine="480" w:firstLineChars="200"/>
              <w:rPr>
                <w:rFonts w:ascii="仿宋_GB2312" w:hAnsi="宋体" w:eastAsia="仿宋_GB2312" w:cs="Times New Roman"/>
                <w:sz w:val="24"/>
                <w:szCs w:val="24"/>
              </w:rPr>
            </w:pPr>
            <w:r>
              <w:rPr>
                <w:rFonts w:ascii="仿宋_GB2312" w:hAnsi="宋体" w:eastAsia="仿宋_GB2312" w:cs="仿宋_GB2312"/>
                <w:kern w:val="2"/>
                <w:sz w:val="24"/>
                <w:szCs w:val="24"/>
                <w:highlight w:val="none"/>
                <w:lang w:val="en-US" w:eastAsia="zh-CN" w:bidi="ar"/>
              </w:rPr>
              <w:t>非农建设依法占用永久基本农田的，建设单位应当按照青海省的有关规定，将所占用耕地耕作层的土壤用于新开垦的耕地、劣质地或者其他耕地的土壤改良。</w:t>
            </w:r>
          </w:p>
        </w:tc>
      </w:tr>
    </w:tbl>
    <w:p w14:paraId="62E2AB9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严守生态保护红线</w:t>
      </w:r>
    </w:p>
    <w:p w14:paraId="4CBA56A3">
      <w:pPr>
        <w:pStyle w:val="7"/>
        <w:ind w:firstLine="640" w:firstLineChars="200"/>
        <w:rPr>
          <w:rFonts w:ascii="仿宋_GB2312" w:hAnsi="仿宋_GB2312" w:cs="仿宋_GB2312"/>
          <w:bCs/>
          <w:szCs w:val="24"/>
        </w:rPr>
      </w:pPr>
      <w:r>
        <w:rPr>
          <w:rFonts w:hint="eastAsia" w:ascii="仿宋_GB2312" w:hAnsi="仿宋_GB2312" w:cs="仿宋_GB2312"/>
          <w:bCs/>
          <w:szCs w:val="24"/>
          <w:u w:val="single"/>
        </w:rPr>
        <w:t>本次规划中龙羊峡镇镇域范围内不涉及生态保护红线。</w:t>
      </w:r>
      <w:r>
        <w:rPr>
          <w:rFonts w:hint="eastAsia" w:ascii="仿宋_GB2312" w:hAnsi="仿宋_GB2312" w:cs="仿宋_GB2312"/>
          <w:bCs/>
          <w:szCs w:val="24"/>
        </w:rPr>
        <w:t>生态保护红线一经划定，未经批准，严禁擅自调整。严格控制人为活动尤其是开发建设对生态系统的破坏和扰动。生态保护红线内自然保护地核心保护区外，禁止开发性、生产性建设活动，在符合法律法规的前提下，仅允许对生态功能不造成破坏的有限人为活动。生态保护红线内自然保护区、风景名胜区、饮用水水源保护区等区域的管控，依照法律法规执行。</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5B78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4473CEC0">
            <w:pPr>
              <w:tabs>
                <w:tab w:val="left" w:pos="353"/>
              </w:tabs>
              <w:spacing w:line="600" w:lineRule="exact"/>
              <w:jc w:val="center"/>
              <w:rPr>
                <w:rFonts w:ascii="黑体" w:hAnsi="黑体" w:eastAsia="黑体" w:cs="Times New Roman"/>
                <w:sz w:val="30"/>
                <w:szCs w:val="30"/>
              </w:rPr>
            </w:pPr>
            <w:r>
              <w:rPr>
                <w:rFonts w:hint="eastAsia" w:ascii="黑体" w:hAnsi="黑体" w:eastAsia="黑体" w:cs="Times New Roman"/>
                <w:sz w:val="30"/>
                <w:szCs w:val="30"/>
              </w:rPr>
              <w:t>专栏</w:t>
            </w:r>
            <w:r>
              <w:rPr>
                <w:rFonts w:ascii="黑体" w:hAnsi="黑体" w:eastAsia="黑体" w:cs="Times New Roman"/>
                <w:sz w:val="30"/>
                <w:szCs w:val="30"/>
              </w:rPr>
              <w:t xml:space="preserve">3 </w:t>
            </w:r>
            <w:r>
              <w:rPr>
                <w:rFonts w:hint="eastAsia" w:ascii="黑体" w:hAnsi="黑体" w:eastAsia="黑体" w:cs="Times New Roman"/>
                <w:sz w:val="30"/>
                <w:szCs w:val="30"/>
              </w:rPr>
              <w:t>生态保护红线管理要求</w:t>
            </w:r>
          </w:p>
        </w:tc>
      </w:tr>
      <w:tr w14:paraId="64B3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07993D13">
            <w:pPr>
              <w:spacing w:line="500" w:lineRule="exact"/>
              <w:rPr>
                <w:rFonts w:ascii="仿宋_GB2312" w:hAnsi="仿宋_GB2312" w:eastAsia="仿宋_GB2312" w:cs="Times New Roman"/>
                <w:sz w:val="24"/>
                <w:szCs w:val="24"/>
              </w:rPr>
            </w:pPr>
            <w:r>
              <w:rPr>
                <w:rFonts w:hint="eastAsia" w:ascii="仿宋_GB2312" w:hAnsi="仿宋_GB2312" w:eastAsia="仿宋_GB2312" w:cs="Times New Roman"/>
                <w:sz w:val="24"/>
                <w:szCs w:val="24"/>
              </w:rPr>
              <w:t>严格规范人为活  动</w:t>
            </w:r>
          </w:p>
        </w:tc>
        <w:tc>
          <w:tcPr>
            <w:tcW w:w="7574" w:type="dxa"/>
            <w:vAlign w:val="center"/>
          </w:tcPr>
          <w:p w14:paraId="4D26798F">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①</w:t>
            </w:r>
            <w:r>
              <w:rPr>
                <w:rFonts w:ascii="仿宋_GB2312" w:hAnsi="仿宋_GB2312" w:eastAsia="仿宋_GB2312" w:cs="Times New Roman"/>
                <w:sz w:val="24"/>
                <w:szCs w:val="24"/>
              </w:rPr>
              <w:t>生态保护红线内，自然保护地核心保护区原则上禁止人为活动。</w:t>
            </w:r>
          </w:p>
          <w:p w14:paraId="11B8DE97">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②</w:t>
            </w:r>
            <w:r>
              <w:rPr>
                <w:rFonts w:ascii="仿宋_GB2312" w:hAnsi="仿宋_GB2312" w:eastAsia="仿宋_GB2312" w:cs="Times New Roman"/>
                <w:sz w:val="24"/>
                <w:szCs w:val="24"/>
              </w:rPr>
              <w:t>生态保护红线内，自然保护地核心保护区外，严格禁止开发性、</w:t>
            </w:r>
            <w:r>
              <w:rPr>
                <w:rFonts w:hint="eastAsia" w:ascii="仿宋_GB2312" w:hAnsi="仿宋_GB2312" w:eastAsia="仿宋_GB2312" w:cs="Times New Roman"/>
                <w:sz w:val="24"/>
                <w:szCs w:val="24"/>
              </w:rPr>
              <w:t>生产性建设活动，在符合法律法规的前提下，仅允许对生态功能不造成破坏的有限人为活动（不视为占用生态保护红线）。</w:t>
            </w:r>
          </w:p>
          <w:p w14:paraId="0173CA42">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管护巡护、保护执法、科学研究、调查监测、测绘导航、防灾减灾救灾、军事国防、疫情防控等活动及相关的必要设施修筑。</w:t>
            </w:r>
          </w:p>
          <w:p w14:paraId="6E9D2E3A">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原住居民和其他合法权益主体，允许在不扩大现有建设用地、耕地、水产养殖规模和放牧强度（符合草畜平衡管理规定）的前提下，开展种植、放牧、捕捞、养殖等活动，修筑生产生活设施。</w:t>
            </w:r>
          </w:p>
          <w:p w14:paraId="2A44A61F">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经依法批准的考古调查发掘、古生物化石调查发掘、标本采集和文物保护活动。</w:t>
            </w:r>
          </w:p>
          <w:p w14:paraId="4D4E1E67">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按规定对人工商品林进行抚育采伐，或以提升森林质量、优化栖息地、建设生物防火隔离带等为目的的树种更新，依法开展的</w:t>
            </w:r>
            <w:r>
              <w:rPr>
                <w:rFonts w:hint="eastAsia" w:ascii="仿宋_GB2312" w:hAnsi="仿宋_GB2312" w:eastAsia="仿宋_GB2312" w:cs="Times New Roman"/>
                <w:sz w:val="24"/>
                <w:szCs w:val="24"/>
              </w:rPr>
              <w:t>林业</w:t>
            </w:r>
            <w:r>
              <w:rPr>
                <w:rFonts w:hint="eastAsia" w:ascii="仿宋_GB2312" w:hAnsi="仿宋_GB2312" w:eastAsia="仿宋_GB2312" w:cs="Times New Roman"/>
                <w:sz w:val="24"/>
                <w:szCs w:val="24"/>
                <w:shd w:val="clear" w:color="auto" w:fill="FFFFFF"/>
              </w:rPr>
              <w:t>采伐经营。</w:t>
            </w:r>
          </w:p>
          <w:p w14:paraId="46F626E8">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不破坏生态功能的适度参观旅游、科普宣教及符合相关规划的配套性服务设施和相关的必要公共设施建设及维护。</w:t>
            </w:r>
          </w:p>
          <w:p w14:paraId="49951269">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必须且无法避让、符合县级以上国土空间规划的线性基础设施、通讯和防洪、供水设施建设和船舶航行、航道疏浚清淤等活动；已有的合法水利、交通运输等设施运行维护改造。</w:t>
            </w:r>
          </w:p>
          <w:p w14:paraId="330B7BCA">
            <w:pPr>
              <w:widowControl/>
              <w:shd w:val="clear" w:color="auto" w:fill="FFFFFF"/>
              <w:spacing w:after="180"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w:t>
            </w:r>
            <w:r>
              <w:rPr>
                <w:rFonts w:hint="eastAsia" w:ascii="仿宋_GB2312" w:hAnsi="仿宋_GB2312" w:eastAsia="仿宋_GB2312" w:cs="Times New Roman"/>
                <w:sz w:val="24"/>
                <w:szCs w:val="24"/>
                <w:shd w:val="clear" w:color="auto" w:fill="FFFFFF"/>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6CEFFEFE">
            <w:pPr>
              <w:widowControl/>
              <w:shd w:val="clear" w:color="auto" w:fill="FFFFFF"/>
              <w:spacing w:after="180" w:line="500" w:lineRule="exact"/>
              <w:ind w:firstLine="420"/>
              <w:jc w:val="left"/>
              <w:rPr>
                <w:rFonts w:ascii="仿宋_GB2312" w:hAnsi="仿宋_GB2312" w:eastAsia="仿宋_GB2312" w:cs="Times New Roman"/>
                <w:sz w:val="24"/>
                <w:szCs w:val="24"/>
              </w:rPr>
            </w:pPr>
            <w:r>
              <w:rPr>
                <w:rFonts w:hint="eastAsia" w:ascii="仿宋_GB2312" w:hAnsi="仿宋_GB2312" w:eastAsia="仿宋_GB2312" w:cs="Times New Roman"/>
                <w:sz w:val="24"/>
                <w:szCs w:val="24"/>
              </w:rPr>
              <w:t>——依据县级以上国土空间规划和生态保护修复专项规划开展的生态修复。</w:t>
            </w:r>
          </w:p>
          <w:p w14:paraId="1AED935C">
            <w:pPr>
              <w:widowControl/>
              <w:shd w:val="clear" w:color="auto" w:fill="FFFFFF"/>
              <w:spacing w:after="180" w:line="500" w:lineRule="exact"/>
              <w:ind w:firstLine="420"/>
              <w:jc w:val="left"/>
              <w:rPr>
                <w:rFonts w:ascii="仿宋_GB2312" w:hAnsi="仿宋_GB2312" w:eastAsia="仿宋_GB2312" w:cs="Times New Roman"/>
                <w:sz w:val="24"/>
                <w:szCs w:val="24"/>
              </w:rPr>
            </w:pPr>
            <w:r>
              <w:rPr>
                <w:rFonts w:hint="eastAsia" w:ascii="仿宋_GB2312" w:hAnsi="仿宋_GB2312" w:eastAsia="仿宋_GB2312" w:cs="Times New Roman"/>
                <w:sz w:val="24"/>
                <w:szCs w:val="24"/>
              </w:rPr>
              <w:t>——法律法规规定允许的其他人为活动。</w:t>
            </w:r>
          </w:p>
          <w:p w14:paraId="23DF8DAD">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上述有限人为活动，涉及新增建设用地的，在报批农用地转用、土地征收时，附省人民政府出具符合生态保护红线内允许有限人为活动的认定意见；不涉及新增建设用地的，按有关规定进行管理。上述活动涉及自然保护地的，应征求林业和草原主管部门或自然保护地管理机构意见。</w:t>
            </w:r>
          </w:p>
          <w:p w14:paraId="204A1C75">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生态保护红线内自然保护区、风景名胜区、饮用水水源保护区等区域，依照法律法规执行。</w:t>
            </w:r>
          </w:p>
        </w:tc>
      </w:tr>
      <w:tr w14:paraId="318C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787F61AC">
            <w:pPr>
              <w:spacing w:line="500" w:lineRule="exact"/>
              <w:rPr>
                <w:rFonts w:ascii="仿宋_GB2312" w:hAnsi="仿宋_GB2312" w:eastAsia="仿宋_GB2312" w:cs="Times New Roman"/>
                <w:sz w:val="24"/>
                <w:szCs w:val="24"/>
              </w:rPr>
            </w:pPr>
            <w:r>
              <w:rPr>
                <w:rFonts w:hint="eastAsia" w:ascii="仿宋_GB2312" w:hAnsi="仿宋_GB2312" w:eastAsia="仿宋_GB2312" w:cs="Times New Roman"/>
                <w:sz w:val="24"/>
                <w:szCs w:val="24"/>
              </w:rPr>
              <w:t>严格占用生态保护红线审批</w:t>
            </w:r>
          </w:p>
        </w:tc>
        <w:tc>
          <w:tcPr>
            <w:tcW w:w="7574" w:type="dxa"/>
            <w:vAlign w:val="center"/>
          </w:tcPr>
          <w:p w14:paraId="437894BD">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除允许的有限人为活动之外，确需占用生态保护红线的国家重大项目，按规定由自然资源部进行用地预审后，报国务院批准。报批农用地转用、土地征收时，附省人民政府基于国土空间规划“一张图”和用途管制要求的不可避让论证意见，说明占用生态保护红线的必要性、节约集约和减缓生态环境影响措施。</w:t>
            </w:r>
          </w:p>
          <w:p w14:paraId="5A75483D">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①</w:t>
            </w:r>
            <w:r>
              <w:rPr>
                <w:rFonts w:ascii="仿宋_GB2312" w:hAnsi="仿宋_GB2312" w:eastAsia="仿宋_GB2312" w:cs="Times New Roman"/>
                <w:sz w:val="24"/>
                <w:szCs w:val="24"/>
              </w:rPr>
              <w:t>占用生态保护红线的国家重大项目，应严格落实生态环境分区管控要求，依法开展环境影响评价。</w:t>
            </w:r>
          </w:p>
          <w:p w14:paraId="2C500B4D">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②</w:t>
            </w:r>
            <w:r>
              <w:rPr>
                <w:rFonts w:ascii="仿宋_GB2312" w:hAnsi="仿宋_GB2312" w:eastAsia="仿宋_GB2312" w:cs="Times New Roman"/>
                <w:sz w:val="24"/>
                <w:szCs w:val="24"/>
              </w:rPr>
              <w:t>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0BA3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4CD161B0">
            <w:pPr>
              <w:spacing w:line="500" w:lineRule="exact"/>
              <w:rPr>
                <w:rFonts w:ascii="仿宋_GB2312" w:hAnsi="仿宋_GB2312" w:eastAsia="仿宋_GB2312" w:cs="Times New Roman"/>
                <w:sz w:val="24"/>
                <w:szCs w:val="24"/>
              </w:rPr>
            </w:pPr>
            <w:r>
              <w:rPr>
                <w:rFonts w:hint="eastAsia" w:ascii="仿宋_GB2312" w:hAnsi="仿宋_GB2312" w:eastAsia="仿宋_GB2312" w:cs="Times New Roman"/>
                <w:sz w:val="24"/>
                <w:szCs w:val="24"/>
              </w:rPr>
              <w:t>稳妥有序处理历史遗留问题</w:t>
            </w:r>
          </w:p>
        </w:tc>
        <w:tc>
          <w:tcPr>
            <w:tcW w:w="7574" w:type="dxa"/>
            <w:vAlign w:val="center"/>
          </w:tcPr>
          <w:p w14:paraId="75847CDC">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①</w:t>
            </w:r>
            <w:r>
              <w:rPr>
                <w:rFonts w:ascii="仿宋_GB2312" w:hAnsi="仿宋_GB2312" w:eastAsia="仿宋_GB2312" w:cs="Times New Roman"/>
                <w:sz w:val="24"/>
                <w:szCs w:val="24"/>
              </w:rPr>
              <w:t>生态保护红线经国务院批准后，对需逐步退出的矿业权等，按照尊重历史、实事求是的原则，结合实际制定退出计划，明确时序安排、补偿安置、生态修复等要求，确保生态安全和社会稳定。</w:t>
            </w:r>
          </w:p>
          <w:p w14:paraId="35CC6CE8">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②</w:t>
            </w:r>
            <w:r>
              <w:rPr>
                <w:rFonts w:ascii="仿宋_GB2312" w:hAnsi="仿宋_GB2312" w:eastAsia="仿宋_GB2312" w:cs="Times New Roman"/>
                <w:sz w:val="24"/>
                <w:szCs w:val="24"/>
              </w:rPr>
              <w:t>鼓励有条件的地方通过租赁、转换、购买等方式，对人工商品林实行统一管护，并将重要生态区位的人工商品林按规定逐步转为公益</w:t>
            </w:r>
            <w:r>
              <w:rPr>
                <w:rFonts w:hint="eastAsia" w:ascii="仿宋_GB2312" w:hAnsi="仿宋_GB2312" w:eastAsia="仿宋_GB2312" w:cs="Times New Roman"/>
                <w:sz w:val="24"/>
                <w:szCs w:val="24"/>
              </w:rPr>
              <w:t>林。</w:t>
            </w:r>
          </w:p>
          <w:p w14:paraId="5C937CBC">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0"/>
              </w:rPr>
              <w:t>③</w:t>
            </w:r>
            <w:r>
              <w:rPr>
                <w:rFonts w:ascii="仿宋_GB2312" w:hAnsi="仿宋_GB2312" w:eastAsia="仿宋_GB2312" w:cs="Times New Roman"/>
                <w:sz w:val="24"/>
                <w:szCs w:val="24"/>
              </w:rPr>
              <w:t>零星分布的已有水电、风电、光伏设施，按照相关法律法规规定进行管理，严禁扩大现有规模与范围，项目到期后由建设单位负责做好生态修复。</w:t>
            </w:r>
          </w:p>
        </w:tc>
      </w:tr>
    </w:tbl>
    <w:p w14:paraId="42B7743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严格落实城镇开发边界</w:t>
      </w:r>
    </w:p>
    <w:p w14:paraId="7C85F72B">
      <w:pPr>
        <w:pStyle w:val="7"/>
        <w:ind w:firstLine="640" w:firstLineChars="200"/>
        <w:rPr>
          <w:rFonts w:ascii="仿宋_GB2312" w:hAnsi="仿宋_GB2312" w:cs="仿宋_GB2312"/>
          <w:szCs w:val="24"/>
          <w:lang w:bidi="ar"/>
        </w:rPr>
      </w:pPr>
      <w:r>
        <w:rPr>
          <w:rFonts w:hint="eastAsia" w:ascii="仿宋_GB2312" w:hAnsi="仿宋_GB2312" w:cs="仿宋_GB2312"/>
          <w:szCs w:val="24"/>
          <w:u w:val="single"/>
          <w:lang w:bidi="ar"/>
        </w:rPr>
        <w:t>到2035年，龙羊峡镇城镇开发边界面积控制在2020年现状城镇建设用地规模的</w:t>
      </w:r>
      <w:r>
        <w:rPr>
          <w:rFonts w:ascii="仿宋_GB2312" w:hAnsi="仿宋_GB2312" w:cs="仿宋_GB2312"/>
          <w:szCs w:val="24"/>
          <w:u w:val="single"/>
          <w:lang w:bidi="ar"/>
        </w:rPr>
        <w:t>1.05</w:t>
      </w:r>
      <w:r>
        <w:rPr>
          <w:rFonts w:hint="eastAsia" w:ascii="仿宋_GB2312" w:hAnsi="仿宋_GB2312" w:cs="仿宋_GB2312"/>
          <w:szCs w:val="24"/>
          <w:u w:val="single"/>
          <w:lang w:bidi="ar"/>
        </w:rPr>
        <w:t>倍，城镇开发边界面积</w:t>
      </w:r>
      <w:r>
        <w:rPr>
          <w:rFonts w:ascii="仿宋_GB2312" w:hAnsi="仿宋_GB2312" w:cs="仿宋_GB2312"/>
          <w:szCs w:val="24"/>
          <w:u w:val="single"/>
          <w:lang w:bidi="ar"/>
        </w:rPr>
        <w:t>96.88</w:t>
      </w:r>
      <w:r>
        <w:rPr>
          <w:rFonts w:hint="eastAsia" w:ascii="仿宋_GB2312" w:hAnsi="仿宋_GB2312" w:cs="仿宋_GB2312"/>
          <w:szCs w:val="24"/>
          <w:u w:val="single"/>
          <w:lang w:bidi="ar"/>
        </w:rPr>
        <w:t>公顷。</w:t>
      </w:r>
      <w:r>
        <w:rPr>
          <w:rFonts w:hint="eastAsia" w:ascii="仿宋_GB2312" w:hAnsi="仿宋_GB2312" w:cs="仿宋_GB2312"/>
          <w:szCs w:val="24"/>
          <w:lang w:bidi="ar"/>
        </w:rPr>
        <w:t>城镇开发边界一经划定，原则上不得调整，因国家和省重大战略实施、重大政策调整、重大项目建设以及行政区划调整等确需调整的，按国土空间规划修改程序进行。</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67D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tcPr>
          <w:p w14:paraId="5CEB0807">
            <w:pPr>
              <w:tabs>
                <w:tab w:val="left" w:pos="353"/>
              </w:tabs>
              <w:spacing w:line="600" w:lineRule="exact"/>
              <w:ind w:firstLine="21" w:firstLineChars="7"/>
              <w:jc w:val="center"/>
              <w:rPr>
                <w:rFonts w:ascii="仿宋_GB2312" w:hAnsi="仿宋_GB2312" w:eastAsia="仿宋_GB2312" w:cs="Times New Roman"/>
                <w:b/>
                <w:szCs w:val="28"/>
              </w:rPr>
            </w:pPr>
            <w:r>
              <w:rPr>
                <w:rFonts w:hint="eastAsia" w:ascii="黑体" w:hAnsi="黑体" w:eastAsia="黑体" w:cs="Times New Roman"/>
                <w:sz w:val="30"/>
                <w:szCs w:val="30"/>
              </w:rPr>
              <w:t>专栏</w:t>
            </w:r>
            <w:r>
              <w:rPr>
                <w:rFonts w:ascii="黑体" w:hAnsi="黑体" w:eastAsia="黑体" w:cs="Times New Roman"/>
                <w:sz w:val="30"/>
                <w:szCs w:val="30"/>
              </w:rPr>
              <w:t xml:space="preserve">4 </w:t>
            </w:r>
            <w:r>
              <w:rPr>
                <w:rFonts w:hint="eastAsia" w:ascii="黑体" w:hAnsi="黑体" w:eastAsia="黑体" w:cs="Times New Roman"/>
                <w:sz w:val="30"/>
                <w:szCs w:val="30"/>
              </w:rPr>
              <w:t>城镇开发边界管理规则</w:t>
            </w:r>
          </w:p>
        </w:tc>
      </w:tr>
      <w:tr w14:paraId="16E9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tcPr>
          <w:p w14:paraId="5F82206F">
            <w:pPr>
              <w:spacing w:line="500" w:lineRule="exact"/>
              <w:ind w:firstLine="480" w:firstLineChars="200"/>
              <w:rPr>
                <w:rFonts w:ascii="仿宋_GB2312" w:hAnsi="仿宋_GB2312" w:eastAsia="仿宋_GB2312" w:cs="Times New Roman"/>
                <w:sz w:val="24"/>
                <w:szCs w:val="24"/>
              </w:rPr>
            </w:pPr>
            <w:bookmarkStart w:id="25" w:name="_Hlk133223133"/>
            <w:r>
              <w:rPr>
                <w:rFonts w:hint="eastAsia" w:ascii="仿宋_GB2312" w:hAnsi="仿宋_GB2312" w:eastAsia="仿宋_GB2312" w:cs="Times New Roman"/>
                <w:sz w:val="24"/>
                <w:szCs w:val="24"/>
              </w:rPr>
              <w:t>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不得进行城镇集中建设，不得设立各类开发区。</w:t>
            </w:r>
          </w:p>
          <w:p w14:paraId="2FB6B7BF">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①集中建设区用于布局城市、建制镇和新区、开发区等各类城镇集中建设。</w:t>
            </w:r>
          </w:p>
          <w:p w14:paraId="3E9580CB">
            <w:pPr>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②弹性发展区在满足特定条件下方可进行城镇开发和集中建设。在不突破规划城镇建设用地规模的前提下，城镇建设用地布局可在弹性发展区范围内进行调整。</w:t>
            </w:r>
          </w:p>
          <w:p w14:paraId="50B5C443">
            <w:pPr>
              <w:tabs>
                <w:tab w:val="left" w:pos="353"/>
              </w:tabs>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③特别用途区原则上禁止任何城镇集中建设行为，实施建设用地总量控制，原则上不得新增除市政基础设施、交通物流基础设施、生态修复工程、必要的配套及游憩设施外的其他城镇建设用地。</w:t>
            </w:r>
            <w:bookmarkEnd w:id="25"/>
          </w:p>
        </w:tc>
      </w:tr>
    </w:tbl>
    <w:p w14:paraId="7C3D71DD">
      <w:pPr>
        <w:keepNext/>
        <w:keepLines/>
        <w:numPr>
          <w:ilvl w:val="0"/>
          <w:numId w:val="4"/>
        </w:numPr>
        <w:tabs>
          <w:tab w:val="left" w:pos="851"/>
        </w:tabs>
        <w:spacing w:before="300" w:line="420" w:lineRule="exact"/>
        <w:ind w:left="0" w:firstLine="640" w:firstLineChars="200"/>
        <w:jc w:val="left"/>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科学划定村庄建设面积</w:t>
      </w:r>
    </w:p>
    <w:p w14:paraId="70F8BC4A">
      <w:pPr>
        <w:ind w:firstLine="560"/>
        <w:rPr>
          <w:rFonts w:hint="eastAsia" w:ascii="仿宋_GB2312" w:hAnsi="仿宋_GB2312" w:eastAsia="仿宋_GB2312" w:cs="仿宋_GB2312"/>
          <w:kern w:val="2"/>
          <w:sz w:val="32"/>
          <w:szCs w:val="24"/>
          <w:lang w:val="en-US" w:eastAsia="zh-CN" w:bidi="ar"/>
        </w:rPr>
      </w:pPr>
      <w:r>
        <w:rPr>
          <w:rFonts w:hint="eastAsia" w:ascii="仿宋_GB2312" w:hAnsi="仿宋_GB2312" w:eastAsia="仿宋_GB2312" w:cs="仿宋_GB2312"/>
          <w:kern w:val="2"/>
          <w:sz w:val="32"/>
          <w:szCs w:val="24"/>
          <w:lang w:val="en-US" w:eastAsia="zh-CN" w:bidi="ar"/>
        </w:rPr>
        <w:t>结合村庄发展布局，到2035年，龙羊峡镇村庄建设边界面积控制在291.31公顷。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8D0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vAlign w:val="center"/>
          </w:tcPr>
          <w:p w14:paraId="3A43DF05">
            <w:pPr>
              <w:jc w:val="center"/>
              <w:rPr>
                <w:highlight w:val="none"/>
              </w:rPr>
            </w:pPr>
            <w:r>
              <w:rPr>
                <w:rFonts w:hint="eastAsia" w:ascii="黑体" w:hAnsi="黑体" w:eastAsia="黑体" w:cs="Times New Roman"/>
                <w:sz w:val="30"/>
                <w:szCs w:val="30"/>
                <w:highlight w:val="none"/>
                <w:lang w:val="en-US" w:eastAsia="zh-CN"/>
              </w:rPr>
              <w:t>专栏5 村庄建设用地控制线范围内管理原则</w:t>
            </w:r>
          </w:p>
        </w:tc>
      </w:tr>
      <w:tr w14:paraId="29D2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vAlign w:val="center"/>
          </w:tcPr>
          <w:p w14:paraId="7489C5C9">
            <w:pPr>
              <w:keepNext w:val="0"/>
              <w:keepLines w:val="0"/>
              <w:widowControl w:val="0"/>
              <w:suppressLineNumbers w:val="0"/>
              <w:spacing w:before="0" w:beforeAutospacing="0" w:after="0" w:afterAutospacing="0" w:line="500" w:lineRule="exact"/>
              <w:ind w:left="0" w:right="0" w:firstLine="480" w:firstLineChars="200"/>
              <w:jc w:val="both"/>
              <w:rPr>
                <w:rFonts w:hint="eastAsia" w:ascii="仿宋_GB2312" w:hAnsi="仿宋_GB2312" w:eastAsia="仿宋_GB2312" w:cs="Times New Roman"/>
                <w:kern w:val="2"/>
                <w:sz w:val="24"/>
                <w:szCs w:val="24"/>
                <w:highlight w:val="none"/>
                <w:lang w:val="en-US" w:eastAsia="zh-CN" w:bidi="ar-SA"/>
              </w:rPr>
            </w:pPr>
            <w:r>
              <w:rPr>
                <w:rFonts w:hint="eastAsia" w:ascii="仿宋_GB2312" w:hAnsi="仿宋_GB2312" w:eastAsia="仿宋_GB2312" w:cs="Times New Roman"/>
                <w:kern w:val="2"/>
                <w:sz w:val="24"/>
                <w:szCs w:val="24"/>
                <w:highlight w:val="none"/>
                <w:lang w:val="en-US" w:eastAsia="zh-CN" w:bidi="ar-SA"/>
              </w:rPr>
              <w:t>（1）乡（镇）村兴办企业需要使用土地的，应当持有关批准文件，向县级以上地方人民政府土地行政主管部门提出申请，按照省、自治区、直辖市规定的批准权限，由县级以上人民政府批准；其中，涉及占用农用地的的，依法办理农用地转用审批手续。</w:t>
            </w:r>
          </w:p>
          <w:p w14:paraId="68D22430">
            <w:pPr>
              <w:keepNext w:val="0"/>
              <w:keepLines w:val="0"/>
              <w:widowControl w:val="0"/>
              <w:suppressLineNumbers w:val="0"/>
              <w:spacing w:before="0" w:beforeAutospacing="0" w:after="0" w:afterAutospacing="0" w:line="500" w:lineRule="exact"/>
              <w:ind w:left="0" w:right="0" w:firstLine="480" w:firstLineChars="200"/>
              <w:jc w:val="both"/>
              <w:rPr>
                <w:rFonts w:hint="eastAsia" w:ascii="仿宋_GB2312" w:hAnsi="仿宋_GB2312" w:eastAsia="仿宋_GB2312" w:cs="Times New Roman"/>
                <w:kern w:val="2"/>
                <w:sz w:val="24"/>
                <w:szCs w:val="24"/>
                <w:highlight w:val="none"/>
                <w:lang w:val="en-US" w:eastAsia="zh-CN" w:bidi="ar-SA"/>
              </w:rPr>
            </w:pPr>
            <w:r>
              <w:rPr>
                <w:rFonts w:hint="eastAsia" w:ascii="仿宋_GB2312" w:hAnsi="仿宋_GB2312" w:eastAsia="仿宋_GB2312" w:cs="Times New Roman"/>
                <w:kern w:val="2"/>
                <w:sz w:val="24"/>
                <w:szCs w:val="24"/>
                <w:highlight w:val="none"/>
                <w:lang w:val="en-US" w:eastAsia="zh-CN" w:bidi="ar-SA"/>
              </w:rPr>
              <w:t>（2）乡（镇）村公共设施、公益事业建设，需要使用土地的，先经乡（镇）人民政府审核，其他审批程序同于乡（镇）村兴办企业用地。</w:t>
            </w:r>
          </w:p>
          <w:p w14:paraId="13116B82">
            <w:pPr>
              <w:keepNext w:val="0"/>
              <w:keepLines w:val="0"/>
              <w:widowControl w:val="0"/>
              <w:suppressLineNumbers w:val="0"/>
              <w:spacing w:before="0" w:beforeAutospacing="0" w:after="0" w:afterAutospacing="0" w:line="500" w:lineRule="exact"/>
              <w:ind w:left="0" w:right="0" w:firstLine="480" w:firstLineChars="200"/>
              <w:jc w:val="both"/>
              <w:rPr>
                <w:rFonts w:hAnsi="Times New Roman" w:cs="Times New Roman"/>
                <w:highlight w:val="none"/>
              </w:rPr>
            </w:pPr>
            <w:r>
              <w:rPr>
                <w:rFonts w:hint="eastAsia" w:ascii="仿宋_GB2312" w:hAnsi="仿宋_GB2312" w:eastAsia="仿宋_GB2312" w:cs="Times New Roman"/>
                <w:kern w:val="2"/>
                <w:sz w:val="24"/>
                <w:szCs w:val="24"/>
                <w:highlight w:val="none"/>
                <w:lang w:val="en-US" w:eastAsia="zh-CN" w:bidi="ar-SA"/>
              </w:rPr>
              <w:t>（3）农村村民住宅用地，经乡（镇）人民政府审核，由县级人民政府批准；其中，涉及占用农用地的，依法办理农用地转用审批手续。</w:t>
            </w:r>
          </w:p>
        </w:tc>
      </w:tr>
    </w:tbl>
    <w:p w14:paraId="696D95C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强化自然灾害综合风险防控</w:t>
      </w:r>
    </w:p>
    <w:p w14:paraId="488C80E7">
      <w:pPr>
        <w:pStyle w:val="7"/>
        <w:ind w:firstLine="640" w:firstLineChars="200"/>
        <w:rPr>
          <w:rFonts w:ascii="仿宋_GB2312" w:hAnsi="仿宋_GB2312" w:cs="仿宋_GB2312"/>
          <w:szCs w:val="24"/>
          <w:lang w:bidi="ar"/>
        </w:rPr>
      </w:pPr>
      <w:r>
        <w:rPr>
          <w:rFonts w:hint="eastAsia" w:ascii="楷体_GB2312" w:hAnsi="楷体_GB2312" w:eastAsia="楷体_GB2312" w:cs="楷体_GB2312"/>
          <w:szCs w:val="24"/>
          <w:lang w:bidi="ar"/>
        </w:rPr>
        <w:t>地质灾害风险区。</w:t>
      </w:r>
      <w:r>
        <w:rPr>
          <w:rFonts w:hint="eastAsia" w:ascii="仿宋_GB2312" w:hAnsi="仿宋_GB2312" w:cs="仿宋_GB2312"/>
          <w:szCs w:val="24"/>
          <w:lang w:bidi="ar"/>
        </w:rPr>
        <w:t>镇域地质灾害主要类型包括滑坡、崩塌、泥石流等，地质灾害高风险区面积约</w:t>
      </w:r>
      <w:r>
        <w:rPr>
          <w:rFonts w:ascii="仿宋_GB2312" w:hAnsi="仿宋_GB2312" w:cs="仿宋_GB2312"/>
          <w:szCs w:val="24"/>
          <w:lang w:bidi="ar"/>
        </w:rPr>
        <w:t>267.98</w:t>
      </w:r>
      <w:r>
        <w:rPr>
          <w:rFonts w:hint="eastAsia" w:ascii="仿宋_GB2312" w:hAnsi="仿宋_GB2312" w:cs="仿宋_GB2312"/>
          <w:szCs w:val="24"/>
          <w:lang w:bidi="ar"/>
        </w:rPr>
        <w:t>平方千米，地质灾害中风险区面积约</w:t>
      </w:r>
      <w:r>
        <w:rPr>
          <w:rFonts w:ascii="仿宋_GB2312" w:hAnsi="仿宋_GB2312" w:cs="仿宋_GB2312"/>
          <w:szCs w:val="24"/>
          <w:lang w:bidi="ar"/>
        </w:rPr>
        <w:t>241.34</w:t>
      </w:r>
      <w:r>
        <w:rPr>
          <w:rFonts w:hint="eastAsia" w:ascii="仿宋_GB2312" w:hAnsi="仿宋_GB2312" w:cs="仿宋_GB2312"/>
          <w:szCs w:val="24"/>
          <w:lang w:bidi="ar"/>
        </w:rPr>
        <w:t>平方千米，地质灾害低风险区面积约</w:t>
      </w:r>
      <w:r>
        <w:rPr>
          <w:rFonts w:ascii="仿宋_GB2312" w:hAnsi="仿宋_GB2312" w:cs="仿宋_GB2312"/>
          <w:szCs w:val="24"/>
          <w:lang w:bidi="ar"/>
        </w:rPr>
        <w:t>57.74</w:t>
      </w:r>
      <w:r>
        <w:rPr>
          <w:rFonts w:hint="eastAsia" w:ascii="仿宋_GB2312" w:hAnsi="仿宋_GB2312" w:cs="仿宋_GB2312"/>
          <w:szCs w:val="24"/>
          <w:lang w:bidi="ar"/>
        </w:rPr>
        <w:t>平方千米。城乡建设应充分考虑地质灾害风险影响，分类明确风险管控措施，</w:t>
      </w:r>
      <w:r>
        <w:rPr>
          <w:rFonts w:hint="eastAsia" w:ascii="仿宋_GB2312" w:hAnsi="仿宋_GB2312" w:cs="仿宋_GB2312"/>
          <w:szCs w:val="24"/>
          <w:u w:val="single"/>
          <w:lang w:bidi="ar"/>
        </w:rPr>
        <w:t>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41288863">
      <w:pPr>
        <w:pStyle w:val="7"/>
        <w:ind w:firstLine="640" w:firstLineChars="200"/>
        <w:rPr>
          <w:rFonts w:ascii="仿宋_GB2312" w:hAnsi="仿宋_GB2312" w:cs="仿宋_GB2312"/>
          <w:szCs w:val="24"/>
          <w:lang w:bidi="ar"/>
        </w:rPr>
      </w:pPr>
      <w:r>
        <w:rPr>
          <w:rFonts w:hint="eastAsia" w:ascii="楷体_GB2312" w:hAnsi="楷体_GB2312" w:eastAsia="楷体_GB2312" w:cs="楷体_GB2312"/>
          <w:szCs w:val="24"/>
          <w:lang w:bidi="ar"/>
        </w:rPr>
        <w:t>洪涝风险控制线。</w:t>
      </w:r>
      <w:r>
        <w:rPr>
          <w:rFonts w:hint="eastAsia" w:ascii="仿宋_GB2312" w:hAnsi="仿宋_GB2312" w:cs="仿宋_GB2312"/>
          <w:szCs w:val="24"/>
          <w:lang w:bidi="ar"/>
        </w:rPr>
        <w:t>以水利部门依法划定的河湖管理范围为基础，将镇域主要水库、河湖湿地等洪涝水行泄、调蓄的自然空间划入洪涝风险控制线，保障防洪排涝系统完整性和通达性，洪涝风险控制线总面积</w:t>
      </w:r>
      <w:r>
        <w:rPr>
          <w:rFonts w:ascii="仿宋_GB2312" w:hAnsi="仿宋_GB2312" w:cs="仿宋_GB2312"/>
          <w:szCs w:val="24"/>
          <w:lang w:bidi="ar"/>
        </w:rPr>
        <w:t>4.42</w:t>
      </w:r>
      <w:r>
        <w:rPr>
          <w:rFonts w:hint="eastAsia" w:ascii="仿宋_GB2312" w:hAnsi="仿宋_GB2312" w:cs="仿宋_GB2312"/>
          <w:szCs w:val="24"/>
          <w:lang w:bidi="ar"/>
        </w:rPr>
        <w:t>平方千米。</w:t>
      </w:r>
      <w:r>
        <w:rPr>
          <w:rFonts w:hint="eastAsia" w:ascii="仿宋_GB2312" w:hAnsi="仿宋_GB2312" w:cs="仿宋_GB2312"/>
          <w:szCs w:val="24"/>
          <w:u w:val="single"/>
          <w:lang w:bidi="ar"/>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2F52A87C">
      <w:pPr>
        <w:pStyle w:val="3"/>
        <w:numPr>
          <w:ilvl w:val="1"/>
          <w:numId w:val="6"/>
        </w:numPr>
        <w:spacing w:before="100" w:after="100" w:line="400" w:lineRule="exact"/>
        <w:ind w:firstLine="0"/>
        <w:jc w:val="center"/>
        <w:rPr>
          <w:rFonts w:ascii="Arial" w:hAnsi="Arial" w:eastAsia="黑体" w:cs="Times New Roman"/>
          <w:b w:val="0"/>
          <w:lang w:val="zh-CN"/>
        </w:rPr>
      </w:pPr>
      <w:bookmarkStart w:id="26" w:name="_Toc11692"/>
      <w:r>
        <w:rPr>
          <w:rFonts w:hint="eastAsia" w:ascii="Arial" w:hAnsi="Arial" w:eastAsia="黑体" w:cs="Times New Roman"/>
          <w:b w:val="0"/>
          <w:lang w:val="zh-CN"/>
        </w:rPr>
        <w:t>严格落实主体功能区布局</w:t>
      </w:r>
      <w:bookmarkEnd w:id="26"/>
    </w:p>
    <w:p w14:paraId="26509F1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落实主体功能区布局</w:t>
      </w:r>
    </w:p>
    <w:p w14:paraId="68085DF4">
      <w:pPr>
        <w:pStyle w:val="7"/>
        <w:ind w:firstLine="640" w:firstLineChars="200"/>
        <w:rPr>
          <w:rFonts w:ascii="仿宋_GB2312" w:hAnsi="仿宋_GB2312" w:cs="仿宋_GB2312"/>
          <w:szCs w:val="24"/>
          <w:lang w:bidi="ar"/>
        </w:rPr>
      </w:pPr>
      <w:r>
        <w:rPr>
          <w:rFonts w:hint="eastAsia" w:ascii="仿宋_GB2312" w:hAnsi="仿宋_GB2312" w:cs="仿宋_GB2312"/>
          <w:szCs w:val="24"/>
          <w:lang w:bidi="ar"/>
        </w:rPr>
        <w:t>共和县国土空间规划确定龙羊峡镇为城市化地区，</w:t>
      </w:r>
      <w:r>
        <w:rPr>
          <w:rFonts w:hint="eastAsia" w:ascii="仿宋_GB2312" w:hAnsi="仿宋_GB2312" w:cs="仿宋_GB2312"/>
          <w:szCs w:val="24"/>
          <w:lang w:val="en-US" w:eastAsia="zh-CN" w:bidi="ar"/>
        </w:rPr>
        <w:t>叠加历史文化资源富集区，</w:t>
      </w:r>
      <w:r>
        <w:rPr>
          <w:rFonts w:hint="eastAsia" w:ascii="仿宋_GB2312" w:hAnsi="仿宋_GB2312" w:cs="仿宋_GB2312"/>
          <w:szCs w:val="24"/>
          <w:lang w:bidi="ar"/>
        </w:rPr>
        <w:t>是全</w:t>
      </w:r>
      <w:r>
        <w:rPr>
          <w:rFonts w:hint="eastAsia" w:ascii="仿宋_GB2312" w:hAnsi="仿宋_GB2312" w:cs="仿宋_GB2312"/>
          <w:szCs w:val="24"/>
          <w:lang w:val="en-US" w:eastAsia="zh-CN" w:bidi="ar"/>
        </w:rPr>
        <w:t>镇</w:t>
      </w:r>
      <w:r>
        <w:rPr>
          <w:rFonts w:hint="eastAsia" w:ascii="仿宋_GB2312" w:hAnsi="仿宋_GB2312" w:cs="仿宋_GB2312"/>
          <w:szCs w:val="24"/>
          <w:lang w:bidi="ar"/>
        </w:rPr>
        <w:t>人口、产业集聚的主要载体。</w:t>
      </w:r>
    </w:p>
    <w:p w14:paraId="38E8C9D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加强主体功能区管控</w:t>
      </w:r>
    </w:p>
    <w:p w14:paraId="3997A94E">
      <w:pPr>
        <w:pStyle w:val="7"/>
        <w:ind w:firstLine="640" w:firstLineChars="200"/>
        <w:rPr>
          <w:rFonts w:hint="eastAsia" w:ascii="仿宋_GB2312" w:hAnsi="仿宋_GB2312" w:cs="仿宋_GB2312"/>
          <w:szCs w:val="24"/>
          <w:lang w:bidi="ar"/>
        </w:rPr>
      </w:pPr>
      <w:r>
        <w:rPr>
          <w:rFonts w:hint="eastAsia" w:ascii="仿宋_GB2312" w:hAnsi="仿宋_GB2312" w:cs="仿宋_GB2312"/>
          <w:szCs w:val="24"/>
          <w:lang w:bidi="ar"/>
        </w:rPr>
        <w:t>龙羊峡镇为城市化地区，是全</w:t>
      </w:r>
      <w:r>
        <w:rPr>
          <w:rFonts w:hint="eastAsia" w:ascii="仿宋_GB2312" w:hAnsi="仿宋_GB2312" w:cs="仿宋_GB2312"/>
          <w:szCs w:val="24"/>
          <w:lang w:val="en-US" w:eastAsia="zh-CN" w:bidi="ar"/>
        </w:rPr>
        <w:t>镇</w:t>
      </w:r>
      <w:r>
        <w:rPr>
          <w:rFonts w:hint="eastAsia" w:ascii="仿宋_GB2312" w:hAnsi="仿宋_GB2312" w:cs="仿宋_GB2312"/>
          <w:szCs w:val="24"/>
          <w:lang w:bidi="ar"/>
        </w:rPr>
        <w:t>人口和产业主要集聚地区，辐射带动区域经济社会发展，提高地区综合竞争力，成为带动</w:t>
      </w:r>
      <w:r>
        <w:rPr>
          <w:rFonts w:hint="eastAsia" w:ascii="仿宋_GB2312" w:hAnsi="仿宋_GB2312" w:cs="仿宋_GB2312"/>
          <w:szCs w:val="24"/>
          <w:lang w:val="en-US" w:eastAsia="zh-CN" w:bidi="ar"/>
        </w:rPr>
        <w:t>龙羊峡镇</w:t>
      </w:r>
      <w:r>
        <w:rPr>
          <w:rFonts w:hint="eastAsia" w:ascii="仿宋_GB2312" w:hAnsi="仿宋_GB2312" w:cs="仿宋_GB2312"/>
          <w:szCs w:val="24"/>
          <w:lang w:bidi="ar"/>
        </w:rPr>
        <w:t>崛起的协调发展、绿色发展、高质发展、特色发展和安全发展的先行区域。鼓励人口向</w:t>
      </w:r>
      <w:r>
        <w:rPr>
          <w:rFonts w:hint="eastAsia" w:ascii="仿宋_GB2312" w:hAnsi="仿宋_GB2312" w:cs="仿宋_GB2312"/>
          <w:szCs w:val="24"/>
          <w:lang w:val="en-US" w:eastAsia="zh-CN" w:bidi="ar"/>
        </w:rPr>
        <w:t>镇区</w:t>
      </w:r>
      <w:r>
        <w:rPr>
          <w:rFonts w:hint="eastAsia" w:ascii="仿宋_GB2312" w:hAnsi="仿宋_GB2312" w:cs="仿宋_GB2312"/>
          <w:szCs w:val="24"/>
          <w:lang w:bidi="ar"/>
        </w:rPr>
        <w:t>转移和集聚，重点保障民生设施、产业和基础设施项目的用地，完善城乡建设用地增减挂钩制度，提高建设用地的集约节约利用程度。精致配置各项服务配套设施，持续完善基础设施配置，因地制宜建设各具特色的高原美丽城镇，探索高原牧区城镇化的新路径。</w:t>
      </w:r>
    </w:p>
    <w:p w14:paraId="5196AE26">
      <w:pPr>
        <w:pStyle w:val="7"/>
        <w:ind w:firstLine="640" w:firstLineChars="200"/>
        <w:rPr>
          <w:rFonts w:hint="eastAsia" w:ascii="仿宋_GB2312" w:hAnsi="仿宋_GB2312" w:cs="仿宋_GB2312"/>
          <w:szCs w:val="24"/>
          <w:lang w:bidi="ar"/>
        </w:rPr>
      </w:pPr>
      <w:r>
        <w:rPr>
          <w:rFonts w:hint="eastAsia" w:ascii="仿宋_GB2312" w:hAnsi="仿宋_GB2312" w:cs="仿宋_GB2312"/>
          <w:szCs w:val="24"/>
          <w:lang w:bidi="ar"/>
        </w:rPr>
        <w:t>龙羊峡镇</w:t>
      </w:r>
      <w:r>
        <w:rPr>
          <w:rFonts w:hint="eastAsia" w:ascii="仿宋_GB2312" w:hAnsi="仿宋_GB2312" w:cs="仿宋_GB2312"/>
          <w:szCs w:val="24"/>
          <w:lang w:val="en-US" w:eastAsia="zh-CN" w:bidi="ar"/>
        </w:rPr>
        <w:t>叠加历史文化资源富集区，</w:t>
      </w:r>
      <w:r>
        <w:rPr>
          <w:rFonts w:hint="eastAsia" w:ascii="仿宋_GB2312" w:hAnsi="仿宋_GB2312" w:eastAsia="仿宋_GB2312" w:cs="仿宋_GB2312"/>
          <w:sz w:val="32"/>
          <w:szCs w:val="32"/>
          <w:lang w:bidi="ar"/>
        </w:rPr>
        <w:t>严格该区域的用途管制和规划许可，防止大拆大建破坏文物等各类历史文化遗存本体及其环境；在保障历史文化遗存安全的前提下，鼓励对各类遗存的活化利用，充分保障与历史文化遗存保护、展示利用相关的用地。</w:t>
      </w:r>
    </w:p>
    <w:p w14:paraId="0C17F7B9">
      <w:pPr>
        <w:pStyle w:val="3"/>
        <w:numPr>
          <w:ilvl w:val="1"/>
          <w:numId w:val="6"/>
        </w:numPr>
        <w:spacing w:before="100" w:after="100" w:line="400" w:lineRule="exact"/>
        <w:ind w:firstLine="0"/>
        <w:jc w:val="center"/>
        <w:rPr>
          <w:rFonts w:ascii="Arial" w:hAnsi="Arial" w:eastAsia="黑体" w:cs="Times New Roman"/>
          <w:b w:val="0"/>
          <w:lang w:val="zh-CN"/>
        </w:rPr>
      </w:pPr>
      <w:bookmarkStart w:id="27" w:name="_Toc8238"/>
      <w:r>
        <w:rPr>
          <w:rFonts w:hint="eastAsia" w:ascii="Arial" w:hAnsi="Arial" w:eastAsia="黑体" w:cs="Times New Roman"/>
          <w:b w:val="0"/>
          <w:lang w:val="zh-CN"/>
        </w:rPr>
        <w:t>构建国土空间开发保护新格局</w:t>
      </w:r>
      <w:bookmarkEnd w:id="27"/>
    </w:p>
    <w:p w14:paraId="21009EB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国土空间开发保护总体格局</w:t>
      </w:r>
    </w:p>
    <w:p w14:paraId="4B48619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规划构建“一轴一带三区”的城镇总体空间格局。</w:t>
      </w:r>
    </w:p>
    <w:p w14:paraId="66ED91D7">
      <w:pPr>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轴</w:t>
      </w:r>
      <w:r>
        <w:rPr>
          <w:rFonts w:hint="eastAsia" w:ascii="楷体_GB2312" w:hAnsi="楷体_GB2312" w:eastAsia="楷体_GB2312" w:cs="楷体_GB2312"/>
          <w:sz w:val="32"/>
          <w:szCs w:val="32"/>
        </w:rPr>
        <w:t>：</w:t>
      </w:r>
      <w:r>
        <w:rPr>
          <w:rFonts w:hint="eastAsia" w:ascii="仿宋_GB2312" w:hAnsi="仿宋_GB2312" w:eastAsia="仿宋_GB2312" w:cs="仿宋_GB2312"/>
          <w:kern w:val="2"/>
          <w:sz w:val="32"/>
          <w:szCs w:val="24"/>
          <w:lang w:val="en-US" w:eastAsia="zh-CN" w:bidi="ar"/>
        </w:rPr>
        <w:t>以S307为支撑，连接龙羊峡与共和县，串联村庄及乡镇，形成镇村发展轴</w:t>
      </w:r>
      <w:r>
        <w:rPr>
          <w:rFonts w:hint="eastAsia" w:ascii="仿宋_GB2312" w:hAnsi="仿宋_GB2312" w:eastAsia="仿宋_GB2312" w:cs="仿宋_GB2312"/>
          <w:sz w:val="32"/>
          <w:szCs w:val="32"/>
        </w:rPr>
        <w:t>。</w:t>
      </w:r>
    </w:p>
    <w:p w14:paraId="14224E29">
      <w:pPr>
        <w:spacing w:line="600" w:lineRule="exact"/>
        <w:ind w:firstLine="640" w:firstLineChars="200"/>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一带：</w:t>
      </w:r>
      <w:r>
        <w:rPr>
          <w:rFonts w:hint="eastAsia" w:ascii="仿宋_GB2312" w:hAnsi="仿宋_GB2312" w:eastAsia="仿宋_GB2312" w:cs="仿宋_GB2312"/>
          <w:sz w:val="32"/>
          <w:szCs w:val="32"/>
          <w:lang w:val="en-US" w:eastAsia="zh-CN"/>
        </w:rPr>
        <w:t>沿黄河岸线形成的沿黄生态保护带。</w:t>
      </w:r>
    </w:p>
    <w:p w14:paraId="545867C2">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三片区：</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地理位置、生态等</w:t>
      </w:r>
      <w:r>
        <w:rPr>
          <w:rFonts w:hint="eastAsia" w:ascii="仿宋_GB2312" w:hAnsi="仿宋_GB2312" w:eastAsia="仿宋_GB2312" w:cs="仿宋_GB2312"/>
          <w:sz w:val="32"/>
          <w:szCs w:val="32"/>
        </w:rPr>
        <w:t>不同的地理特征和资源分布情况，将龙羊峡镇划分为</w:t>
      </w:r>
      <w:r>
        <w:rPr>
          <w:rFonts w:hint="eastAsia" w:ascii="仿宋_GB2312" w:hAnsi="仿宋_GB2312" w:eastAsia="仿宋_GB2312" w:cs="仿宋_GB2312"/>
          <w:sz w:val="32"/>
          <w:szCs w:val="32"/>
          <w:lang w:val="en-US" w:eastAsia="zh-CN"/>
        </w:rPr>
        <w:t>现代农牧区、沿黄适度养殖与现代农业区以及镇村发展区</w:t>
      </w:r>
      <w:r>
        <w:rPr>
          <w:rFonts w:hint="eastAsia" w:ascii="仿宋_GB2312" w:hAnsi="仿宋_GB2312" w:eastAsia="仿宋_GB2312" w:cs="仿宋_GB2312"/>
          <w:sz w:val="32"/>
          <w:szCs w:val="32"/>
        </w:rPr>
        <w:t>三大片区。</w:t>
      </w:r>
    </w:p>
    <w:p w14:paraId="4A89F034">
      <w:pPr>
        <w:pStyle w:val="3"/>
        <w:numPr>
          <w:ilvl w:val="1"/>
          <w:numId w:val="6"/>
        </w:numPr>
        <w:spacing w:before="100" w:after="100" w:line="400" w:lineRule="exact"/>
        <w:ind w:firstLine="0"/>
        <w:jc w:val="center"/>
        <w:rPr>
          <w:rFonts w:ascii="Arial" w:hAnsi="Arial" w:eastAsia="黑体" w:cs="Times New Roman"/>
          <w:b w:val="0"/>
          <w:lang w:val="zh-CN"/>
        </w:rPr>
      </w:pPr>
      <w:bookmarkStart w:id="28" w:name="_Toc30133"/>
      <w:r>
        <w:rPr>
          <w:rFonts w:hint="eastAsia" w:ascii="Arial" w:hAnsi="Arial" w:eastAsia="黑体" w:cs="Times New Roman"/>
          <w:b w:val="0"/>
          <w:lang w:val="zh-CN"/>
        </w:rPr>
        <w:t>国土空间规划分区与用途管制</w:t>
      </w:r>
      <w:bookmarkEnd w:id="28"/>
    </w:p>
    <w:p w14:paraId="55356D9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生态保护区</w:t>
      </w:r>
    </w:p>
    <w:p w14:paraId="64CF3B8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落实县级国土空间规划“三区三线”划定成果，对生态功能重要区域及生态环境敏感脆弱区域进行严格保护。本次规划龙羊峡镇镇域范围内不涉及生态保护区。</w:t>
      </w:r>
    </w:p>
    <w:p w14:paraId="315A25B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生态控制区</w:t>
      </w:r>
    </w:p>
    <w:p w14:paraId="46D5F88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生态控制区是生态保护区之外，具有特殊重要生态功能或生态敏感脆弱，需要予以保留原貌、强化生态保育和生态建设、限制开发建设的自然区域，规划划定生态控制区</w:t>
      </w:r>
      <w:r>
        <w:rPr>
          <w:rFonts w:hint="eastAsia" w:ascii="仿宋_GB2312" w:hAnsi="仿宋_GB2312" w:eastAsia="仿宋_GB2312" w:cs="仿宋_GB2312"/>
          <w:sz w:val="32"/>
          <w:szCs w:val="32"/>
          <w:lang w:val="en-US" w:eastAsia="zh-CN"/>
        </w:rPr>
        <w:t>234.97</w:t>
      </w:r>
      <w:r>
        <w:rPr>
          <w:rFonts w:hint="eastAsia" w:ascii="仿宋_GB2312" w:hAnsi="仿宋_GB2312" w:eastAsia="仿宋_GB2312" w:cs="仿宋_GB2312"/>
          <w:sz w:val="32"/>
          <w:szCs w:val="32"/>
        </w:rPr>
        <w:t>平方千米，主要分布在龙羊峡水库库区。</w:t>
      </w:r>
    </w:p>
    <w:p w14:paraId="1B61FD0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农田保护区</w:t>
      </w:r>
    </w:p>
    <w:p w14:paraId="10EEEEF7">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落实县级国土空间规划“三区三线”划定成果，将相对集中需严格保护的永久基本农田纳入农田保护区，规划划定农田保护区</w:t>
      </w:r>
      <w:r>
        <w:rPr>
          <w:rFonts w:ascii="仿宋_GB2312" w:hAnsi="仿宋_GB2312" w:eastAsia="仿宋_GB2312" w:cs="仿宋_GB2312"/>
          <w:sz w:val="32"/>
          <w:szCs w:val="32"/>
        </w:rPr>
        <w:t>7.44</w:t>
      </w:r>
      <w:r>
        <w:rPr>
          <w:rFonts w:hint="eastAsia" w:ascii="仿宋_GB2312" w:hAnsi="仿宋_GB2312" w:eastAsia="仿宋_GB2312" w:cs="仿宋_GB2312"/>
          <w:sz w:val="32"/>
          <w:szCs w:val="32"/>
        </w:rPr>
        <w:t>平方千米。</w:t>
      </w:r>
    </w:p>
    <w:p w14:paraId="603F4F7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城镇发展区</w:t>
      </w:r>
    </w:p>
    <w:p w14:paraId="2ADB07B3">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落实县级国土空间规划“三区三线”划定成果，龙羊峡镇城镇发展区面积</w:t>
      </w:r>
      <w:r>
        <w:rPr>
          <w:rFonts w:hint="eastAsia" w:ascii="仿宋_GB2312" w:hAnsi="仿宋_GB2312" w:eastAsia="仿宋_GB2312" w:cs="仿宋_GB2312"/>
          <w:sz w:val="32"/>
          <w:szCs w:val="32"/>
          <w:lang w:val="en-US" w:eastAsia="zh-CN"/>
        </w:rPr>
        <w:t>0.97</w:t>
      </w:r>
      <w:r>
        <w:rPr>
          <w:rFonts w:hint="eastAsia" w:ascii="仿宋_GB2312" w:hAnsi="仿宋_GB2312" w:eastAsia="仿宋_GB2312" w:cs="仿宋_GB2312"/>
          <w:sz w:val="32"/>
          <w:szCs w:val="32"/>
        </w:rPr>
        <w:t>平方千米，均为城镇集中建设区，全部位于镇区。</w:t>
      </w:r>
    </w:p>
    <w:p w14:paraId="43EF0D1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乡村发展区</w:t>
      </w:r>
    </w:p>
    <w:p w14:paraId="09211627">
      <w:pPr>
        <w:spacing w:line="6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将永久基本农田保护区外的一般耕地、部分林地、村庄用地等以农业生产、林地保育、乡村发展为主的区域划定为乡村发展区。规划乡村发展区</w:t>
      </w:r>
      <w:r>
        <w:rPr>
          <w:rFonts w:hint="eastAsia" w:ascii="仿宋_GB2312" w:hAnsi="仿宋_GB2312" w:eastAsia="仿宋_GB2312" w:cs="仿宋_GB2312"/>
          <w:sz w:val="32"/>
          <w:szCs w:val="32"/>
          <w:lang w:val="en-US" w:eastAsia="zh-CN"/>
        </w:rPr>
        <w:t>515.39</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村庄建设区</w:t>
      </w:r>
      <w:r>
        <w:rPr>
          <w:rFonts w:hint="eastAsia" w:ascii="仿宋_GB2312" w:hAnsi="仿宋_GB2312" w:eastAsia="仿宋_GB2312" w:cs="仿宋_GB2312"/>
          <w:sz w:val="32"/>
          <w:szCs w:val="32"/>
          <w:lang w:val="en-US" w:eastAsia="zh-CN"/>
        </w:rPr>
        <w:t>6.65</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一般农业区</w:t>
      </w:r>
      <w:r>
        <w:rPr>
          <w:rFonts w:hint="eastAsia" w:ascii="仿宋_GB2312" w:hAnsi="仿宋_GB2312" w:eastAsia="仿宋_GB2312" w:cs="仿宋_GB2312"/>
          <w:sz w:val="32"/>
          <w:szCs w:val="32"/>
          <w:lang w:val="en-US" w:eastAsia="zh-CN"/>
        </w:rPr>
        <w:t>26.19</w:t>
      </w:r>
      <w:r>
        <w:rPr>
          <w:rFonts w:hint="eastAsia" w:ascii="仿宋_GB2312" w:hAnsi="仿宋_GB2312" w:eastAsia="仿宋_GB2312" w:cs="仿宋_GB2312"/>
          <w:sz w:val="32"/>
          <w:szCs w:val="32"/>
        </w:rPr>
        <w:t>平方千米，林业发展区</w:t>
      </w:r>
      <w:r>
        <w:rPr>
          <w:rFonts w:hint="eastAsia" w:ascii="仿宋_GB2312" w:hAnsi="仿宋_GB2312" w:eastAsia="仿宋_GB2312" w:cs="仿宋_GB2312"/>
          <w:sz w:val="32"/>
          <w:szCs w:val="32"/>
          <w:lang w:val="en-US" w:eastAsia="zh-CN"/>
        </w:rPr>
        <w:t>6.61</w:t>
      </w:r>
      <w:r>
        <w:rPr>
          <w:rFonts w:hint="eastAsia" w:ascii="仿宋_GB2312" w:hAnsi="仿宋_GB2312" w:eastAsia="仿宋_GB2312" w:cs="仿宋_GB2312"/>
          <w:sz w:val="32"/>
          <w:szCs w:val="32"/>
        </w:rPr>
        <w:t>平方千米，牧业发展区</w:t>
      </w:r>
      <w:r>
        <w:rPr>
          <w:rFonts w:hint="eastAsia" w:ascii="仿宋_GB2312" w:hAnsi="仿宋_GB2312" w:eastAsia="仿宋_GB2312" w:cs="仿宋_GB2312"/>
          <w:sz w:val="32"/>
          <w:szCs w:val="32"/>
          <w:lang w:val="en-US" w:eastAsia="zh-CN"/>
        </w:rPr>
        <w:t>475.94</w:t>
      </w:r>
      <w:r>
        <w:rPr>
          <w:rFonts w:hint="eastAsia" w:ascii="仿宋_GB2312" w:hAnsi="仿宋_GB2312" w:eastAsia="仿宋_GB2312" w:cs="仿宋_GB2312"/>
          <w:sz w:val="32"/>
          <w:szCs w:val="32"/>
        </w:rPr>
        <w:t>平方千米。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6280B630">
      <w:pPr>
        <w:keepNext/>
        <w:keepLines/>
        <w:numPr>
          <w:ilvl w:val="0"/>
          <w:numId w:val="4"/>
        </w:numPr>
        <w:tabs>
          <w:tab w:val="left" w:pos="851"/>
        </w:tabs>
        <w:spacing w:before="300" w:line="420" w:lineRule="exact"/>
        <w:ind w:left="0" w:firstLine="640" w:firstLineChars="200"/>
        <w:jc w:val="left"/>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矿产能源发展区</w:t>
      </w:r>
    </w:p>
    <w:p w14:paraId="67B18A6F">
      <w:pPr>
        <w:spacing w:line="600" w:lineRule="exact"/>
        <w:ind w:firstLine="56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为适应国家能源安全与矿业发展的重要陆域采矿区、战略性矿产储量区等区域，本次规划落实上位划定矿产能源发展区</w:t>
      </w:r>
      <w:r>
        <w:rPr>
          <w:rFonts w:hint="eastAsia" w:ascii="仿宋_GB2312" w:hAnsi="仿宋_GB2312" w:eastAsia="仿宋_GB2312" w:cs="仿宋_GB2312"/>
          <w:sz w:val="32"/>
          <w:szCs w:val="32"/>
          <w:lang w:val="en-US" w:eastAsia="zh-CN"/>
        </w:rPr>
        <w:t>0.71平方千米。</w:t>
      </w:r>
    </w:p>
    <w:p w14:paraId="08265638">
      <w:r>
        <w:rPr>
          <w:rFonts w:hint="eastAsia"/>
        </w:rPr>
        <w:br w:type="page"/>
      </w:r>
    </w:p>
    <w:p w14:paraId="55CAEF6C">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29" w:name="_Toc19696"/>
      <w:r>
        <w:rPr>
          <w:rFonts w:hint="eastAsia" w:ascii="Times New Roman" w:hAnsi="Times New Roman" w:eastAsia="方正小标宋简体" w:cs="Times New Roman"/>
          <w:b w:val="0"/>
          <w:bCs w:val="0"/>
          <w:sz w:val="36"/>
          <w:szCs w:val="36"/>
        </w:rPr>
        <w:t>保护生态空间，筑牢生态安全屏障</w:t>
      </w:r>
      <w:bookmarkEnd w:id="29"/>
    </w:p>
    <w:p w14:paraId="271B3D78">
      <w:pPr>
        <w:pStyle w:val="3"/>
        <w:numPr>
          <w:ilvl w:val="1"/>
          <w:numId w:val="7"/>
        </w:numPr>
        <w:spacing w:before="100" w:after="100" w:line="400" w:lineRule="exact"/>
        <w:ind w:firstLine="0"/>
        <w:jc w:val="center"/>
        <w:rPr>
          <w:rFonts w:ascii="Arial" w:hAnsi="Arial" w:eastAsia="黑体" w:cs="Times New Roman"/>
          <w:b w:val="0"/>
          <w:lang w:val="zh-CN"/>
        </w:rPr>
      </w:pPr>
      <w:bookmarkStart w:id="30" w:name="_Toc25345"/>
      <w:r>
        <w:rPr>
          <w:rFonts w:hint="eastAsia" w:ascii="Arial" w:hAnsi="Arial" w:eastAsia="黑体" w:cs="Times New Roman"/>
          <w:b w:val="0"/>
          <w:lang w:val="zh-CN"/>
        </w:rPr>
        <w:t>建设生物多样性保护网络</w:t>
      </w:r>
      <w:bookmarkEnd w:id="30"/>
    </w:p>
    <w:p w14:paraId="427D94E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加强生物多样性关键区建设</w:t>
      </w:r>
    </w:p>
    <w:p w14:paraId="41C4A651">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依托河湖、森林、湿地、高山草甸等生态空间，以龙羊峡水库为重点，按照维护自然生态系统完整性、原真性的要求，推进龙羊峡水库库区及黄河北岸生物多样性建设，提高自然生态系统的稳定性。加强现有生物多样性分布空间保护力度，落实物种迁地保护。</w:t>
      </w:r>
    </w:p>
    <w:p w14:paraId="0867A2B8">
      <w:pPr>
        <w:spacing w:line="600" w:lineRule="exact"/>
        <w:ind w:firstLine="56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龙羊峡水库库区。</w:t>
      </w:r>
      <w:r>
        <w:rPr>
          <w:rFonts w:hint="eastAsia" w:ascii="仿宋_GB2312" w:hAnsi="仿宋_GB2312" w:eastAsia="仿宋_GB2312" w:cs="仿宋_GB2312"/>
          <w:sz w:val="32"/>
          <w:szCs w:val="32"/>
        </w:rPr>
        <w:t>促进流域、林地、草地、湿地生态系统和生物多样性生态系统良性循环，加强鱼类以及</w:t>
      </w:r>
      <w:r>
        <w:rPr>
          <w:rFonts w:hint="eastAsia" w:ascii="仿宋_GB2312" w:hAnsi="仿宋_GB2312" w:eastAsia="仿宋_GB2312" w:cs="仿宋_GB2312"/>
          <w:sz w:val="32"/>
          <w:szCs w:val="32"/>
          <w:lang w:eastAsia="zh-CN"/>
        </w:rPr>
        <w:t>其他</w:t>
      </w:r>
      <w:r>
        <w:rPr>
          <w:rFonts w:hint="eastAsia" w:ascii="仿宋_GB2312" w:hAnsi="仿宋_GB2312" w:eastAsia="仿宋_GB2312" w:cs="仿宋_GB2312"/>
          <w:sz w:val="32"/>
          <w:szCs w:val="32"/>
        </w:rPr>
        <w:t>珍稀野生动物保护，加大沙漠化土地治理力度。</w:t>
      </w:r>
    </w:p>
    <w:p w14:paraId="4FED5FCC">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保护水生生物资源</w:t>
      </w:r>
    </w:p>
    <w:p w14:paraId="3C458DD0">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加强重点珍稀水生生物重要栖息地和水产种质资源完整性保护，保护厚唇裸重唇鱼、花斑裸鲤、骨唇黄河鱼、极边扁咽齿鱼、黄河裸裂尻鱼、刺鮈（鮈亚科）、拟鲶高原鳅、拟硬刺高原鳅、硬刺高原鳅、黄河高原鳅等生物栖息地，改善水生生物栖息地生存环境，推进水产种质资源保护区建设。严格执行涉及禁渔期、禁渔区管理等有关法律法规及政策规定，依法查处非法捕捞、销售珍稀水生生物行为。科学规范开展土著鱼类增殖放流，补充和恢复天然水域鱼类种质资源，维护水生生物多样性。</w:t>
      </w:r>
    </w:p>
    <w:p w14:paraId="685D27CC">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完善生物多样性保护措施</w:t>
      </w:r>
    </w:p>
    <w:p w14:paraId="75A522D0">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加强生物多样性调查与监测，开展珍稀濒危野生动植物调查、监测与评估，编制野生动植物名录，完善生物多样性监测网络体系和</w:t>
      </w:r>
      <w:r>
        <w:rPr>
          <w:rFonts w:hint="eastAsia" w:ascii="仿宋_GB2312" w:hAnsi="仿宋_GB2312" w:eastAsia="仿宋_GB2312" w:cs="仿宋_GB2312"/>
          <w:sz w:val="32"/>
          <w:szCs w:val="32"/>
          <w:lang w:eastAsia="zh-CN"/>
        </w:rPr>
        <w:t>救助</w:t>
      </w:r>
      <w:r>
        <w:rPr>
          <w:rFonts w:hint="eastAsia" w:ascii="仿宋_GB2312" w:hAnsi="仿宋_GB2312" w:eastAsia="仿宋_GB2312" w:cs="仿宋_GB2312"/>
          <w:sz w:val="32"/>
          <w:szCs w:val="32"/>
        </w:rPr>
        <w:t>体系。强化栖息地整体系统保护，建设野生动植物及栖息地保护监测平台，实施受损栖息地修复、野生动物廊道建设等专项工程，健全野生动植物保护基地、迁徙廊道、救护站等，营造适宜野生动物栖息的环境。实施迁地人工繁育保护，开展人工种群繁育野化实验，保存恢复和扩大野生种群。强化草原生物灾害监测预警，加强草原有害生物及外来入侵物种防治，不断提高绿色防治水平。加强生物遗传资源保护基础能力建设，推动建立野生生物遗传资源基因库，积极建设作物种质资源库。</w:t>
      </w:r>
    </w:p>
    <w:p w14:paraId="3F441137">
      <w:pPr>
        <w:pStyle w:val="3"/>
        <w:numPr>
          <w:ilvl w:val="1"/>
          <w:numId w:val="7"/>
        </w:numPr>
        <w:spacing w:before="100" w:after="100" w:line="400" w:lineRule="exact"/>
        <w:ind w:firstLine="0"/>
        <w:jc w:val="center"/>
        <w:rPr>
          <w:rFonts w:ascii="Arial" w:hAnsi="Arial" w:eastAsia="黑体" w:cs="Times New Roman"/>
          <w:b w:val="0"/>
          <w:lang w:val="zh-CN"/>
        </w:rPr>
      </w:pPr>
      <w:bookmarkStart w:id="31" w:name="_Toc9203"/>
      <w:r>
        <w:rPr>
          <w:rFonts w:hint="eastAsia" w:ascii="Arial" w:hAnsi="Arial" w:eastAsia="黑体" w:cs="Times New Roman"/>
          <w:b w:val="0"/>
          <w:lang w:val="zh-CN"/>
        </w:rPr>
        <w:t>增强水资源刚性约束和管控</w:t>
      </w:r>
      <w:bookmarkEnd w:id="31"/>
    </w:p>
    <w:p w14:paraId="101817E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严格水资源刚性约束</w:t>
      </w:r>
    </w:p>
    <w:p w14:paraId="611B9953">
      <w:pPr>
        <w:spacing w:line="600" w:lineRule="exact"/>
        <w:ind w:firstLine="56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ascii="仿宋_GB2312" w:hAnsi="仿宋_GB2312" w:eastAsia="仿宋_GB2312" w:cs="仿宋_GB2312"/>
          <w:sz w:val="32"/>
          <w:szCs w:val="32"/>
          <w:u w:val="single"/>
        </w:rPr>
        <w:t>2035年，龙羊峡镇用水总量控制在县级下达指标内。</w:t>
      </w:r>
    </w:p>
    <w:p w14:paraId="0FCEC03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强化水资源节约利用</w:t>
      </w:r>
    </w:p>
    <w:p w14:paraId="3CD1A942">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保障粮食安全，提高农业节水水平支撑灌面增长，逐步降低农业用水占比，筑牢生态屏障,推进沙化土地治理，预留生态环境用水，坚持底线约束，提高用水效率，保障城乡生活用水，提高生活节水水平，推进龙羊峡镇节水型社会建设。</w:t>
      </w:r>
    </w:p>
    <w:p w14:paraId="763B1DE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加强河湖水域空间管控</w:t>
      </w:r>
    </w:p>
    <w:p w14:paraId="0A672253">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河湖水域布局。</w:t>
      </w:r>
      <w:r>
        <w:rPr>
          <w:rFonts w:hint="eastAsia" w:ascii="仿宋_GB2312" w:hAnsi="仿宋_GB2312" w:eastAsia="仿宋_GB2312" w:cs="仿宋_GB2312"/>
          <w:sz w:val="32"/>
          <w:szCs w:val="32"/>
        </w:rPr>
        <w:t>龙羊峡镇水域主要由龙羊峡水库和黄河及其支流以及高山流水径流组成，黄河流域水系。</w:t>
      </w:r>
    </w:p>
    <w:p w14:paraId="4DBE2F04">
      <w:pPr>
        <w:spacing w:line="600" w:lineRule="exact"/>
        <w:ind w:firstLine="560"/>
        <w:rPr>
          <w:rFonts w:ascii="楷体_GB2312" w:hAnsi="Times New Roman" w:eastAsia="楷体_GB2312" w:cs="Times New Roman"/>
          <w:bCs/>
          <w:sz w:val="32"/>
          <w:szCs w:val="32"/>
        </w:rPr>
      </w:pPr>
      <w:r>
        <w:rPr>
          <w:rFonts w:hint="eastAsia" w:ascii="楷体_GB2312" w:hAnsi="楷体_GB2312" w:eastAsia="楷体_GB2312" w:cs="楷体_GB2312"/>
          <w:sz w:val="32"/>
          <w:szCs w:val="32"/>
        </w:rPr>
        <w:t>河湖水域空间管控。</w:t>
      </w:r>
      <w:r>
        <w:rPr>
          <w:rFonts w:hint="eastAsia" w:ascii="仿宋_GB2312" w:hAnsi="仿宋_GB2312" w:eastAsia="仿宋_GB2312" w:cs="仿宋_GB2312"/>
          <w:sz w:val="32"/>
          <w:szCs w:val="32"/>
        </w:rPr>
        <w:t>强化河湖水域岸线空间管控，保护河湖水域岸线资源，严格落实黄河及龙羊峡水库等河湖管理范围线。严格水域岸线空间管控，有效保护岸线资源，落实河湖岸线保护与利用规划，明确岸线功能分区、优化岸线空间布局、规范岸线开发利用活动。</w:t>
      </w:r>
    </w:p>
    <w:p w14:paraId="75077B0B">
      <w:pPr>
        <w:pStyle w:val="3"/>
        <w:numPr>
          <w:ilvl w:val="1"/>
          <w:numId w:val="7"/>
        </w:numPr>
        <w:spacing w:before="100" w:after="100" w:line="400" w:lineRule="exact"/>
        <w:ind w:firstLine="0"/>
        <w:jc w:val="center"/>
        <w:rPr>
          <w:rFonts w:ascii="Arial" w:hAnsi="Arial" w:eastAsia="黑体" w:cs="Times New Roman"/>
          <w:b w:val="0"/>
          <w:lang w:val="zh-CN"/>
        </w:rPr>
      </w:pPr>
      <w:bookmarkStart w:id="32" w:name="_Toc5208"/>
      <w:r>
        <w:rPr>
          <w:rFonts w:hint="eastAsia" w:ascii="Arial" w:hAnsi="Arial" w:eastAsia="黑体" w:cs="Times New Roman"/>
          <w:b w:val="0"/>
          <w:lang w:val="zh-CN"/>
        </w:rPr>
        <w:t>加强生态资源保护与利用</w:t>
      </w:r>
      <w:bookmarkEnd w:id="32"/>
    </w:p>
    <w:p w14:paraId="69637BC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森林资源保护与利用</w:t>
      </w:r>
    </w:p>
    <w:p w14:paraId="7405BA98">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建立以水土保持林、水源涵养林为主体的森林生态体系，加大重点地区生态治理力度，有效遏制水土流失，改善生态环境；稳定自然保护区面积，部分退化湿地生态系统得到治理与恢复；继续深化集体林权制度改革，实施森林经营、低效林改造，充分发挥林地生产潜力，提高林地质量；规范林地、林木流转制度；</w:t>
      </w:r>
      <w:bookmarkStart w:id="33" w:name="_Hlk149991856"/>
      <w:r>
        <w:rPr>
          <w:rFonts w:hint="eastAsia" w:ascii="仿宋_GB2312" w:hAnsi="仿宋_GB2312" w:eastAsia="仿宋_GB2312" w:cs="仿宋_GB2312"/>
          <w:sz w:val="32"/>
          <w:szCs w:val="32"/>
        </w:rPr>
        <w:t>促进发展林下产业，推进体制机制创新。</w:t>
      </w:r>
      <w:bookmarkEnd w:id="33"/>
      <w:r>
        <w:rPr>
          <w:rFonts w:hint="eastAsia" w:ascii="仿宋_GB2312" w:hAnsi="仿宋_GB2312" w:eastAsia="仿宋_GB2312" w:cs="仿宋_GB2312"/>
          <w:sz w:val="32"/>
          <w:szCs w:val="32"/>
        </w:rPr>
        <w:t>重点加强天然公益林、生态林的保护，严格控制天然林地转为其他用途，除国防建设、国家重大工程项目建设特殊需要外，禁止占用保护重点区域的天然林地，林地保有量保持稳定。到2035年，全镇森林覆盖率不低于上级下达任务确定指标。</w:t>
      </w:r>
    </w:p>
    <w:p w14:paraId="1450671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湿地资源保护与利用</w:t>
      </w:r>
    </w:p>
    <w:p w14:paraId="1BCE99C7">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生态保护和修复，强化龙羊峡水库自然岸线湿地生态系统的保护与恢复。通过推进湿地生态恢复、湿地生物多样性恢复、龙羊峡水库水生态保护修复等建设工程，开展退化湿地修复、湿地植被修复，提升水源涵养和水土保持功能。到2035年，龙羊峡镇湿地保护率应满足上级下达任务确定指标。</w:t>
      </w:r>
    </w:p>
    <w:p w14:paraId="1944746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荒漠资源保护与利用</w:t>
      </w:r>
    </w:p>
    <w:p w14:paraId="04CF4A81">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持续推进沙漠生态系统的复原、保护和利用，维护沙漠生态系统功能，增强沙漠生物多样性。在保护生态系统的前提下，发展沙漠生态观光旅游，打造生态沙漠游憩</w:t>
      </w:r>
      <w:r>
        <w:rPr>
          <w:rFonts w:hint="eastAsia" w:ascii="仿宋_GB2312" w:hAnsi="仿宋_GB2312" w:eastAsia="仿宋_GB2312" w:cs="仿宋_GB2312"/>
          <w:sz w:val="32"/>
          <w:szCs w:val="32"/>
          <w:lang w:eastAsia="zh-CN"/>
        </w:rPr>
        <w:t>胜地</w:t>
      </w:r>
      <w:r>
        <w:rPr>
          <w:rFonts w:hint="eastAsia" w:ascii="仿宋_GB2312" w:hAnsi="仿宋_GB2312" w:eastAsia="仿宋_GB2312" w:cs="仿宋_GB2312"/>
          <w:sz w:val="32"/>
          <w:szCs w:val="32"/>
        </w:rPr>
        <w:t>。推进清洁能源发展与防沙治沙相结合，实现太阳能产业、生态环境保护、生态畜牧业发展有机结合。</w:t>
      </w:r>
    </w:p>
    <w:p w14:paraId="723300D8">
      <w:pPr>
        <w:pStyle w:val="3"/>
        <w:numPr>
          <w:ilvl w:val="1"/>
          <w:numId w:val="7"/>
        </w:numPr>
        <w:spacing w:before="100" w:after="100" w:line="400" w:lineRule="exact"/>
        <w:ind w:firstLine="0"/>
        <w:jc w:val="center"/>
        <w:rPr>
          <w:rFonts w:ascii="Arial" w:hAnsi="Arial" w:eastAsia="黑体" w:cs="Times New Roman"/>
          <w:b w:val="0"/>
          <w:lang w:val="zh-CN"/>
        </w:rPr>
      </w:pPr>
      <w:bookmarkStart w:id="34" w:name="_Toc13164"/>
      <w:r>
        <w:rPr>
          <w:rFonts w:hint="eastAsia" w:ascii="Arial" w:hAnsi="Arial" w:eastAsia="黑体" w:cs="Times New Roman"/>
          <w:b w:val="0"/>
          <w:lang w:val="zh-CN"/>
        </w:rPr>
        <w:t>实施山水林田湖草沙一体化保护和系统治理</w:t>
      </w:r>
      <w:bookmarkEnd w:id="34"/>
    </w:p>
    <w:p w14:paraId="46C7CCA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加强重点生态功能区生态保护修复</w:t>
      </w:r>
    </w:p>
    <w:p w14:paraId="0D2A3813">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坚持山水林田湖草沙生命共同体理念，遵循自然生态系统的整体性、系统性及其内在规律，以自然恢复为主、人工修复为辅，强化自然生态系统原真性与完整性的保护和修复。针对龙羊峡镇生态脆弱、功能退化的现实问题，按照因地制宜、分区施策的原则，实施山水林田湖草沙一体化保护和系统治理，提升生态系统稳定性。</w:t>
      </w:r>
    </w:p>
    <w:p w14:paraId="43E4FA9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实施山水林田湖草沙治理工程</w:t>
      </w:r>
    </w:p>
    <w:p w14:paraId="18B6617A">
      <w:pPr>
        <w:pStyle w:val="7"/>
        <w:ind w:firstLine="640"/>
      </w:pPr>
      <w:r>
        <w:rPr>
          <w:rFonts w:hint="eastAsia"/>
        </w:rPr>
        <w:t>推进黄河流域水环境综合治理工程，提升草原、森林、湿地、河湖、荒漠等自然生态系统自我修复能力，筑牢生态安全格局。统筹协调推进“三北”防护林、天然林保护工程，鼓励乔灌草结合、工程和生物措施相统一的生态修复工程，促进各项生态工程实施相得益彰。加大乡村河湖湿地生态系统保护和恢复力度。大力推进荒漠化、水土流失综合治理，加强生态清洁小流域建设，推进绿色小水电改造。实施生物多样性保护工程，加强野生动植物保护。</w:t>
      </w:r>
    </w:p>
    <w:p w14:paraId="50DE0E8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强化水生态保护与水环境治理</w:t>
      </w:r>
    </w:p>
    <w:p w14:paraId="0E00F672">
      <w:pPr>
        <w:pStyle w:val="7"/>
        <w:ind w:firstLine="640"/>
      </w:pPr>
      <w:r>
        <w:rPr>
          <w:rFonts w:hint="eastAsia" w:ascii="楷体_GB2312" w:hAnsi="楷体_GB2312" w:eastAsia="楷体_GB2312" w:cs="楷体_GB2312"/>
        </w:rPr>
        <w:t>强化水生态保护与修复。</w:t>
      </w:r>
      <w:r>
        <w:rPr>
          <w:rFonts w:hint="eastAsia"/>
        </w:rPr>
        <w:t>构建流域尺度的生态保护与修复单元，统筹实施水生态保护与修复工程。推进小流域生态综合治理，实施城镇周边水系连通等水生态保护修复项目，实现水生态保护与修复精细化管理，系统推进黄河流域水环境保护、水生态修复、水污染防治和水资源管理。</w:t>
      </w:r>
    </w:p>
    <w:p w14:paraId="57EBEA53">
      <w:pPr>
        <w:pStyle w:val="7"/>
        <w:ind w:firstLine="640"/>
      </w:pPr>
      <w:r>
        <w:rPr>
          <w:rFonts w:hint="eastAsia" w:ascii="楷体_GB2312" w:hAnsi="楷体_GB2312" w:eastAsia="楷体_GB2312" w:cs="楷体_GB2312"/>
        </w:rPr>
        <w:t>加大水环境污染防治。</w:t>
      </w:r>
      <w:r>
        <w:rPr>
          <w:rFonts w:hint="eastAsia"/>
        </w:rPr>
        <w:t>从严核定水环境功能区纳污能力，严格控制入河湖排污总量，加强水污染防治和污染减排。持续推进水环境污染综</w:t>
      </w:r>
      <w:r>
        <w:rPr>
          <w:rFonts w:hint="eastAsia" w:ascii="仿宋_GB2312" w:hAnsi="仿宋_GB2312" w:eastAsia="仿宋_GB2312" w:cs="仿宋_GB2312"/>
        </w:rPr>
        <w:t>合治理。推进黄河及支流治理，开展生态清洁小流域建设。龙羊峡水环境功能区水质目标为Ⅱ类。至2035年，龙羊峡镇水环境功能区水质达标率达到100%。</w:t>
      </w:r>
    </w:p>
    <w:p w14:paraId="472A630B">
      <w:pPr>
        <w:pStyle w:val="7"/>
        <w:ind w:firstLine="640"/>
      </w:pPr>
      <w:r>
        <w:rPr>
          <w:rFonts w:hint="eastAsia" w:ascii="楷体_GB2312" w:hAnsi="楷体_GB2312" w:eastAsia="楷体_GB2312" w:cs="楷体_GB2312"/>
        </w:rPr>
        <w:t>严格保护饮用水水源地。</w:t>
      </w:r>
      <w:r>
        <w:rPr>
          <w:rFonts w:hint="eastAsia" w:ascii="仿宋_GB2312" w:hAnsi="仿宋_GB2312" w:eastAsia="仿宋_GB2312" w:cs="仿宋_GB2312"/>
        </w:rPr>
        <w:t>加强饮用水水源地保护，划定水源地饮用水水源保护区，严格水源保护管理。实施水源地生态保护及规范化建设。至2035年，龙羊峡镇饮用水水源地水质达标率保持在100%。</w:t>
      </w:r>
    </w:p>
    <w:p w14:paraId="6533446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加强水土流失防治</w:t>
      </w:r>
    </w:p>
    <w:p w14:paraId="4C0BCEE3">
      <w:pPr>
        <w:pStyle w:val="7"/>
        <w:ind w:firstLine="640"/>
      </w:pPr>
      <w:r>
        <w:rPr>
          <w:rFonts w:hint="eastAsia" w:ascii="楷体_GB2312" w:hAnsi="楷体_GB2312" w:eastAsia="楷体_GB2312" w:cs="楷体_GB2312"/>
        </w:rPr>
        <w:t>重点加强青海湖区域的水土流失防治，</w:t>
      </w:r>
      <w:r>
        <w:rPr>
          <w:rFonts w:hint="eastAsia"/>
        </w:rPr>
        <w:t>以地表植被建设、侵蚀沟道治理为重点，完善流域水土流失预防和治理措施体系，适时推进高标准淤地坝建设，因地制宜推进生态清洁小流域建设，着力构建城镇及其周边小流域生态优美、生活宜居的生态环境，维护水土资源可持续利用。深化水土保持生态建设，实施水土保持工程，突出加强龙羊峡水库水蚀生态维护保土区水土流失治理。到2035年，严格落实上级下达的水土流失治理任务。</w:t>
      </w:r>
    </w:p>
    <w:p w14:paraId="28BF7A0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实施沙化土地综合治理</w:t>
      </w:r>
    </w:p>
    <w:p w14:paraId="145CAA2F">
      <w:pPr>
        <w:pStyle w:val="7"/>
        <w:ind w:firstLine="640"/>
        <w:rPr>
          <w:rFonts w:ascii="仿宋_GB2312" w:hAnsi="仿宋_GB2312" w:cs="仿宋_GB2312"/>
        </w:rPr>
      </w:pPr>
      <w:r>
        <w:rPr>
          <w:rFonts w:hint="eastAsia" w:ascii="楷体_GB2312" w:hAnsi="楷体_GB2312" w:eastAsia="楷体_GB2312" w:cs="楷体_GB2312"/>
        </w:rPr>
        <w:t>实施</w:t>
      </w:r>
      <w:r>
        <w:rPr>
          <w:rFonts w:hint="eastAsia" w:ascii="楷体_GB2312" w:hAnsi="楷体_GB2312" w:eastAsia="楷体_GB2312" w:cs="楷体_GB2312"/>
          <w:lang w:val="en-US" w:eastAsia="zh-CN"/>
        </w:rPr>
        <w:t>沿黄生态保护带</w:t>
      </w:r>
      <w:r>
        <w:rPr>
          <w:rFonts w:hint="eastAsia" w:ascii="楷体_GB2312" w:hAnsi="楷体_GB2312" w:eastAsia="楷体_GB2312" w:cs="楷体_GB2312"/>
        </w:rPr>
        <w:t>荒漠化土地治理。</w:t>
      </w:r>
      <w:r>
        <w:rPr>
          <w:rFonts w:hint="eastAsia" w:ascii="仿宋_GB2312" w:hAnsi="仿宋_GB2312" w:cs="仿宋_GB2312"/>
        </w:rPr>
        <w:t>对龙羊峡镇沙漠化土地实施封沙育林育草工程，遏制沙漠化蔓延。遵循自然规律，自然恢复和人工修复相结合，积极探索以放牧为主合理利用草场的生产经营方向，采取“沙漠+光伏+设施牧草种植”和飞播种草等治沙模式防止土地沙化，构建以林为主、林草结合的防风固沙林体系。</w:t>
      </w:r>
    </w:p>
    <w:p w14:paraId="6B96BC5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强化土壤污染防治</w:t>
      </w:r>
    </w:p>
    <w:p w14:paraId="54E1E29C">
      <w:pPr>
        <w:pStyle w:val="7"/>
        <w:ind w:firstLine="640"/>
        <w:rPr>
          <w:rFonts w:ascii="仿宋_GB2312" w:hAnsi="仿宋_GB2312" w:cs="仿宋_GB2312"/>
        </w:rPr>
      </w:pPr>
      <w:r>
        <w:rPr>
          <w:rFonts w:hint="eastAsia" w:ascii="楷体_GB2312" w:hAnsi="楷体_GB2312" w:eastAsia="楷体_GB2312" w:cs="楷体_GB2312"/>
        </w:rPr>
        <w:t>完成全镇土壤污染源排查与整治，</w:t>
      </w:r>
      <w:r>
        <w:rPr>
          <w:rFonts w:hint="eastAsia" w:ascii="仿宋_GB2312" w:hAnsi="仿宋_GB2312" w:cs="仿宋_GB2312"/>
        </w:rPr>
        <w:t>按照“分区分类”的原则，实施以风险管控为主的治理策略，加强土壤污染源头防控，严格控制新增污染，实施重点污染源综合防控，推动受污染耕地安全利用，加强污染地块风险管控与修复，防控重点区域土壤污染风险。保障工业园区环保基础设施用地，实施关闭搬迁企业或历史遗留污染源整治，持续推进重金属污染综合防控治理，加强固体废物污染防治，实行污染地块全过程闭环管理。</w:t>
      </w:r>
    </w:p>
    <w:p w14:paraId="63F3A69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积极推进国土绿化工程</w:t>
      </w:r>
    </w:p>
    <w:p w14:paraId="6600E6AE">
      <w:pPr>
        <w:pStyle w:val="7"/>
        <w:ind w:firstLine="640"/>
        <w:rPr>
          <w:rFonts w:ascii="仿宋_GB2312" w:hAnsi="仿宋_GB2312" w:cs="仿宋_GB2312"/>
        </w:rPr>
      </w:pPr>
      <w:r>
        <w:rPr>
          <w:rFonts w:hint="eastAsia" w:ascii="仿宋_GB2312" w:hAnsi="仿宋_GB2312" w:cs="仿宋_GB2312"/>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3.72%。规划造林绿化空间</w:t>
      </w:r>
      <w:r>
        <w:rPr>
          <w:rFonts w:hint="eastAsia" w:ascii="仿宋_GB2312" w:hAnsi="仿宋_GB2312" w:cs="仿宋_GB2312"/>
          <w:lang w:val="en-US" w:eastAsia="zh-CN"/>
        </w:rPr>
        <w:t>1980.27公顷</w:t>
      </w:r>
      <w:r>
        <w:rPr>
          <w:rFonts w:hint="eastAsia" w:ascii="仿宋_GB2312" w:hAnsi="仿宋_GB2312" w:cs="仿宋_GB2312"/>
        </w:rPr>
        <w:t>，主要分布在龙羊峡水库西侧，曹多隆村，并落实到国土空间规划“一张图”上。</w:t>
      </w:r>
    </w:p>
    <w:p w14:paraId="2EE84787">
      <w:pPr>
        <w:rPr>
          <w:rFonts w:ascii="仿宋_GB2312" w:hAnsi="仿宋_GB2312" w:eastAsia="仿宋_GB2312" w:cs="仿宋_GB2312"/>
        </w:rPr>
      </w:pPr>
      <w:r>
        <w:rPr>
          <w:rFonts w:hint="eastAsia" w:ascii="仿宋_GB2312" w:hAnsi="仿宋_GB2312" w:eastAsia="仿宋_GB2312" w:cs="仿宋_GB2312"/>
        </w:rPr>
        <w:br w:type="page"/>
      </w:r>
    </w:p>
    <w:p w14:paraId="1A19F6A3">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35" w:name="_Toc10134"/>
      <w:r>
        <w:rPr>
          <w:rFonts w:hint="eastAsia" w:ascii="Times New Roman" w:hAnsi="Times New Roman" w:eastAsia="方正小标宋简体" w:cs="Times New Roman"/>
          <w:b w:val="0"/>
          <w:bCs w:val="0"/>
          <w:sz w:val="36"/>
          <w:szCs w:val="36"/>
        </w:rPr>
        <w:t>巩固农业空间，提标升级绿色有机农畜产品</w:t>
      </w:r>
      <w:bookmarkEnd w:id="35"/>
    </w:p>
    <w:p w14:paraId="3F32681E">
      <w:pPr>
        <w:pStyle w:val="3"/>
        <w:numPr>
          <w:ilvl w:val="1"/>
          <w:numId w:val="8"/>
        </w:numPr>
        <w:spacing w:before="100" w:after="100" w:line="400" w:lineRule="exact"/>
        <w:ind w:firstLine="0"/>
        <w:jc w:val="center"/>
        <w:rPr>
          <w:rFonts w:ascii="Arial" w:hAnsi="Arial" w:eastAsia="黑体" w:cs="Times New Roman"/>
          <w:b w:val="0"/>
          <w:lang w:val="zh-CN"/>
        </w:rPr>
      </w:pPr>
      <w:bookmarkStart w:id="36" w:name="_Toc12370"/>
      <w:r>
        <w:rPr>
          <w:rFonts w:hint="eastAsia" w:ascii="Arial" w:hAnsi="Arial" w:eastAsia="黑体" w:cs="Times New Roman"/>
          <w:b w:val="0"/>
          <w:lang w:val="zh-CN"/>
        </w:rPr>
        <w:t>实施耕地数量、质量、生态“三位一体”保护</w:t>
      </w:r>
      <w:bookmarkEnd w:id="36"/>
    </w:p>
    <w:p w14:paraId="48903A8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坚持最严格的耕地保护制度</w:t>
      </w:r>
    </w:p>
    <w:p w14:paraId="61230659">
      <w:pPr>
        <w:pStyle w:val="7"/>
        <w:ind w:firstLine="640"/>
        <w:rPr>
          <w:rFonts w:ascii="仿宋_GB2312" w:hAnsi="仿宋_GB2312" w:cs="仿宋_GB2312"/>
        </w:rPr>
      </w:pPr>
      <w:r>
        <w:rPr>
          <w:rFonts w:hint="eastAsia" w:ascii="楷体_GB2312" w:hAnsi="楷体_GB2312" w:eastAsia="楷体_GB2312" w:cs="楷体_GB2312"/>
        </w:rPr>
        <w:t>落实“合理利用土地、切实保护耕地”的基本国策，</w:t>
      </w:r>
      <w:r>
        <w:rPr>
          <w:rFonts w:hint="eastAsia" w:ascii="仿宋_GB2312" w:hAnsi="仿宋_GB2312" w:cs="仿宋_GB2312"/>
        </w:rPr>
        <w:t>切实保护耕地资源，将</w:t>
      </w:r>
      <w:r>
        <w:rPr>
          <w:rFonts w:ascii="仿宋_GB2312" w:hAnsi="仿宋_GB2312" w:cs="仿宋_GB2312"/>
        </w:rPr>
        <w:t>1.3662</w:t>
      </w:r>
      <w:r>
        <w:rPr>
          <w:rFonts w:hint="eastAsia" w:ascii="仿宋_GB2312" w:hAnsi="仿宋_GB2312" w:cs="仿宋_GB2312"/>
        </w:rPr>
        <w:t>万亩耕地和</w:t>
      </w:r>
      <w:r>
        <w:rPr>
          <w:rFonts w:ascii="仿宋_GB2312" w:hAnsi="仿宋_GB2312" w:cs="仿宋_GB2312"/>
        </w:rPr>
        <w:t>0.947</w:t>
      </w:r>
      <w:r>
        <w:rPr>
          <w:rFonts w:hint="eastAsia" w:ascii="仿宋_GB2312" w:hAnsi="仿宋_GB2312" w:cs="仿宋_GB2312"/>
          <w:lang w:val="en-US" w:eastAsia="zh-CN"/>
        </w:rPr>
        <w:t>5</w:t>
      </w:r>
      <w:r>
        <w:rPr>
          <w:rFonts w:hint="eastAsia" w:ascii="仿宋_GB2312" w:hAnsi="仿宋_GB2312" w:cs="仿宋_GB2312"/>
        </w:rPr>
        <w:t>万亩永久基本农田带位置下达至各村，健全落实耕地保护和粮食安全责任考核机制，签订耕地保护和粮食安全责任书，压实耕地保护主体责任，对耕地保护和粮食安全完成情况定期考核，实行耕地保护党政同责、终身追责。严守耕地保护红线，突出耕地数量、质量、生态“三位一体”保护。强化耕地种植用途管控，依法落实耕地利用优先序，合理引导农业种植结构调整，耕地主要用于粮食和油料、蔬菜及饲草饲料生产，永久基本农田主要用于粮食生产，高标准农田原则上全部用于粮食生产。严格控制非农建设占用耕地，确需占用耕地的，应尽量占用等级较低的耕地，实施建设项目占用耕地表土剥离再利用。建立耕地污染风险评估和污染土壤修复制度，有效保护优质耕地，逐步提高现有耕地质量。因地制宜，分类规划，综合配套，全面提高农业抗御自然灾害的能力。</w:t>
      </w:r>
    </w:p>
    <w:p w14:paraId="508B1BC9">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严格落实耕地占补平衡</w:t>
      </w:r>
    </w:p>
    <w:p w14:paraId="5B37B4B7">
      <w:pPr>
        <w:pStyle w:val="7"/>
        <w:ind w:firstLine="640"/>
        <w:rPr>
          <w:rFonts w:ascii="仿宋_GB2312" w:hAnsi="仿宋_GB2312" w:cs="仿宋_GB2312"/>
        </w:rPr>
      </w:pPr>
      <w:r>
        <w:rPr>
          <w:rFonts w:hint="eastAsia" w:ascii="仿宋_GB2312" w:hAnsi="仿宋_GB2312" w:cs="仿宋_GB2312"/>
        </w:rPr>
        <w:t>各类非农建设选址布局尽量不占或少占耕地，特别是永久基本农田。确需依法占用的，必须严格落实“占一补一、占优补优”的占补平衡要求，做到补充的耕地数量不减少、质量不降低、产能不下降。严格落实耕地占补平衡责任，大力实施土地整治，落实补充耕地任务，规范耕地占补平衡指标交易，强化耕地“占补平衡”后期管理。</w:t>
      </w:r>
    </w:p>
    <w:p w14:paraId="65654F1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提升耕地综合生产能力</w:t>
      </w:r>
    </w:p>
    <w:p w14:paraId="32A82344">
      <w:pPr>
        <w:pStyle w:val="7"/>
        <w:ind w:firstLine="640"/>
        <w:rPr>
          <w:rFonts w:ascii="仿宋_GB2312" w:hAnsi="仿宋_GB2312" w:cs="仿宋_GB2312"/>
        </w:rPr>
      </w:pPr>
      <w:r>
        <w:rPr>
          <w:rFonts w:hint="eastAsia" w:ascii="仿宋_GB2312" w:hAnsi="仿宋_GB2312" w:cs="仿宋_GB2312"/>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结合永久基本农田集中分布情况，大力推进高标准农田建设，加强灌排设施和田间道路设施配套，培肥土壤，促进零散耕地集中连片和耕地数量、质量、生态</w:t>
      </w:r>
      <w:r>
        <w:rPr>
          <w:rFonts w:hint="cs" w:ascii="仿宋_GB2312" w:hAnsi="仿宋_GB2312" w:cs="仿宋_GB2312"/>
        </w:rPr>
        <w:t>“</w:t>
      </w:r>
      <w:r>
        <w:rPr>
          <w:rFonts w:hint="eastAsia" w:ascii="仿宋_GB2312" w:hAnsi="仿宋_GB2312" w:cs="仿宋_GB2312"/>
        </w:rPr>
        <w:t>三位一体</w:t>
      </w:r>
      <w:r>
        <w:rPr>
          <w:rFonts w:hint="cs" w:ascii="仿宋_GB2312" w:hAnsi="仿宋_GB2312" w:cs="仿宋_GB2312"/>
        </w:rPr>
        <w:t>”</w:t>
      </w:r>
      <w:r>
        <w:rPr>
          <w:rFonts w:hint="eastAsia" w:ascii="仿宋_GB2312" w:hAnsi="仿宋_GB2312" w:cs="仿宋_GB2312"/>
        </w:rPr>
        <w:t>保护。加强优质耕地储备，土地整治和新建高标准农田增加的耕地，集中连片、规模较大、有良好的水利和水土保持设施的耕地，应优先划入永久基本农田储备区。在永久基本农田集中分布地区，不得规划新建可能造成污染的建设项目。</w:t>
      </w:r>
    </w:p>
    <w:p w14:paraId="59BF7FC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持续推进宜耕后备资源开发</w:t>
      </w:r>
    </w:p>
    <w:p w14:paraId="5D22D1C8">
      <w:pPr>
        <w:pStyle w:val="7"/>
        <w:ind w:firstLine="640"/>
        <w:rPr>
          <w:rFonts w:ascii="仿宋_GB2312" w:hAnsi="仿宋_GB2312" w:cs="仿宋_GB2312"/>
        </w:rPr>
      </w:pPr>
      <w:r>
        <w:rPr>
          <w:rFonts w:hint="eastAsia" w:ascii="仿宋_GB2312" w:hAnsi="仿宋_GB2312" w:cs="仿宋_GB2312"/>
        </w:rPr>
        <w:t>在对生态环境不造成不良影响和水资源承载范围内，大力推进耕地后备资源分布潜力较大的重点区域耕地开垦工程。充分利用其他草地、沙地、盐碱地等耕地后备资源，大力实施宜耕后备资源开发，增加有效耕地面积，促进耕地集中连片。选择规模较大、与现状耕地连片分布、有较好的水源灌溉条件的宜</w:t>
      </w:r>
      <w:r>
        <w:rPr>
          <w:rFonts w:hint="eastAsia" w:ascii="仿宋_GB2312" w:hAnsi="仿宋_GB2312" w:cs="仿宋_GB2312"/>
          <w:lang w:eastAsia="zh-CN"/>
        </w:rPr>
        <w:t>耕</w:t>
      </w:r>
      <w:r>
        <w:rPr>
          <w:rFonts w:hint="eastAsia" w:ascii="仿宋_GB2312" w:hAnsi="仿宋_GB2312" w:cs="仿宋_GB2312"/>
        </w:rPr>
        <w:t>农用地、未利用地，优先划入耕地战略储备区。龙羊峡镇划定耕地后备资源面积约</w:t>
      </w:r>
      <w:r>
        <w:rPr>
          <w:rFonts w:ascii="仿宋_GB2312" w:hAnsi="仿宋_GB2312" w:cs="仿宋_GB2312"/>
        </w:rPr>
        <w:t>338.63</w:t>
      </w:r>
      <w:r>
        <w:rPr>
          <w:rFonts w:hint="eastAsia" w:ascii="仿宋_GB2312" w:hAnsi="仿宋_GB2312" w:cs="仿宋_GB2312"/>
        </w:rPr>
        <w:t>亩，位于阿乙亥村。</w:t>
      </w:r>
    </w:p>
    <w:p w14:paraId="57A191D1">
      <w:pPr>
        <w:pStyle w:val="3"/>
        <w:numPr>
          <w:ilvl w:val="1"/>
          <w:numId w:val="8"/>
        </w:numPr>
        <w:spacing w:before="100" w:after="100" w:line="400" w:lineRule="exact"/>
        <w:ind w:firstLine="0"/>
        <w:jc w:val="center"/>
        <w:rPr>
          <w:rFonts w:ascii="Arial" w:hAnsi="Arial" w:eastAsia="黑体" w:cs="Times New Roman"/>
          <w:b w:val="0"/>
          <w:lang w:val="zh-CN"/>
        </w:rPr>
      </w:pPr>
      <w:bookmarkStart w:id="37" w:name="_Toc6691"/>
      <w:r>
        <w:rPr>
          <w:rFonts w:hint="eastAsia" w:ascii="Arial" w:hAnsi="Arial" w:eastAsia="黑体" w:cs="Times New Roman"/>
          <w:b w:val="0"/>
          <w:lang w:val="zh-CN"/>
        </w:rPr>
        <w:t>重点拓展农畜产品生产空间</w:t>
      </w:r>
      <w:bookmarkEnd w:id="37"/>
    </w:p>
    <w:p w14:paraId="57780B3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提高镇区周边农业生产能力</w:t>
      </w:r>
    </w:p>
    <w:p w14:paraId="64609E21">
      <w:pPr>
        <w:pStyle w:val="7"/>
        <w:ind w:firstLine="640"/>
        <w:rPr>
          <w:rFonts w:ascii="仿宋_GB2312" w:hAnsi="仿宋_GB2312" w:cs="仿宋_GB2312"/>
        </w:rPr>
      </w:pPr>
      <w:r>
        <w:rPr>
          <w:rFonts w:hint="eastAsia" w:ascii="仿宋_GB2312" w:hAnsi="仿宋_GB2312" w:cs="仿宋_GB2312"/>
        </w:rPr>
        <w:t>严格保护镇区周边农业空间，以城镇开发边界为约束有序引导城镇建设。加强镇区周边的农业生产区的水利建设，包括建设灌溉设施，保护水源等。通过流转方式集中形成规模化的农业生产基地，提高土地利用效益；应用高新技术，推广先进农业生产方式，提高农民生产效益，提高农业生产精细化和智能化水平。</w:t>
      </w:r>
    </w:p>
    <w:p w14:paraId="3587B48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发展优质高效特色农业</w:t>
      </w:r>
    </w:p>
    <w:p w14:paraId="4A25E161">
      <w:pPr>
        <w:pStyle w:val="7"/>
        <w:ind w:firstLine="640"/>
        <w:rPr>
          <w:rFonts w:ascii="仿宋_GB2312" w:hAnsi="仿宋_GB2312" w:cs="仿宋_GB2312"/>
        </w:rPr>
      </w:pPr>
      <w:r>
        <w:rPr>
          <w:rFonts w:hint="eastAsia" w:ascii="仿宋_GB2312" w:hAnsi="仿宋_GB2312" w:cs="仿宋_GB2312"/>
        </w:rPr>
        <w:t>深入实施“藏粮于地、藏粮于技”战略，大力发展青稞、油菜、小麦、蔬菜、饲草产业，稳固粮食生产和重要农产品生产地位，实现绿色有机农畜产品输出和重要农畜产品保障等功能，增加优质农畜产品供给。</w:t>
      </w:r>
      <w:bookmarkStart w:id="38" w:name="_Hlk135522491"/>
      <w:r>
        <w:rPr>
          <w:rFonts w:hint="eastAsia" w:ascii="仿宋_GB2312" w:hAnsi="仿宋_GB2312" w:cs="仿宋_GB2312"/>
        </w:rPr>
        <w:t>优化农业产业布局，加大扶持力度，保障农牧区基础设施建设和设施农业发展用地需要，建设国家现代农业产业园，保障特色农产品发展空间，打造设施农产品品牌。</w:t>
      </w:r>
      <w:bookmarkEnd w:id="38"/>
    </w:p>
    <w:p w14:paraId="6CD14524">
      <w:pPr>
        <w:pStyle w:val="3"/>
        <w:numPr>
          <w:ilvl w:val="1"/>
          <w:numId w:val="8"/>
        </w:numPr>
        <w:spacing w:before="100" w:after="100" w:line="400" w:lineRule="exact"/>
        <w:ind w:firstLine="0"/>
        <w:jc w:val="center"/>
        <w:rPr>
          <w:rFonts w:ascii="Arial" w:hAnsi="Arial" w:eastAsia="黑体" w:cs="Times New Roman"/>
          <w:b w:val="0"/>
          <w:lang w:val="zh-CN"/>
        </w:rPr>
      </w:pPr>
      <w:bookmarkStart w:id="39" w:name="_Toc30099"/>
      <w:r>
        <w:rPr>
          <w:rFonts w:hint="eastAsia" w:ascii="Arial" w:hAnsi="Arial" w:eastAsia="黑体" w:cs="Times New Roman"/>
          <w:b w:val="0"/>
          <w:lang w:val="zh-CN"/>
        </w:rPr>
        <w:t>强化草地资源保护利用</w:t>
      </w:r>
      <w:bookmarkEnd w:id="39"/>
    </w:p>
    <w:p w14:paraId="1DA54F4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从严落实基本草原保护制度</w:t>
      </w:r>
    </w:p>
    <w:p w14:paraId="7B98EA84">
      <w:pPr>
        <w:pStyle w:val="7"/>
        <w:ind w:firstLine="640"/>
        <w:rPr>
          <w:rFonts w:ascii="仿宋_GB2312" w:hAnsi="仿宋_GB2312" w:cs="仿宋_GB2312"/>
        </w:rPr>
      </w:pPr>
      <w:bookmarkStart w:id="40" w:name="_Hlk135522544"/>
      <w:r>
        <w:rPr>
          <w:rFonts w:hint="eastAsia" w:ascii="仿宋_GB2312" w:hAnsi="仿宋_GB2312" w:cs="仿宋_GB2312"/>
        </w:rPr>
        <w:t>落实基本草原保护制度，实施更加严格的基本草原保护和管理，确保基本草原面积不减少、质量不下降、用途不改变。加强基本草原保护力度，对基本草原实施严格的轮牧休牧和草畜平衡制度。科学合理利用草原，禁止乱采乱挖草原野生植物和破坏草原植被的其他活动。加强草原监管体系建设，提升执法监督工作水平。</w:t>
      </w:r>
      <w:bookmarkEnd w:id="40"/>
      <w:bookmarkStart w:id="41" w:name="_Hlk135522554"/>
      <w:r>
        <w:rPr>
          <w:rFonts w:hint="eastAsia" w:ascii="仿宋_GB2312" w:hAnsi="仿宋_GB2312" w:cs="仿宋_GB2312"/>
        </w:rPr>
        <w:t>到2035年，龙羊峡镇基本草原面积保持在草原面积的80%以上</w:t>
      </w:r>
      <w:bookmarkEnd w:id="41"/>
      <w:r>
        <w:rPr>
          <w:rFonts w:hint="eastAsia" w:ascii="仿宋_GB2312" w:hAnsi="仿宋_GB2312" w:cs="仿宋_GB2312"/>
        </w:rPr>
        <w:t>。</w:t>
      </w:r>
    </w:p>
    <w:p w14:paraId="3A01A95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合理利用草地资源，保障畜牧业生产空间</w:t>
      </w:r>
    </w:p>
    <w:p w14:paraId="21AA71AB">
      <w:pPr>
        <w:pStyle w:val="7"/>
        <w:ind w:firstLine="640"/>
        <w:rPr>
          <w:rFonts w:ascii="仿宋_GB2312" w:hAnsi="仿宋_GB2312" w:cs="仿宋_GB2312"/>
        </w:rPr>
      </w:pPr>
      <w:r>
        <w:rPr>
          <w:rFonts w:hint="eastAsia" w:ascii="仿宋_GB2312" w:hAnsi="仿宋_GB2312" w:cs="仿宋_GB2312"/>
        </w:rPr>
        <w:t>对牧区生态环境恶劣，退化、沙化、盐渍化严重，不宜放牧，以及位于生态涵养区的草原，继续实施天然草原禁牧补助政策，实行禁牧封育。对禁牧区以外的天然草原根据承载能力核定合理载畜量，继续实施草畜平衡管理，落实奖励政策。以草定畜，优化牧区、农牧结合区和农区资源配置，推行“舍饲圈养、种养结合、农牧互补、牧繁农育”等循环生产模式。高效利用土地种植人工饲草，提升饲草料供给能力。支持暖棚、饲草基地、贮草棚等基础设施建设，引导草场合理放牧和鼓励</w:t>
      </w:r>
      <w:r>
        <w:rPr>
          <w:rFonts w:hint="eastAsia" w:ascii="仿宋_GB2312" w:hAnsi="仿宋_GB2312" w:cs="仿宋_GB2312"/>
          <w:lang w:eastAsia="zh-CN"/>
        </w:rPr>
        <w:t>饲</w:t>
      </w:r>
      <w:r>
        <w:rPr>
          <w:rFonts w:hint="eastAsia" w:ascii="仿宋_GB2312" w:hAnsi="仿宋_GB2312" w:cs="仿宋_GB2312"/>
        </w:rPr>
        <w:t>畜结合。</w:t>
      </w:r>
    </w:p>
    <w:p w14:paraId="5F53BC9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加强退化草地综合治理</w:t>
      </w:r>
    </w:p>
    <w:p w14:paraId="3B7C9AC3">
      <w:pPr>
        <w:pStyle w:val="7"/>
        <w:ind w:firstLine="640"/>
        <w:rPr>
          <w:rFonts w:ascii="仿宋_GB2312" w:hAnsi="仿宋_GB2312" w:cs="仿宋_GB2312"/>
        </w:rPr>
      </w:pPr>
      <w:r>
        <w:rPr>
          <w:rFonts w:hint="eastAsia" w:ascii="仿宋_GB2312" w:hAnsi="仿宋_GB2312" w:cs="仿宋_GB2312"/>
        </w:rPr>
        <w:t>根据高寒天然草地退化演替阶段和生态环境的不同，采用封育、松耙补播、施肥、防除毒杂草和鼠害防治等技术措施，以快速恢复退化的草地植被和提高初级生产力。针对草原建设过程中存在的问题，通过实施退化草地、沙化草地综合治理，废弃定居点治理和修复，退化草场补播改良等项目，促进退化草原植被恢复，全面提升草原生态系统功能。到2035年，全镇退化草原得到有效治理和修复，草原生态环境持续向好，综合服务功能显著提升，草原综合植被盖度不低于56.03%。</w:t>
      </w:r>
    </w:p>
    <w:p w14:paraId="15583DF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积极推进草原复合利用</w:t>
      </w:r>
    </w:p>
    <w:p w14:paraId="67996372">
      <w:pPr>
        <w:pStyle w:val="7"/>
        <w:ind w:firstLine="640"/>
        <w:rPr>
          <w:rFonts w:ascii="仿宋_GB2312" w:hAnsi="仿宋_GB2312" w:cs="仿宋_GB2312"/>
        </w:rPr>
      </w:pPr>
      <w:bookmarkStart w:id="42" w:name="_Hlk135522906"/>
      <w:r>
        <w:rPr>
          <w:rFonts w:hint="eastAsia" w:ascii="仿宋_GB2312" w:hAnsi="仿宋_GB2312" w:cs="仿宋_GB2312"/>
        </w:rPr>
        <w:t>充分利用农牧交错带农林草多种资源，提高耦合性发展草牧业，在水资源充足，技术保障能力较好的地区，鼓励和支持利用农闲田、退耕还草地、饲草料地等土地资源，发展人工草地，增强饲草料就地供给保障能力。在生态红线范围外，依靠良好的生态资源，有序推进“绿水青山”向“金山银山”转化，鼓励打造一批草原旅游景区、度假地和精品旅游线路，推动草原旅游和生态康养产业发展，拓宽牧民增收渠道。采取草原轮牧和草场休养等措施，利用牧光互补和科学养殖提高草原复合利用效益。引进现代化的养殖技术和管理方法，提升农牧民的养殖技能和管理水平，有效提高草原畜牧业的效益和可持续性。</w:t>
      </w:r>
      <w:bookmarkEnd w:id="42"/>
    </w:p>
    <w:p w14:paraId="30479E5E">
      <w:pPr>
        <w:pStyle w:val="3"/>
        <w:numPr>
          <w:ilvl w:val="1"/>
          <w:numId w:val="8"/>
        </w:numPr>
        <w:spacing w:before="100" w:after="100" w:line="400" w:lineRule="exact"/>
        <w:ind w:firstLine="0"/>
        <w:jc w:val="center"/>
        <w:rPr>
          <w:rFonts w:ascii="Arial" w:hAnsi="Arial" w:eastAsia="黑体" w:cs="Times New Roman"/>
          <w:b w:val="0"/>
          <w:lang w:val="zh-CN"/>
        </w:rPr>
      </w:pPr>
      <w:bookmarkStart w:id="43" w:name="_Toc27083"/>
      <w:r>
        <w:rPr>
          <w:rFonts w:hint="eastAsia" w:ascii="Arial" w:hAnsi="Arial" w:eastAsia="黑体" w:cs="Times New Roman"/>
          <w:b w:val="0"/>
          <w:lang w:val="zh-CN"/>
        </w:rPr>
        <w:t>有序实施</w:t>
      </w:r>
      <w:r>
        <w:rPr>
          <w:rFonts w:hint="eastAsia" w:ascii="Arial" w:hAnsi="Arial" w:eastAsia="黑体" w:cs="Times New Roman"/>
          <w:b w:val="0"/>
        </w:rPr>
        <w:t>农用地</w:t>
      </w:r>
      <w:r>
        <w:rPr>
          <w:rFonts w:hint="eastAsia" w:ascii="Arial" w:hAnsi="Arial" w:eastAsia="黑体" w:cs="Times New Roman"/>
          <w:b w:val="0"/>
          <w:lang w:val="zh-CN"/>
        </w:rPr>
        <w:t>综合整治</w:t>
      </w:r>
      <w:bookmarkEnd w:id="43"/>
    </w:p>
    <w:p w14:paraId="669D667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统筹推进农用地综合整治</w:t>
      </w:r>
    </w:p>
    <w:p w14:paraId="15318718">
      <w:pPr>
        <w:pStyle w:val="7"/>
        <w:ind w:firstLine="640"/>
        <w:rPr>
          <w:rFonts w:ascii="仿宋_GB2312" w:hAnsi="仿宋_GB2312" w:cs="仿宋_GB2312"/>
        </w:rPr>
      </w:pPr>
      <w:r>
        <w:rPr>
          <w:rFonts w:hint="eastAsia" w:ascii="仿宋_GB2312" w:hAnsi="仿宋_GB2312" w:cs="仿宋_GB2312"/>
        </w:rPr>
        <w:t>突出耕地“三位一体”保护，适应发展现代农业和适度规模经营的需要，统筹推进低效林草地整理、农田基础设施建设、现有耕地提质改造等，增加耕地数量，提高耕地质量，改善农田生态。推进高标准农田建设，实施耕地质量提升行动，加强土地整理、灌</w:t>
      </w:r>
      <w:r>
        <w:rPr>
          <w:rFonts w:hint="eastAsia" w:ascii="仿宋_GB2312" w:hAnsi="仿宋_GB2312" w:cs="仿宋_GB2312"/>
          <w:lang w:eastAsia="zh-CN"/>
        </w:rPr>
        <w:t>排</w:t>
      </w:r>
      <w:r>
        <w:rPr>
          <w:rFonts w:hint="eastAsia" w:ascii="仿宋_GB2312" w:hAnsi="仿宋_GB2312" w:cs="仿宋_GB2312"/>
        </w:rPr>
        <w:t>水、田间道路、农田防护林建设，提高高标准农田比重。加大中低产田改造力度，实施耕地修复工程和土壤治理项目，积极开展土壤有机质提升。开展全域综合整治，推进龙羊峡河道治理工程、农田水利配套及整治工程等重点工程建设，提高农田水利配套。适度开发耕地后备资源，建设高原生态良田。</w:t>
      </w:r>
    </w:p>
    <w:p w14:paraId="32E5DF29">
      <w:pPr>
        <w:rPr>
          <w:rFonts w:ascii="仿宋_GB2312" w:hAnsi="仿宋_GB2312" w:eastAsia="仿宋_GB2312" w:cs="仿宋_GB2312"/>
        </w:rPr>
      </w:pPr>
      <w:r>
        <w:rPr>
          <w:rFonts w:hint="eastAsia" w:ascii="仿宋_GB2312" w:hAnsi="仿宋_GB2312" w:eastAsia="仿宋_GB2312" w:cs="仿宋_GB2312"/>
        </w:rPr>
        <w:br w:type="page"/>
      </w:r>
    </w:p>
    <w:p w14:paraId="5E882449">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44" w:name="_Toc17913"/>
      <w:r>
        <w:rPr>
          <w:rFonts w:hint="eastAsia" w:ascii="Times New Roman" w:hAnsi="Times New Roman" w:eastAsia="方正小标宋简体" w:cs="Times New Roman"/>
          <w:b w:val="0"/>
          <w:bCs w:val="0"/>
          <w:sz w:val="36"/>
          <w:szCs w:val="36"/>
        </w:rPr>
        <w:t>优化建设空间，推进以人为本的新型城镇化</w:t>
      </w:r>
      <w:bookmarkEnd w:id="44"/>
    </w:p>
    <w:p w14:paraId="3E01A35F">
      <w:pPr>
        <w:pStyle w:val="3"/>
        <w:numPr>
          <w:ilvl w:val="1"/>
          <w:numId w:val="9"/>
        </w:numPr>
        <w:spacing w:before="100" w:after="100" w:line="400" w:lineRule="exact"/>
        <w:ind w:firstLine="0"/>
        <w:jc w:val="center"/>
        <w:rPr>
          <w:rFonts w:ascii="Arial" w:hAnsi="Arial" w:eastAsia="黑体" w:cs="Times New Roman"/>
          <w:b w:val="0"/>
          <w:lang w:val="zh-CN"/>
        </w:rPr>
      </w:pPr>
      <w:bookmarkStart w:id="45" w:name="_Toc24988"/>
      <w:r>
        <w:rPr>
          <w:rFonts w:hint="eastAsia" w:ascii="Arial" w:hAnsi="Arial" w:eastAsia="黑体" w:cs="Times New Roman"/>
          <w:b w:val="0"/>
          <w:lang w:val="zh-CN"/>
        </w:rPr>
        <w:t>优化镇村空间体系</w:t>
      </w:r>
      <w:bookmarkEnd w:id="45"/>
    </w:p>
    <w:p w14:paraId="7082AD0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明确镇村等级规模</w:t>
      </w:r>
    </w:p>
    <w:p w14:paraId="11908F85">
      <w:pPr>
        <w:pStyle w:val="7"/>
        <w:ind w:firstLine="640"/>
        <w:rPr>
          <w:rFonts w:ascii="仿宋_GB2312" w:hAnsi="仿宋_GB2312" w:cs="仿宋_GB2312"/>
        </w:rPr>
      </w:pPr>
      <w:r>
        <w:rPr>
          <w:rFonts w:hint="eastAsia" w:ascii="楷体_GB2312" w:hAnsi="楷体_GB2312" w:eastAsia="楷体_GB2312" w:cs="楷体_GB2312"/>
        </w:rPr>
        <w:t>引导三级规模镇村协调发展。</w:t>
      </w:r>
      <w:r>
        <w:rPr>
          <w:rFonts w:hint="eastAsia" w:ascii="仿宋_GB2312" w:hAnsi="仿宋_GB2312" w:cs="仿宋_GB2312"/>
        </w:rPr>
        <w:t>规划形成镇区、中心村、基层村3个规模等级，推动镇域人口向镇区集中。</w:t>
      </w:r>
      <w:r>
        <w:rPr>
          <w:rFonts w:hint="eastAsia" w:ascii="仿宋_GB2312" w:hAnsi="仿宋_GB2312" w:cs="仿宋_GB2312"/>
          <w:szCs w:val="32"/>
        </w:rPr>
        <w:t>镇区即龙羊峡镇镇区（含查那村），人口规模约0.</w:t>
      </w:r>
      <w:r>
        <w:rPr>
          <w:rFonts w:ascii="仿宋_GB2312" w:hAnsi="仿宋_GB2312" w:cs="仿宋_GB2312"/>
          <w:szCs w:val="32"/>
        </w:rPr>
        <w:t>3</w:t>
      </w:r>
      <w:r>
        <w:rPr>
          <w:rFonts w:hint="eastAsia" w:ascii="仿宋_GB2312" w:hAnsi="仿宋_GB2312" w:cs="仿宋_GB2312"/>
          <w:szCs w:val="32"/>
          <w:lang w:val="en-US" w:eastAsia="zh-CN"/>
        </w:rPr>
        <w:t>2</w:t>
      </w:r>
      <w:r>
        <w:rPr>
          <w:rFonts w:hint="eastAsia" w:ascii="仿宋_GB2312" w:hAnsi="仿宋_GB2312" w:cs="仿宋_GB2312"/>
          <w:szCs w:val="32"/>
        </w:rPr>
        <w:t>万人；中心村</w:t>
      </w:r>
      <w:r>
        <w:rPr>
          <w:rFonts w:hint="eastAsia" w:ascii="仿宋_GB2312" w:hAnsi="仿宋_GB2312" w:cs="仿宋_GB2312"/>
          <w:szCs w:val="32"/>
          <w:lang w:val="en-US" w:eastAsia="zh-CN"/>
        </w:rPr>
        <w:t>和基层村的数量和人口规模按照县级国土空间规划要求进行落实</w:t>
      </w:r>
      <w:r>
        <w:rPr>
          <w:rFonts w:hint="eastAsia" w:ascii="仿宋_GB2312" w:hAnsi="仿宋_GB2312" w:cs="仿宋_GB2312"/>
          <w:szCs w:val="32"/>
        </w:rPr>
        <w:t>。</w:t>
      </w:r>
    </w:p>
    <w:p w14:paraId="0C0F501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提升城镇职能定位</w:t>
      </w:r>
    </w:p>
    <w:p w14:paraId="63D272AE">
      <w:pPr>
        <w:pStyle w:val="7"/>
        <w:ind w:firstLine="640"/>
        <w:rPr>
          <w:rFonts w:ascii="仿宋_GB2312" w:hAnsi="仿宋_GB2312" w:cs="仿宋_GB2312"/>
        </w:rPr>
      </w:pPr>
      <w:r>
        <w:rPr>
          <w:rFonts w:hint="eastAsia" w:ascii="仿宋_GB2312" w:hAnsi="仿宋_GB2312" w:cs="仿宋_GB2312"/>
        </w:rPr>
        <w:t>龙羊峡镇</w:t>
      </w:r>
      <w:r>
        <w:rPr>
          <w:rFonts w:hint="eastAsia" w:ascii="仿宋_GB2312" w:hAnsi="仿宋_GB2312" w:cs="仿宋_GB2312"/>
          <w:lang w:val="en-US" w:eastAsia="zh-CN"/>
        </w:rPr>
        <w:t>共和县中心镇，</w:t>
      </w:r>
      <w:r>
        <w:rPr>
          <w:rFonts w:hint="eastAsia" w:ascii="仿宋_GB2312" w:hAnsi="仿宋_GB2312" w:cs="仿宋_GB2312"/>
        </w:rPr>
        <w:t>是以沿黄地区黄河文化传承保护重镇、承载红色水利旅游、体育旅游、工业旅游的全国特色小镇、湖峡共舞、文水和合的高原生态小镇、共和县东南部生态宜居重点城镇，周边村庄根据自身的特色形成差异化分工，但均服务于镇区。镇区是龙羊峡镇的政治、经济、文化中心，服务全镇。</w:t>
      </w:r>
    </w:p>
    <w:p w14:paraId="5B00A4F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强化村庄分类引导</w:t>
      </w:r>
    </w:p>
    <w:p w14:paraId="4036E81B">
      <w:pPr>
        <w:pStyle w:val="7"/>
        <w:ind w:firstLine="640"/>
        <w:rPr>
          <w:rFonts w:ascii="仿宋_GB2312" w:hAnsi="仿宋_GB2312" w:cs="仿宋_GB2312"/>
        </w:rPr>
      </w:pPr>
      <w:r>
        <w:rPr>
          <w:rFonts w:hint="eastAsia" w:ascii="楷体_GB2312" w:hAnsi="楷体_GB2312" w:eastAsia="楷体_GB2312" w:cs="楷体_GB2312"/>
        </w:rPr>
        <w:t>分类引导、有序推进乡村振兴发展。</w:t>
      </w:r>
      <w:r>
        <w:rPr>
          <w:rFonts w:hint="eastAsia" w:ascii="仿宋_GB2312" w:hAnsi="仿宋_GB2312" w:cs="仿宋_GB2312"/>
        </w:rPr>
        <w:t>充分尊重、顺应乡村发展规律和演变趋势，根据村庄经济社会发展条件、建设现状、区位条件、资源禀赋等因素，将全镇的</w:t>
      </w:r>
      <w:r>
        <w:rPr>
          <w:rFonts w:ascii="仿宋_GB2312" w:hAnsi="仿宋_GB2312" w:cs="仿宋_GB2312"/>
        </w:rPr>
        <w:t>13</w:t>
      </w:r>
      <w:r>
        <w:rPr>
          <w:rFonts w:hint="eastAsia" w:ascii="仿宋_GB2312" w:hAnsi="仿宋_GB2312" w:cs="仿宋_GB2312"/>
        </w:rPr>
        <w:t>个行政村按照集聚提升类、城郊融合类、特色保护类、稳定发展类</w:t>
      </w:r>
      <w:r>
        <w:rPr>
          <w:rFonts w:ascii="仿宋_GB2312" w:hAnsi="仿宋_GB2312" w:cs="仿宋_GB2312"/>
        </w:rPr>
        <w:t>4</w:t>
      </w:r>
      <w:r>
        <w:rPr>
          <w:rFonts w:hint="eastAsia" w:ascii="仿宋_GB2312" w:hAnsi="仿宋_GB2312" w:cs="仿宋_GB2312"/>
        </w:rPr>
        <w:t>种类型，突出重点、分类施策、梯次推进，有序实现乡村振兴。</w:t>
      </w:r>
    </w:p>
    <w:p w14:paraId="3BBDBFDA">
      <w:pPr>
        <w:pStyle w:val="7"/>
        <w:ind w:firstLine="640"/>
        <w:rPr>
          <w:rFonts w:ascii="仿宋_GB2312" w:hAnsi="仿宋_GB2312" w:cs="仿宋_GB2312"/>
        </w:rPr>
      </w:pPr>
      <w:r>
        <w:rPr>
          <w:rFonts w:hint="eastAsia" w:ascii="仿宋_GB2312" w:hAnsi="仿宋_GB2312" w:cs="仿宋_GB2312"/>
        </w:rPr>
        <w:t>集聚提升类村庄：阿乙亥村、次汉土亥村、后菊花村、龙才村、龙羊新村。</w:t>
      </w:r>
    </w:p>
    <w:p w14:paraId="1A760140">
      <w:pPr>
        <w:pStyle w:val="7"/>
        <w:ind w:firstLine="640"/>
        <w:rPr>
          <w:lang w:bidi="ar"/>
        </w:rPr>
      </w:pPr>
      <w:r>
        <w:rPr>
          <w:rFonts w:hint="eastAsia" w:ascii="仿宋_GB2312" w:hAnsi="仿宋_GB2312" w:cs="仿宋_GB2312"/>
        </w:rPr>
        <w:t>城郊融合类村庄：</w:t>
      </w:r>
      <w:r>
        <w:rPr>
          <w:rFonts w:hint="eastAsia"/>
          <w:lang w:bidi="ar"/>
        </w:rPr>
        <w:t>查那村、黄河村、瓦里关村。</w:t>
      </w:r>
    </w:p>
    <w:p w14:paraId="76442417">
      <w:pPr>
        <w:pStyle w:val="7"/>
        <w:ind w:firstLine="640"/>
        <w:rPr>
          <w:rFonts w:hint="eastAsia"/>
          <w:lang w:bidi="ar"/>
        </w:rPr>
      </w:pPr>
      <w:r>
        <w:rPr>
          <w:lang w:bidi="ar"/>
        </w:rPr>
        <w:t>特色保护类村庄：</w:t>
      </w:r>
      <w:r>
        <w:rPr>
          <w:rFonts w:hint="eastAsia"/>
          <w:lang w:bidi="ar"/>
        </w:rPr>
        <w:t>曹多隆村、德胜村、克才村、麻尼磨台村。</w:t>
      </w:r>
    </w:p>
    <w:p w14:paraId="44C9FDBE">
      <w:pPr>
        <w:pStyle w:val="7"/>
        <w:ind w:firstLine="640"/>
        <w:rPr>
          <w:lang w:bidi="ar"/>
        </w:rPr>
      </w:pPr>
      <w:r>
        <w:rPr>
          <w:rFonts w:hint="eastAsia"/>
          <w:lang w:bidi="ar"/>
        </w:rPr>
        <w:t>稳定发展类村庄：多隆沟村。</w:t>
      </w:r>
    </w:p>
    <w:p w14:paraId="4B6C89D1">
      <w:pPr>
        <w:pStyle w:val="3"/>
        <w:numPr>
          <w:ilvl w:val="1"/>
          <w:numId w:val="9"/>
        </w:numPr>
        <w:spacing w:before="100" w:after="100" w:line="400" w:lineRule="exact"/>
        <w:ind w:firstLine="0"/>
        <w:jc w:val="center"/>
        <w:rPr>
          <w:rFonts w:ascii="Arial" w:hAnsi="Arial" w:eastAsia="黑体" w:cs="Times New Roman"/>
          <w:b w:val="0"/>
          <w:lang w:val="zh-CN"/>
        </w:rPr>
      </w:pPr>
      <w:bookmarkStart w:id="46" w:name="_Toc11808"/>
      <w:r>
        <w:rPr>
          <w:rFonts w:hint="eastAsia" w:ascii="Arial" w:hAnsi="Arial" w:eastAsia="黑体" w:cs="Times New Roman"/>
          <w:b w:val="0"/>
          <w:lang w:val="zh-CN"/>
        </w:rPr>
        <w:t>统筹优化乡村空间布局</w:t>
      </w:r>
      <w:bookmarkEnd w:id="46"/>
    </w:p>
    <w:p w14:paraId="0965862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明确乡村振兴策略</w:t>
      </w:r>
    </w:p>
    <w:p w14:paraId="12932244">
      <w:pPr>
        <w:pStyle w:val="7"/>
        <w:ind w:firstLine="640"/>
        <w:rPr>
          <w:rFonts w:ascii="仿宋_GB2312" w:hAnsi="仿宋_GB2312" w:cs="仿宋_GB2312"/>
        </w:rPr>
      </w:pPr>
      <w:r>
        <w:rPr>
          <w:rFonts w:hint="eastAsia" w:ascii="仿宋_GB2312" w:hAnsi="仿宋_GB2312" w:cs="仿宋_GB2312"/>
        </w:rPr>
        <w:t>以新型城镇化为动力，乡村产业现代化为支撑，乡村数字化为手段。坚持城乡融合发展，按照“点—轴”开发模式，以小城镇建设为节点，重要交通廊道为轴线，辐射和带动乡村振兴发展。坚持农业农村优先发展，加快建设农业强国，全方位夯实粮食安全根基，逐步把永久基本农田全部建成高标准农田，强化农业科技和装备支撑，树立大食物观，发展设施农业，构建多元化食物供给体系；充分发挥高原旅游资源和高原特色农牧产品优势，调整农业产业布局和结构，发展新型农业经营主体和社会化服务，发展农业适度规模经营，推动现代服务业同现代农业深度融合，推进旅游业、农牧产业现代化发展。积极推进共和数字乡村国家示范县建设，统筹乡村基础设施和公共服务布局，以大数据产业平台为依托，加快乡村基础设施数字化转型，助力乡村振兴。科学合理布局，分类施策，突出重点，开展高原美丽宜居乡村建设，有序推进乡村振兴战略稳步实施营造宜居适度的乡村生活空间，建设宜居宜业和美乡村。</w:t>
      </w:r>
    </w:p>
    <w:p w14:paraId="1BD277F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构建城乡融合的乡村振兴发展模式</w:t>
      </w:r>
    </w:p>
    <w:p w14:paraId="16857ECA">
      <w:pPr>
        <w:pStyle w:val="7"/>
        <w:ind w:firstLine="640"/>
        <w:rPr>
          <w:rFonts w:ascii="仿宋_GB2312" w:hAnsi="仿宋_GB2312" w:cs="仿宋_GB2312"/>
        </w:rPr>
      </w:pPr>
      <w:r>
        <w:rPr>
          <w:rFonts w:hint="eastAsia" w:ascii="仿宋_GB2312" w:hAnsi="仿宋_GB2312" w:cs="仿宋_GB2312"/>
        </w:rPr>
        <w:t>因地制宜，统筹乡镇发展定位和主导产业功能，以沿龙羊湖畔过阿米哇彦山连接贵南县的旅游道路等主要交通道路沿线区域为引导，着力推进城乡融合和区域协调发展，促进城乡要素流动，以旅串文带农带牧，积极推进特色镇村联动发展，全域乡村空间发展逐渐演化形成以城乡融合发展单元为基础的乡村振兴发展模式。</w:t>
      </w:r>
    </w:p>
    <w:p w14:paraId="5918D1B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保障乡村建设用地</w:t>
      </w:r>
    </w:p>
    <w:p w14:paraId="5ED5EF16">
      <w:pPr>
        <w:pStyle w:val="7"/>
        <w:ind w:firstLine="640"/>
        <w:rPr>
          <w:rFonts w:ascii="仿宋_GB2312" w:hAnsi="仿宋_GB2312" w:cs="仿宋_GB2312"/>
        </w:rPr>
      </w:pPr>
      <w:r>
        <w:rPr>
          <w:rFonts w:hint="eastAsia" w:ascii="楷体_GB2312" w:hAnsi="楷体_GB2312" w:eastAsia="楷体_GB2312" w:cs="楷体_GB2312"/>
        </w:rPr>
        <w:t>优先使用闲置用地，提高乡村居民点用地集约水平。</w:t>
      </w:r>
      <w:r>
        <w:rPr>
          <w:rFonts w:hint="eastAsia" w:ascii="仿宋_GB2312" w:hAnsi="仿宋_GB2312" w:cs="仿宋_GB2312"/>
        </w:rPr>
        <w:t>以节约集约利用土地资源为核心，开展农村建设用地整治，实现布局优化、设施完善、村庄绿化、环境美化的目标，并促进对城镇建设的环境支撑，挖潜村庄内部宅基地以外的其他闲置低效建设用地以及镇域内的其他用地。合理管控农村居民点用地，保障宅基地合理空间需求；在充分尊重群众意愿的基础上，以现状农村居民点为基础，采用新建与扩建的形式规划布局农村集中居民点。</w:t>
      </w:r>
    </w:p>
    <w:p w14:paraId="23E9C8E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统筹农村一二三产业融合发展空间</w:t>
      </w:r>
    </w:p>
    <w:p w14:paraId="11C409F3">
      <w:pPr>
        <w:pStyle w:val="7"/>
        <w:ind w:firstLine="640"/>
        <w:rPr>
          <w:rFonts w:ascii="仿宋_GB2312" w:hAnsi="仿宋_GB2312" w:cs="仿宋_GB2312"/>
        </w:rPr>
      </w:pPr>
      <w:r>
        <w:rPr>
          <w:rFonts w:hint="eastAsia" w:ascii="仿宋_GB2312" w:hAnsi="仿宋_GB2312" w:cs="仿宋_GB2312"/>
        </w:rPr>
        <w:t>强化全域用途管制引导，结合乡村振兴发展产业需求，合理安排乡村产业建设用地指标，保障乡村产业发展用地。支持农产品加工流通、电子商务、冷链物流、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260481E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明确村庄建设管控和风貌指引</w:t>
      </w:r>
    </w:p>
    <w:p w14:paraId="453E40A9">
      <w:pPr>
        <w:pStyle w:val="7"/>
        <w:ind w:firstLine="640"/>
        <w:rPr>
          <w:rFonts w:ascii="仿宋_GB2312" w:hAnsi="仿宋_GB2312" w:cs="仿宋_GB2312"/>
        </w:rPr>
      </w:pPr>
      <w:r>
        <w:rPr>
          <w:rFonts w:hint="eastAsia" w:ascii="楷体_GB2312" w:hAnsi="楷体_GB2312" w:eastAsia="楷体_GB2312" w:cs="楷体_GB2312"/>
        </w:rPr>
        <w:t>村庄建设管控和风貌指引。</w:t>
      </w:r>
      <w:r>
        <w:rPr>
          <w:rFonts w:hint="eastAsia" w:ascii="仿宋_GB2312" w:hAnsi="仿宋_GB2312" w:cs="仿宋_GB2312"/>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w:t>
      </w:r>
    </w:p>
    <w:p w14:paraId="52722511">
      <w:pPr>
        <w:pStyle w:val="7"/>
        <w:ind w:firstLine="640"/>
        <w:rPr>
          <w:rFonts w:ascii="仿宋_GB2312" w:hAnsi="仿宋_GB2312" w:cs="仿宋_GB2312"/>
        </w:rPr>
      </w:pPr>
      <w:r>
        <w:rPr>
          <w:rFonts w:hint="eastAsia" w:ascii="楷体_GB2312" w:hAnsi="楷体_GB2312" w:eastAsia="楷体_GB2312" w:cs="楷体_GB2312"/>
          <w:szCs w:val="32"/>
          <w:lang w:bidi="ar"/>
        </w:rPr>
        <w:t>公共和基础设施配套指引。</w:t>
      </w:r>
      <w:r>
        <w:rPr>
          <w:rFonts w:hint="eastAsia" w:ascii="仿宋_GB2312" w:hAnsi="仿宋_GB2312" w:cs="仿宋_GB2312"/>
        </w:rPr>
        <w:t>落实乡村振兴战略，促进城乡公共服务资源均衡配置和农民农村共同富裕的要求，结合村庄类型，分类提出不同村庄公共和基础设施配置要求和标准。</w:t>
      </w:r>
    </w:p>
    <w:p w14:paraId="2AC746F0">
      <w:pPr>
        <w:pStyle w:val="7"/>
        <w:ind w:firstLine="640"/>
        <w:rPr>
          <w:rFonts w:ascii="仿宋_GB2312" w:hAnsi="仿宋_GB2312" w:cs="仿宋_GB2312"/>
        </w:rPr>
      </w:pPr>
      <w:r>
        <w:rPr>
          <w:rFonts w:hint="eastAsia" w:ascii="楷体_GB2312" w:hAnsi="楷体_GB2312" w:eastAsia="楷体_GB2312" w:cs="楷体_GB2312"/>
          <w:szCs w:val="32"/>
          <w:lang w:bidi="ar"/>
        </w:rPr>
        <w:t>国土综合整治与生态修复指引。</w:t>
      </w:r>
      <w:r>
        <w:rPr>
          <w:rFonts w:hint="eastAsia" w:ascii="仿宋_GB2312" w:hAnsi="仿宋_GB2312" w:cs="仿宋_GB2312"/>
        </w:rPr>
        <w:t>严格落实上位国土空间总体规划明确的各村域范围内国土综合整治与生态修复区域，分类提出不同村庄国土综合整治与生态修复要求和措施。</w:t>
      </w:r>
    </w:p>
    <w:p w14:paraId="6FFF768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有效推进乡村振兴发展</w:t>
      </w:r>
    </w:p>
    <w:p w14:paraId="1B57FF32">
      <w:pPr>
        <w:pStyle w:val="7"/>
        <w:ind w:firstLine="640"/>
        <w:rPr>
          <w:rFonts w:ascii="仿宋_GB2312" w:hAnsi="仿宋_GB2312" w:cs="仿宋_GB2312"/>
        </w:rPr>
      </w:pPr>
      <w:r>
        <w:rPr>
          <w:rFonts w:hint="eastAsia" w:ascii="仿宋_GB2312" w:hAnsi="仿宋_GB2312" w:cs="仿宋_GB2312"/>
        </w:rPr>
        <w:t>到2035年，80%以上的村庄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46E90AB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稳步推进农村建设用地综合整治</w:t>
      </w:r>
    </w:p>
    <w:p w14:paraId="0403FAEC">
      <w:pPr>
        <w:pStyle w:val="7"/>
        <w:ind w:firstLine="640"/>
        <w:rPr>
          <w:rFonts w:ascii="仿宋_GB2312" w:hAnsi="仿宋_GB2312" w:cs="仿宋_GB2312"/>
        </w:rPr>
      </w:pPr>
      <w:r>
        <w:rPr>
          <w:rFonts w:hint="eastAsia" w:ascii="仿宋_GB2312" w:hAnsi="仿宋_GB2312" w:cs="仿宋_GB2312"/>
        </w:rPr>
        <w:t>规范有序开展农村建设用地整治，通过中心村建设、闲散居民点复垦、生态移民搬迁整治，优化农村居民点布局，同时稳妥推进农村危房改造、集体建设用地流转、废弃建设用地复垦等多种措施，改善农村人居环境和农业生产条件，促进美丽宜居乡村建设和城乡发展一体化。农业发展区乡村重点加快新农村建设，原址就地改造农业区分散的小规模农村危房，改善生产生活条件，合理引导居民点集中布局。牧业发展区乡村总体遵循“大分散、小集中”的空间布局模式，形成季节性定居点，鼓励独立定居点牧民向周边城镇和中心村集中。生态保护区内乡村应尊重农牧民意愿，实施游牧民定居点建设，逐步搬出生态保护区，也可保留部分独立定居点，注重与区域生态环境相协调。稳妥推进城乡建设用地增减挂钩，按照先批准后实施的要求，稳妥慎重推进村庄建设用地的复垦，着力优化国土空间格局，严格控制城乡建设用地规模。</w:t>
      </w:r>
    </w:p>
    <w:p w14:paraId="03ECE94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推进农村人居环境改善</w:t>
      </w:r>
    </w:p>
    <w:p w14:paraId="2ADD5C29">
      <w:pPr>
        <w:pStyle w:val="7"/>
        <w:ind w:firstLine="640"/>
        <w:rPr>
          <w:rFonts w:ascii="仿宋_GB2312" w:hAnsi="仿宋_GB2312" w:cs="仿宋_GB2312"/>
        </w:rPr>
      </w:pPr>
      <w:r>
        <w:rPr>
          <w:rFonts w:hint="eastAsia" w:ascii="仿宋_GB2312" w:hAnsi="仿宋_GB2312" w:cs="仿宋_GB2312"/>
        </w:rPr>
        <w:t>依据乡村生态格局、自然肌理、乡土风情、建筑风格等，实施乡村生态保护修复。按照山水林田湖草整体保护、系统修复、综合治理的要求，结合农村人居环境整治，优化调整生态用地布局，保护和恢复乡村生态功能，维护生物多样性，提高防御自然灾害能力，保持乡村自然景观。推动农牧区生活污水分散处理和生活垃圾分类减量及资源化利用，保障农牧区中小型规模垃圾填埋场、中转站和收集站建设。合理确定乡村建设用地规模，严格落实“一户一宅”，严控生态空间转为农牧空间，实现乡村“留得住乡愁，守得住青山”的美丽乡村，助推全县乡村振兴。</w:t>
      </w:r>
    </w:p>
    <w:p w14:paraId="5CF03B9B">
      <w:pPr>
        <w:pStyle w:val="3"/>
        <w:numPr>
          <w:ilvl w:val="1"/>
          <w:numId w:val="9"/>
        </w:numPr>
        <w:spacing w:before="100" w:after="100" w:line="400" w:lineRule="exact"/>
        <w:ind w:firstLine="0"/>
        <w:jc w:val="center"/>
        <w:rPr>
          <w:rFonts w:ascii="Arial" w:hAnsi="Arial" w:eastAsia="黑体" w:cs="Times New Roman"/>
          <w:b w:val="0"/>
          <w:lang w:val="zh-CN"/>
        </w:rPr>
      </w:pPr>
      <w:bookmarkStart w:id="47" w:name="_Toc6778"/>
      <w:r>
        <w:rPr>
          <w:rFonts w:hint="eastAsia" w:ascii="Arial" w:hAnsi="Arial" w:eastAsia="黑体" w:cs="Times New Roman"/>
          <w:b w:val="0"/>
          <w:lang w:val="zh-CN"/>
        </w:rPr>
        <w:t>引导产业空间布局</w:t>
      </w:r>
      <w:bookmarkEnd w:id="47"/>
    </w:p>
    <w:p w14:paraId="6742454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优化产业结构体系</w:t>
      </w:r>
    </w:p>
    <w:p w14:paraId="54F35D23">
      <w:pPr>
        <w:pStyle w:val="7"/>
        <w:ind w:firstLine="640"/>
        <w:rPr>
          <w:rFonts w:ascii="仿宋_GB2312" w:hAnsi="仿宋_GB2312" w:cs="仿宋_GB2312"/>
        </w:rPr>
      </w:pPr>
      <w:r>
        <w:rPr>
          <w:rFonts w:hint="eastAsia" w:ascii="仿宋_GB2312" w:hAnsi="仿宋_GB2312" w:cs="仿宋_GB2312"/>
        </w:rPr>
        <w:t>以泛共和盆地生态本底和高原特色农牧业为基础，以草原观光农牧业、生态农牧产品加工、民俗文化旅游、乡村生态旅游和数字化商贸旅游服务主导，以山林、草原、文化体验旅游为特色，打造：沿黄地区黄河文化传承保护重镇；承载红色水利旅游、体育旅游、工业旅游的全国特色小镇；湖峡共舞、文水和合的高原生态小镇；共和县东南部生态宜居重点城镇。</w:t>
      </w:r>
    </w:p>
    <w:p w14:paraId="4DA7AF8C">
      <w:pPr>
        <w:pStyle w:val="7"/>
        <w:ind w:firstLine="640"/>
        <w:rPr>
          <w:rFonts w:ascii="仿宋_GB2312" w:hAnsi="仿宋_GB2312" w:cs="仿宋_GB2312"/>
        </w:rPr>
      </w:pPr>
      <w:r>
        <w:rPr>
          <w:rFonts w:hint="eastAsia" w:ascii="楷体_GB2312" w:hAnsi="楷体_GB2312" w:eastAsia="楷体_GB2312" w:cs="楷体_GB2312"/>
        </w:rPr>
        <w:t>以生态农牧业基地建设为依托，发展以蚕豆、小麦、油菜籽、青稞等农作物为主种植业。</w:t>
      </w:r>
      <w:r>
        <w:rPr>
          <w:rFonts w:hint="eastAsia" w:ascii="仿宋_GB2312" w:hAnsi="仿宋_GB2312" w:cs="仿宋_GB2312"/>
        </w:rPr>
        <w:t>龙羊峡镇位于沿黄谷地深度融合发展区，是重要的油菜籽、青稞种植区，规划在阿乙亥村、麻尼磨台村、曹多隆村、后菊花村、次汉土亥村、德胜村等村发展水果、蔬菜种植、青稞和油菜种植、枸杞种植等特殊种植产业。</w:t>
      </w:r>
    </w:p>
    <w:p w14:paraId="709A74DF">
      <w:pPr>
        <w:pStyle w:val="7"/>
        <w:ind w:firstLine="640"/>
        <w:rPr>
          <w:rFonts w:ascii="仿宋_GB2312" w:hAnsi="仿宋_GB2312" w:cs="仿宋_GB2312"/>
          <w:szCs w:val="32"/>
        </w:rPr>
      </w:pPr>
      <w:r>
        <w:rPr>
          <w:rFonts w:hint="eastAsia" w:ascii="楷体_GB2312" w:hAnsi="楷体_GB2312" w:eastAsia="楷体_GB2312" w:cs="楷体_GB2312"/>
        </w:rPr>
        <w:t>立足生态农牧业基础，适度发展生态型农牧产品加工。</w:t>
      </w:r>
      <w:r>
        <w:rPr>
          <w:rFonts w:hint="eastAsia" w:ascii="仿宋_GB2312" w:hAnsi="仿宋_GB2312" w:cs="仿宋_GB2312"/>
          <w:szCs w:val="32"/>
        </w:rPr>
        <w:t>积极发展生态农牧业，强调小型生态型农产品加工。龙羊峡镇位于海南州沿黄牦牛产业融合区，是海南州肉牛养殖畜牧的重要基地。推行半舍饲养殖方式，加快推进牦牛半舍饲养殖、肉牛肉羊精深加工基地、研发加工基地和畜产品物流中心建设。规划在曹多隆村、后菊花村、次汉土亥村、德胜村、克才村、阿乙亥村、瓦里关村、多隆沟村、龙才村等村按照“三品一标”的要求，建设一批基础设施完善、布局科学合理、粪污无害化处理、养殖技术高效、各项制度齐全、经营管理规范的标准化养殖基地肉牛、肉羊养殖畜牧基地。</w:t>
      </w:r>
    </w:p>
    <w:p w14:paraId="6798F4E8">
      <w:pPr>
        <w:pStyle w:val="7"/>
        <w:ind w:firstLine="640"/>
        <w:rPr>
          <w:rFonts w:ascii="仿宋_GB2312" w:hAnsi="仿宋_GB2312" w:cs="仿宋_GB2312"/>
          <w:szCs w:val="32"/>
        </w:rPr>
      </w:pPr>
      <w:r>
        <w:rPr>
          <w:rFonts w:hint="eastAsia" w:ascii="楷体_GB2312" w:hAnsi="楷体_GB2312" w:eastAsia="楷体_GB2312" w:cs="楷体_GB2312"/>
          <w:szCs w:val="32"/>
        </w:rPr>
        <w:t>以龙羊峡水库为依托，大力发展水产养殖产业。</w:t>
      </w:r>
      <w:r>
        <w:rPr>
          <w:rFonts w:hint="eastAsia" w:ascii="仿宋_GB2312" w:hAnsi="仿宋_GB2312" w:cs="仿宋_GB2312"/>
          <w:szCs w:val="32"/>
        </w:rPr>
        <w:t>打造三文鱼、小银鱼产业联盟，加快龙羊峡库区鲑鳟鱼类适度养殖，提升改造冷水鱼孵化养殖基地；打造冷水鱼产业园，加快龙羊峡冷水鱼精深加工产业园建设，推进产业园二期、三期工程建设，开展冷水鱼屠宰、冷链、包装、环保处理等设施设备购置，建设集冷水鱼加工、科技示范、技术研发、工业观光、市场营销为一体的现代化产业示范园区。</w:t>
      </w:r>
    </w:p>
    <w:p w14:paraId="41CA570A">
      <w:pPr>
        <w:pStyle w:val="7"/>
        <w:ind w:firstLine="640"/>
        <w:rPr>
          <w:rFonts w:hint="eastAsia" w:ascii="仿宋_GB2312" w:hAnsi="仿宋_GB2312" w:cs="仿宋_GB2312"/>
          <w:szCs w:val="32"/>
        </w:rPr>
      </w:pPr>
      <w:r>
        <w:rPr>
          <w:rFonts w:ascii="楷体_GB2312" w:hAnsi="楷体_GB2312" w:eastAsia="楷体_GB2312" w:cs="楷体_GB2312"/>
          <w:szCs w:val="32"/>
        </w:rPr>
        <w:t>以龙羊峡水电站生活区遗址为基底，打造</w:t>
      </w:r>
      <w:r>
        <w:rPr>
          <w:rFonts w:hint="eastAsia" w:ascii="楷体_GB2312" w:hAnsi="楷体_GB2312" w:eastAsia="楷体_GB2312" w:cs="楷体_GB2312"/>
          <w:szCs w:val="32"/>
        </w:rPr>
        <w:t>承载红色水利旅游、体育旅游、工业旅游的全国特色小镇。</w:t>
      </w:r>
      <w:r>
        <w:rPr>
          <w:rFonts w:hint="eastAsia" w:ascii="仿宋_GB2312" w:hAnsi="仿宋_GB2312" w:cs="仿宋_GB2312"/>
          <w:szCs w:val="32"/>
        </w:rPr>
        <w:t>深度挖掘</w:t>
      </w:r>
      <w:r>
        <w:rPr>
          <w:rFonts w:ascii="仿宋_GB2312" w:hAnsi="仿宋_GB2312" w:cs="仿宋_GB2312"/>
          <w:szCs w:val="32"/>
        </w:rPr>
        <w:t>龙羊峡水电站生活区遗址的历史文化价值、特色工业旅游价值，</w:t>
      </w:r>
      <w:r>
        <w:rPr>
          <w:rFonts w:hint="eastAsia" w:ascii="仿宋_GB2312" w:hAnsi="仿宋_GB2312" w:cs="仿宋_GB2312"/>
          <w:szCs w:val="32"/>
        </w:rPr>
        <w:t>结合镇区的公共服务设施，营造旅游服务基地，满足游客“吃、住、行、游、购、娱”的功能需求，打造承载红色水利旅游、体育旅游、工业旅游的全国特色小镇。</w:t>
      </w:r>
    </w:p>
    <w:p w14:paraId="2242AF8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统筹产业空间布局</w:t>
      </w:r>
    </w:p>
    <w:p w14:paraId="4F65253E">
      <w:pPr>
        <w:pStyle w:val="7"/>
        <w:ind w:firstLine="640"/>
        <w:rPr>
          <w:rFonts w:ascii="仿宋_GB2312" w:hAnsi="仿宋_GB2312" w:cs="仿宋_GB2312"/>
        </w:rPr>
      </w:pPr>
      <w:r>
        <w:rPr>
          <w:rFonts w:hint="eastAsia" w:ascii="仿宋_GB2312" w:hAnsi="仿宋_GB2312" w:cs="仿宋_GB2312"/>
        </w:rPr>
        <w:t>规划形成“一核、一轴、一廊、四区”的产业空间布局。</w:t>
      </w:r>
    </w:p>
    <w:p w14:paraId="4695A53B">
      <w:pPr>
        <w:pStyle w:val="7"/>
        <w:ind w:firstLine="640"/>
        <w:rPr>
          <w:rFonts w:hint="eastAsia" w:ascii="仿宋_GB2312" w:hAnsi="仿宋_GB2312" w:cs="仿宋_GB2312"/>
        </w:rPr>
      </w:pPr>
      <w:r>
        <w:rPr>
          <w:rFonts w:hint="eastAsia" w:ascii="仿宋_GB2312" w:hAnsi="仿宋_GB2312" w:cs="仿宋_GB2312"/>
        </w:rPr>
        <w:t>一核：龙羊峡镇政府所在地作为镇域综合服务核心。</w:t>
      </w:r>
    </w:p>
    <w:p w14:paraId="07A8127A">
      <w:pPr>
        <w:pStyle w:val="7"/>
        <w:ind w:firstLine="640"/>
        <w:rPr>
          <w:rFonts w:hint="eastAsia" w:ascii="仿宋_GB2312" w:hAnsi="仿宋_GB2312" w:cs="仿宋_GB2312"/>
        </w:rPr>
      </w:pPr>
      <w:r>
        <w:rPr>
          <w:rFonts w:hint="eastAsia" w:ascii="仿宋_GB2312" w:hAnsi="仿宋_GB2312" w:cs="仿宋_GB2312"/>
        </w:rPr>
        <w:t>一轴：依托区域交通</w:t>
      </w:r>
      <w:r>
        <w:rPr>
          <w:rFonts w:hint="eastAsia" w:ascii="仿宋_GB2312" w:hAnsi="仿宋_GB2312" w:cs="仿宋_GB2312"/>
          <w:lang w:val="en-US" w:eastAsia="zh-CN"/>
        </w:rPr>
        <w:t>条件</w:t>
      </w:r>
      <w:r>
        <w:rPr>
          <w:rFonts w:hint="eastAsia" w:ascii="仿宋_GB2312" w:hAnsi="仿宋_GB2312" w:cs="仿宋_GB2312"/>
        </w:rPr>
        <w:t>，</w:t>
      </w:r>
      <w:r>
        <w:rPr>
          <w:rFonts w:hint="eastAsia" w:ascii="仿宋_GB2312" w:hAnsi="仿宋_GB2312" w:cs="仿宋_GB2312"/>
          <w:lang w:val="en-US" w:eastAsia="zh-CN"/>
        </w:rPr>
        <w:t>以恰龙公路为轴，</w:t>
      </w:r>
      <w:r>
        <w:rPr>
          <w:rFonts w:hint="eastAsia" w:ascii="仿宋_GB2312" w:hAnsi="仿宋_GB2312" w:cs="仿宋_GB2312"/>
        </w:rPr>
        <w:t>串联镇</w:t>
      </w:r>
      <w:r>
        <w:rPr>
          <w:rFonts w:hint="eastAsia" w:ascii="仿宋_GB2312" w:hAnsi="仿宋_GB2312" w:cs="仿宋_GB2312"/>
          <w:lang w:val="en-US" w:eastAsia="zh-CN"/>
        </w:rPr>
        <w:t>区</w:t>
      </w:r>
      <w:r>
        <w:rPr>
          <w:rFonts w:hint="eastAsia" w:ascii="仿宋_GB2312" w:hAnsi="仿宋_GB2312" w:cs="仿宋_GB2312"/>
        </w:rPr>
        <w:t>与</w:t>
      </w:r>
      <w:r>
        <w:rPr>
          <w:rFonts w:hint="eastAsia" w:ascii="仿宋_GB2312" w:hAnsi="仿宋_GB2312" w:cs="仿宋_GB2312"/>
          <w:lang w:val="en-US" w:eastAsia="zh-CN"/>
        </w:rPr>
        <w:t>沿线主要村庄</w:t>
      </w:r>
      <w:r>
        <w:rPr>
          <w:rFonts w:hint="eastAsia" w:ascii="仿宋_GB2312" w:hAnsi="仿宋_GB2312" w:cs="仿宋_GB2312"/>
        </w:rPr>
        <w:t>形成镇村经济综合发展轴。</w:t>
      </w:r>
    </w:p>
    <w:p w14:paraId="2E226DC6">
      <w:pPr>
        <w:pStyle w:val="7"/>
        <w:ind w:firstLine="640"/>
        <w:rPr>
          <w:rFonts w:hint="eastAsia" w:ascii="仿宋_GB2312" w:hAnsi="仿宋_GB2312" w:cs="仿宋_GB2312"/>
        </w:rPr>
      </w:pPr>
      <w:r>
        <w:rPr>
          <w:rFonts w:hint="eastAsia" w:ascii="仿宋_GB2312" w:hAnsi="仿宋_GB2312" w:cs="仿宋_GB2312"/>
        </w:rPr>
        <w:t>一廊：龙羊峡水库沿岸构成滨水旅游廊道，发展自然景观与运动休闲，库区周边村庄</w:t>
      </w:r>
      <w:r>
        <w:rPr>
          <w:rFonts w:hint="eastAsia" w:ascii="仿宋_GB2312" w:hAnsi="仿宋_GB2312" w:cs="仿宋_GB2312"/>
          <w:lang w:val="en-US" w:eastAsia="zh-CN"/>
        </w:rPr>
        <w:t>结合自然景观发展红色水利、高原康养及特色水产品加工等产业</w:t>
      </w:r>
      <w:r>
        <w:rPr>
          <w:rFonts w:hint="eastAsia" w:ascii="仿宋_GB2312" w:hAnsi="仿宋_GB2312" w:cs="仿宋_GB2312"/>
        </w:rPr>
        <w:t>。</w:t>
      </w:r>
    </w:p>
    <w:p w14:paraId="08C4F6D4">
      <w:pPr>
        <w:pStyle w:val="7"/>
        <w:ind w:firstLine="640"/>
        <w:rPr>
          <w:rFonts w:hint="eastAsia" w:ascii="仿宋_GB2312" w:hAnsi="仿宋_GB2312" w:eastAsia="仿宋_GB2312" w:cs="仿宋_GB2312"/>
          <w:lang w:eastAsia="zh-CN"/>
        </w:rPr>
      </w:pPr>
      <w:r>
        <w:rPr>
          <w:rFonts w:hint="eastAsia" w:ascii="仿宋_GB2312" w:hAnsi="仿宋_GB2312" w:cs="仿宋_GB2312"/>
        </w:rPr>
        <w:t>四区：水产养殖业发展片区：龙羊峡水库特色水产养殖</w:t>
      </w:r>
      <w:r>
        <w:rPr>
          <w:rFonts w:hint="eastAsia" w:ascii="仿宋_GB2312" w:hAnsi="仿宋_GB2312" w:cs="仿宋_GB2312"/>
          <w:lang w:eastAsia="zh-CN"/>
        </w:rPr>
        <w:t>。</w:t>
      </w:r>
    </w:p>
    <w:p w14:paraId="100B63D4">
      <w:pPr>
        <w:pStyle w:val="7"/>
        <w:ind w:firstLine="640"/>
        <w:rPr>
          <w:rFonts w:hint="eastAsia" w:ascii="仿宋_GB2312" w:hAnsi="仿宋_GB2312" w:eastAsia="仿宋_GB2312" w:cs="仿宋_GB2312"/>
          <w:lang w:eastAsia="zh-CN"/>
        </w:rPr>
      </w:pPr>
      <w:r>
        <w:rPr>
          <w:rFonts w:hint="eastAsia" w:ascii="仿宋_GB2312" w:hAnsi="仿宋_GB2312" w:cs="仿宋_GB2312"/>
        </w:rPr>
        <w:t>工商贸产业发展片区：镇区及龙羊新村、查那村、黄河村</w:t>
      </w:r>
      <w:r>
        <w:rPr>
          <w:rFonts w:hint="eastAsia" w:ascii="仿宋_GB2312" w:hAnsi="仿宋_GB2312" w:cs="仿宋_GB2312"/>
          <w:lang w:eastAsia="zh-CN"/>
        </w:rPr>
        <w:t>。</w:t>
      </w:r>
    </w:p>
    <w:p w14:paraId="7FBD38BC">
      <w:pPr>
        <w:pStyle w:val="7"/>
        <w:ind w:firstLine="640"/>
        <w:rPr>
          <w:rFonts w:hint="eastAsia" w:ascii="仿宋_GB2312" w:hAnsi="仿宋_GB2312" w:eastAsia="仿宋_GB2312" w:cs="仿宋_GB2312"/>
          <w:lang w:eastAsia="zh-CN"/>
        </w:rPr>
      </w:pPr>
      <w:r>
        <w:rPr>
          <w:rFonts w:hint="eastAsia" w:ascii="仿宋_GB2312" w:hAnsi="仿宋_GB2312" w:cs="仿宋_GB2312"/>
        </w:rPr>
        <w:t>生态畜牧业发展片区：草原地区发展现代农牧产业</w:t>
      </w:r>
      <w:r>
        <w:rPr>
          <w:rFonts w:hint="eastAsia" w:ascii="仿宋_GB2312" w:hAnsi="仿宋_GB2312" w:cs="仿宋_GB2312"/>
          <w:lang w:eastAsia="zh-CN"/>
        </w:rPr>
        <w:t>。</w:t>
      </w:r>
    </w:p>
    <w:p w14:paraId="6610E90E">
      <w:pPr>
        <w:pStyle w:val="7"/>
        <w:ind w:firstLine="640"/>
        <w:rPr>
          <w:rFonts w:ascii="仿宋_GB2312" w:hAnsi="仿宋_GB2312" w:cs="仿宋_GB2312"/>
        </w:rPr>
      </w:pPr>
      <w:r>
        <w:rPr>
          <w:rFonts w:hint="eastAsia" w:ascii="仿宋_GB2312" w:hAnsi="仿宋_GB2312" w:cs="仿宋_GB2312"/>
        </w:rPr>
        <w:t>特色种植业发展片区：阿乙亥村、麻尼磨台村、曹多隆村、后菊花村、次汉土亥村、德胜村等村，发展水果、蔬菜种植、青稞和油菜种植、枸杞种植等特殊种植产业。</w:t>
      </w:r>
    </w:p>
    <w:p w14:paraId="5429A17A">
      <w:pPr>
        <w:pStyle w:val="3"/>
        <w:numPr>
          <w:ilvl w:val="1"/>
          <w:numId w:val="9"/>
        </w:numPr>
        <w:spacing w:before="100" w:after="100" w:line="400" w:lineRule="exact"/>
        <w:ind w:firstLine="0"/>
        <w:jc w:val="center"/>
        <w:rPr>
          <w:rFonts w:ascii="Arial" w:hAnsi="Arial" w:eastAsia="黑体" w:cs="Times New Roman"/>
          <w:b w:val="0"/>
          <w:lang w:val="zh-CN"/>
        </w:rPr>
      </w:pPr>
      <w:bookmarkStart w:id="48" w:name="_Toc3884"/>
      <w:r>
        <w:rPr>
          <w:rFonts w:hint="eastAsia" w:ascii="Arial" w:hAnsi="Arial" w:eastAsia="黑体" w:cs="Times New Roman"/>
          <w:b w:val="0"/>
          <w:lang w:val="zh-CN"/>
        </w:rPr>
        <w:t>完善公共服务设施布局</w:t>
      </w:r>
      <w:bookmarkEnd w:id="48"/>
    </w:p>
    <w:p w14:paraId="36C9F26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推进公共服务均等化，充分保障用地供给</w:t>
      </w:r>
    </w:p>
    <w:p w14:paraId="09BE49F1">
      <w:pPr>
        <w:pStyle w:val="7"/>
        <w:ind w:firstLine="640"/>
        <w:rPr>
          <w:rFonts w:ascii="仿宋_GB2312" w:hAnsi="仿宋_GB2312" w:cs="仿宋_GB2312"/>
        </w:rPr>
      </w:pPr>
      <w:r>
        <w:rPr>
          <w:rFonts w:hint="eastAsia" w:ascii="楷体_GB2312" w:hAnsi="楷体_GB2312" w:eastAsia="楷体_GB2312" w:cs="楷体_GB2312"/>
        </w:rPr>
        <w:t>推进公共服务均等化。</w:t>
      </w:r>
      <w:r>
        <w:rPr>
          <w:rFonts w:hint="eastAsia" w:ascii="仿宋_GB2312" w:hAnsi="仿宋_GB2312" w:cs="仿宋_GB2312"/>
        </w:rPr>
        <w:t>围绕“幼有所育、学有所教、劳有所得、病有所医、老有所养、住有所居、弱有所扶”总体思路，持续推动基本公共服务均等化，丰富多层次多样化生活服务供给，构建优质均衡的公共服务体系。统筹落实县级公共服务设施，规划形成“县级—乡镇级—村级”三级公共服务设施布局体系。</w:t>
      </w:r>
    </w:p>
    <w:p w14:paraId="629296F9">
      <w:pPr>
        <w:pStyle w:val="7"/>
        <w:ind w:firstLine="640"/>
        <w:rPr>
          <w:rFonts w:ascii="仿宋_GB2312" w:hAnsi="仿宋_GB2312" w:cs="仿宋_GB2312"/>
        </w:rPr>
      </w:pPr>
      <w:r>
        <w:rPr>
          <w:rFonts w:hint="eastAsia" w:ascii="楷体_GB2312" w:hAnsi="楷体_GB2312" w:eastAsia="楷体_GB2312" w:cs="楷体_GB2312"/>
        </w:rPr>
        <w:t>充分保障用地供给。</w:t>
      </w:r>
      <w:r>
        <w:rPr>
          <w:rFonts w:hint="eastAsia" w:ascii="仿宋_GB2312" w:hAnsi="仿宋_GB2312" w:cs="仿宋_GB2312"/>
        </w:rPr>
        <w:t>统筹布局重要公共服务设施和功能性设施，根据多层次多样化公共服务需求，优化土地供应调控机制，充分保障重要公共服务用地供给。将公共服务机构和设施用地纳入相关规划和年度用地计划并充分予以保障，农用地转用指标、新增建设用地指标分配要保障公共服务机构和设施建设用地。</w:t>
      </w:r>
    </w:p>
    <w:p w14:paraId="7750608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建设城乡社区生活圈</w:t>
      </w:r>
    </w:p>
    <w:p w14:paraId="686FA14F">
      <w:pPr>
        <w:pStyle w:val="7"/>
        <w:ind w:firstLine="640"/>
        <w:rPr>
          <w:rFonts w:ascii="仿宋_GB2312" w:hAnsi="仿宋_GB2312" w:cs="仿宋_GB2312"/>
        </w:rPr>
      </w:pPr>
      <w:r>
        <w:rPr>
          <w:rFonts w:hint="eastAsia" w:ascii="楷体_GB2312" w:hAnsi="楷体_GB2312" w:eastAsia="楷体_GB2312" w:cs="楷体_GB2312"/>
        </w:rPr>
        <w:t>镇区打造15分钟社区生活圈。</w:t>
      </w:r>
      <w:r>
        <w:rPr>
          <w:rFonts w:hint="eastAsia" w:ascii="仿宋_GB2312" w:hAnsi="仿宋_GB2312" w:cs="仿宋_GB2312"/>
        </w:rPr>
        <w:t>规划镇区划定15分钟社区生活圈和5</w:t>
      </w:r>
      <w:r>
        <w:rPr>
          <w:rFonts w:hint="eastAsia" w:ascii="仿宋_GB2312" w:hAnsi="仿宋_GB2312" w:cs="仿宋_GB2312"/>
          <w:lang w:eastAsia="zh-CN"/>
        </w:rPr>
        <w:t>～</w:t>
      </w:r>
      <w:r>
        <w:rPr>
          <w:rFonts w:hint="eastAsia" w:ascii="仿宋_GB2312" w:hAnsi="仿宋_GB2312" w:cs="仿宋_GB2312"/>
        </w:rPr>
        <w:t>10分钟社区生活圈两级服务圈层。镇区按15分钟社区生活圈进行设施补充和完善。结合龙羊峡镇实际服务管理人口的规模、构成及生产生活需求，合理确定镇区各类公共服务设施的规模及布局，合理布局教育、医疗、卫生、防疫和社会福利等相关设施，完善公共服务设施配套。龙羊峡镇旅游发展潜力突出，旅游服务设施可根据实际发展需求适度超前配置。规划至2035年，15分钟社区生活圈覆盖率基本达到100%。</w:t>
      </w:r>
    </w:p>
    <w:p w14:paraId="3203C65F">
      <w:pPr>
        <w:pStyle w:val="7"/>
        <w:ind w:firstLine="640"/>
        <w:rPr>
          <w:rFonts w:ascii="仿宋_GB2312" w:hAnsi="仿宋_GB2312" w:cs="仿宋_GB2312"/>
        </w:rPr>
      </w:pPr>
      <w:r>
        <w:rPr>
          <w:rFonts w:hint="eastAsia" w:ascii="楷体_GB2312" w:hAnsi="楷体_GB2312" w:eastAsia="楷体_GB2312" w:cs="楷体_GB2312"/>
        </w:rPr>
        <w:t>乡村打造30分钟社区生活圈。</w:t>
      </w:r>
      <w:r>
        <w:rPr>
          <w:rFonts w:hint="eastAsia" w:ascii="仿宋_GB2312" w:hAnsi="仿宋_GB2312" w:cs="仿宋_GB2312"/>
        </w:rPr>
        <w:t>规划形成“基本生活圈—一次生活圈—二次生活圈”三级空间分布体系。基本生活圈以基层村为服务对象，提供最基本日常生产生活服务项目，服务半径以0.5-1.0千米为宜；一次生活圈以中心村为依托，服务半径以5-10千米为宜；二次生活圈以镇区为依托，服务半径以20-40千米为宜。根据村庄生活生产方式，兼顾考虑配置特色化服务设施。对于撤并搬迁类村庄不再配置公共服务设施，对于融入城镇类村庄以补齐基本生活圈为主。</w:t>
      </w:r>
    </w:p>
    <w:p w14:paraId="483F64B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加强公共服务用地管控和功能共享</w:t>
      </w:r>
    </w:p>
    <w:p w14:paraId="2DE08679">
      <w:pPr>
        <w:pStyle w:val="7"/>
        <w:ind w:firstLine="640"/>
        <w:rPr>
          <w:rFonts w:ascii="仿宋_GB2312" w:hAnsi="仿宋_GB2312" w:cs="仿宋_GB2312"/>
        </w:rPr>
      </w:pPr>
      <w:r>
        <w:rPr>
          <w:rFonts w:hint="eastAsia" w:ascii="仿宋_GB2312" w:hAnsi="仿宋_GB2312" w:cs="仿宋_GB2312"/>
        </w:rPr>
        <w:t>在详细规划编制中应充分保障各类公共服务用地，现状闲置的各类公共服务用地优先转为</w:t>
      </w:r>
      <w:r>
        <w:rPr>
          <w:rFonts w:hint="eastAsia" w:ascii="仿宋_GB2312" w:hAnsi="仿宋_GB2312" w:cs="仿宋_GB2312"/>
          <w:lang w:eastAsia="zh-CN"/>
        </w:rPr>
        <w:t>其他</w:t>
      </w:r>
      <w:r>
        <w:rPr>
          <w:rFonts w:hint="eastAsia" w:ascii="仿宋_GB2312" w:hAnsi="仿宋_GB2312" w:cs="仿宋_GB2312"/>
        </w:rPr>
        <w:t>公共服务功能。鼓励利用存量空间完善公共服务设施供给，鼓励多功能公共服务设施复合建设，鼓励有条件的学校运动和文化设施对外开放共享，鼓励公园绿地建设或改造中合理安排适宜的文体设施。</w:t>
      </w:r>
    </w:p>
    <w:p w14:paraId="3D4B9B7A">
      <w:pPr>
        <w:pStyle w:val="3"/>
        <w:numPr>
          <w:ilvl w:val="1"/>
          <w:numId w:val="9"/>
        </w:numPr>
        <w:spacing w:before="100" w:after="100" w:line="400" w:lineRule="exact"/>
        <w:ind w:firstLine="0"/>
        <w:jc w:val="center"/>
        <w:rPr>
          <w:rFonts w:ascii="Arial" w:hAnsi="Arial" w:eastAsia="黑体" w:cs="Times New Roman"/>
          <w:b w:val="0"/>
          <w:lang w:val="zh-CN"/>
        </w:rPr>
      </w:pPr>
      <w:bookmarkStart w:id="49" w:name="_Toc13700"/>
      <w:r>
        <w:rPr>
          <w:rFonts w:hint="eastAsia" w:ascii="Arial" w:hAnsi="Arial" w:eastAsia="黑体" w:cs="Times New Roman"/>
          <w:b w:val="0"/>
          <w:lang w:val="zh-CN"/>
        </w:rPr>
        <w:t>促进城乡建设用地节约集约</w:t>
      </w:r>
      <w:bookmarkEnd w:id="49"/>
    </w:p>
    <w:p w14:paraId="70C7331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提高建设用地节约集约用地水平</w:t>
      </w:r>
    </w:p>
    <w:p w14:paraId="5D1A43AF">
      <w:pPr>
        <w:pStyle w:val="7"/>
        <w:ind w:firstLine="640"/>
        <w:rPr>
          <w:rFonts w:ascii="仿宋_GB2312" w:hAnsi="仿宋_GB2312" w:cs="仿宋_GB2312"/>
        </w:rPr>
      </w:pPr>
      <w:r>
        <w:rPr>
          <w:rFonts w:hint="eastAsia" w:ascii="楷体_GB2312" w:hAnsi="楷体_GB2312" w:eastAsia="楷体_GB2312" w:cs="楷体_GB2312"/>
        </w:rPr>
        <w:t>强化国土空间规划的引领作用，加强新增建设用地管控。</w:t>
      </w:r>
      <w:r>
        <w:rPr>
          <w:rFonts w:hint="eastAsia" w:ascii="仿宋_GB2312" w:hAnsi="仿宋_GB2312" w:cs="仿宋_GB2312"/>
        </w:rPr>
        <w:t>城镇空间以城镇开发边界约束，严格控制和引导城镇开发边界外城镇建设用地增长。建设项目优先利用存量土地，严格落实“增存挂钩”工作机制，引导产业向绿色产业园、人口向镇区集中。优化土地资源配置，促进产业节约集约用地，提高产业用地门槛，建立土地储备机制，探索实行差别化用地政策，支持高新技术产业发展，用地指标优先向基础设施和民生工程倾斜。挖掘潜力，加快处置批而未供土地，破解闲置土地处置难题，加快实施低效用地清理整治。</w:t>
      </w:r>
    </w:p>
    <w:p w14:paraId="10EFD75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盘活利用批而未用与闲置土地</w:t>
      </w:r>
    </w:p>
    <w:p w14:paraId="1573D7DB">
      <w:pPr>
        <w:pStyle w:val="7"/>
        <w:ind w:firstLine="640"/>
        <w:rPr>
          <w:rFonts w:ascii="仿宋_GB2312" w:hAnsi="仿宋_GB2312" w:cs="仿宋_GB2312"/>
        </w:rPr>
      </w:pPr>
      <w:r>
        <w:rPr>
          <w:rFonts w:hint="eastAsia" w:ascii="楷体_GB2312" w:hAnsi="楷体_GB2312" w:eastAsia="楷体_GB2312" w:cs="楷体_GB2312"/>
        </w:rPr>
        <w:t>分类处置批而未供土地，分类盘活闲置用地。</w:t>
      </w:r>
      <w:r>
        <w:rPr>
          <w:rFonts w:hint="eastAsia" w:ascii="仿宋_GB2312" w:hAnsi="仿宋_GB2312" w:cs="仿宋_GB2312"/>
        </w:rPr>
        <w:t>推进龙羊峡镇镇区内批而未供土地的开发利用，积极盘活利用闲置土地，按照“一地一策”制定分类处置方案。摸清低效用地数量、类型和分布，科学合理界定低效用地再开发范围，明确改造利用的目标任务、性质用途、规模布局、时序安排和保障措施等，落实改造单元和地块，完善配套基础设施、公共服务设施，统筹城镇功能再造、产业结构调整，确保城镇低效用地再开发健康有序推进。</w:t>
      </w:r>
    </w:p>
    <w:p w14:paraId="26CBDA9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稳妥推进城乡建设用地增减挂钩</w:t>
      </w:r>
    </w:p>
    <w:p w14:paraId="4A7D7E4D">
      <w:pPr>
        <w:tabs>
          <w:tab w:val="left" w:pos="353"/>
        </w:tabs>
        <w:spacing w:line="60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顺应城乡发展规律和演变趋势，因地制宜、量力而行，统筹规划、有序推进城乡建设用地增减挂钩。完善城乡建设用地增减挂钩制度，充分尊重农民意愿，稳妥有序推进农村低效建设用地整治。整合利用人口流出后腾出的各类土地，增加农业生产空间特别是耕地面积。</w:t>
      </w:r>
    </w:p>
    <w:p w14:paraId="5D1DD254">
      <w:pPr>
        <w:rPr>
          <w:rFonts w:ascii="仿宋_GB2312" w:hAnsi="仿宋_GB2312" w:eastAsia="仿宋_GB2312" w:cs="Times New Roman"/>
          <w:sz w:val="32"/>
          <w:szCs w:val="32"/>
        </w:rPr>
      </w:pPr>
      <w:r>
        <w:rPr>
          <w:rFonts w:hint="eastAsia" w:ascii="仿宋_GB2312" w:hAnsi="仿宋_GB2312" w:eastAsia="仿宋_GB2312" w:cs="Times New Roman"/>
          <w:sz w:val="32"/>
          <w:szCs w:val="32"/>
        </w:rPr>
        <w:br w:type="page"/>
      </w:r>
    </w:p>
    <w:p w14:paraId="4178B785">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50" w:name="_Toc24610"/>
      <w:r>
        <w:rPr>
          <w:rFonts w:hint="eastAsia" w:ascii="Times New Roman" w:hAnsi="Times New Roman" w:eastAsia="方正小标宋简体" w:cs="Times New Roman"/>
          <w:b w:val="0"/>
          <w:bCs w:val="0"/>
          <w:sz w:val="36"/>
          <w:szCs w:val="36"/>
        </w:rPr>
        <w:t>镇区规划</w:t>
      </w:r>
      <w:bookmarkEnd w:id="50"/>
    </w:p>
    <w:p w14:paraId="1406D1C6">
      <w:pPr>
        <w:pStyle w:val="3"/>
        <w:numPr>
          <w:ilvl w:val="1"/>
          <w:numId w:val="10"/>
        </w:numPr>
        <w:spacing w:before="100" w:after="100" w:line="400" w:lineRule="exact"/>
        <w:ind w:firstLine="0"/>
        <w:jc w:val="center"/>
        <w:rPr>
          <w:rFonts w:ascii="Arial" w:hAnsi="Arial" w:eastAsia="黑体" w:cs="Times New Roman"/>
          <w:b w:val="0"/>
          <w:lang w:val="zh-CN"/>
        </w:rPr>
      </w:pPr>
      <w:bookmarkStart w:id="51" w:name="_Toc18055"/>
      <w:r>
        <w:rPr>
          <w:rFonts w:hint="eastAsia" w:ascii="Arial" w:hAnsi="Arial" w:eastAsia="黑体" w:cs="Times New Roman"/>
          <w:b w:val="0"/>
          <w:lang w:val="zh-CN"/>
        </w:rPr>
        <w:t>空间结构</w:t>
      </w:r>
      <w:bookmarkEnd w:id="51"/>
    </w:p>
    <w:p w14:paraId="0A67123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空间布局结构</w:t>
      </w:r>
    </w:p>
    <w:p w14:paraId="4CB7B289">
      <w:pPr>
        <w:spacing w:line="600" w:lineRule="exact"/>
        <w:ind w:firstLine="560"/>
        <w:rPr>
          <w:rFonts w:ascii="楷体_GB2312" w:hAnsi="楷体_GB2312" w:eastAsia="楷体_GB2312" w:cs="楷体_GB2312"/>
          <w:sz w:val="32"/>
          <w:szCs w:val="32"/>
        </w:rPr>
      </w:pPr>
      <w:r>
        <w:rPr>
          <w:rFonts w:hint="eastAsia" w:ascii="楷体_GB2312" w:hAnsi="楷体_GB2312" w:eastAsia="楷体_GB2312" w:cs="楷体_GB2312"/>
          <w:sz w:val="32"/>
          <w:szCs w:val="32"/>
        </w:rPr>
        <w:t>规划形成“两核、两轴、一带、多节点”的城镇空间布局结构。</w:t>
      </w:r>
    </w:p>
    <w:p w14:paraId="40D78328">
      <w:pPr>
        <w:spacing w:line="6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两核：行政文化景观核心及滨水商业景观核心。</w:t>
      </w:r>
    </w:p>
    <w:p w14:paraId="628FD127">
      <w:pPr>
        <w:spacing w:line="6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两轴：以龙羊峡镇区内的冲沟及周边绿地形成的滨河景观风貌轴及一条以团结路与道路两侧风貌景观为构架人文景观风貌轴。</w:t>
      </w:r>
    </w:p>
    <w:p w14:paraId="3E6F9555">
      <w:pPr>
        <w:spacing w:line="6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一带：以龙羊大街及沿街两侧为骨架的核心景观带。</w:t>
      </w:r>
    </w:p>
    <w:p w14:paraId="482E5394">
      <w:pPr>
        <w:spacing w:line="60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多节点： 在对外主要道路入口设置门户景观节点（标志性景观节点）；结合重要的绿地、广场、开场空间布置核心景观节点；以街角绿地、口袋公园、城市绿化</w:t>
      </w:r>
      <w:r>
        <w:rPr>
          <w:rFonts w:hint="eastAsia" w:ascii="仿宋_GB2312" w:hAnsi="仿宋_GB2312" w:eastAsia="仿宋_GB2312" w:cs="仿宋_GB2312"/>
          <w:sz w:val="32"/>
          <w:szCs w:val="32"/>
          <w:lang w:eastAsia="zh-CN"/>
        </w:rPr>
        <w:t>带为</w:t>
      </w:r>
      <w:r>
        <w:rPr>
          <w:rFonts w:hint="eastAsia" w:ascii="仿宋_GB2312" w:hAnsi="仿宋_GB2312" w:eastAsia="仿宋_GB2312" w:cs="仿宋_GB2312"/>
          <w:sz w:val="32"/>
          <w:szCs w:val="32"/>
        </w:rPr>
        <w:t>主的普通景观节点。</w:t>
      </w:r>
    </w:p>
    <w:p w14:paraId="48DBF67E">
      <w:pPr>
        <w:pStyle w:val="3"/>
        <w:numPr>
          <w:ilvl w:val="1"/>
          <w:numId w:val="10"/>
        </w:numPr>
        <w:spacing w:before="100" w:after="100" w:line="400" w:lineRule="exact"/>
        <w:ind w:firstLine="0"/>
        <w:jc w:val="center"/>
        <w:rPr>
          <w:rFonts w:ascii="Arial" w:hAnsi="Arial" w:eastAsia="黑体" w:cs="Times New Roman"/>
          <w:b w:val="0"/>
          <w:lang w:val="zh-CN"/>
        </w:rPr>
      </w:pPr>
      <w:bookmarkStart w:id="52" w:name="_Toc25357"/>
      <w:r>
        <w:rPr>
          <w:rFonts w:hint="eastAsia" w:ascii="Arial" w:hAnsi="Arial" w:eastAsia="黑体" w:cs="Times New Roman"/>
          <w:b w:val="0"/>
          <w:lang w:val="zh-CN"/>
        </w:rPr>
        <w:t>功能与用地布局</w:t>
      </w:r>
      <w:bookmarkEnd w:id="52"/>
    </w:p>
    <w:p w14:paraId="6CF734E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细化规划分区，明确用途分类引导</w:t>
      </w:r>
    </w:p>
    <w:p w14:paraId="2DF49281">
      <w:pPr>
        <w:tabs>
          <w:tab w:val="left" w:pos="353"/>
        </w:tabs>
        <w:spacing w:line="600" w:lineRule="exact"/>
        <w:ind w:firstLine="640" w:firstLineChars="200"/>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rPr>
        <w:t>划定居住生活区</w:t>
      </w:r>
      <w:r>
        <w:rPr>
          <w:rFonts w:hint="eastAsia" w:ascii="仿宋_GB2312" w:hAnsi="仿宋_GB2312" w:eastAsia="仿宋_GB2312" w:cs="Times New Roman"/>
          <w:sz w:val="32"/>
          <w:szCs w:val="32"/>
          <w:lang w:val="en-US" w:eastAsia="zh-CN"/>
        </w:rPr>
        <w:t>23.66</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镇区比例24.42</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rPr>
        <w:t>综合服务区</w:t>
      </w:r>
      <w:r>
        <w:rPr>
          <w:rFonts w:hint="eastAsia" w:ascii="仿宋_GB2312" w:hAnsi="仿宋_GB2312" w:eastAsia="仿宋_GB2312" w:cs="Times New Roman"/>
          <w:sz w:val="32"/>
          <w:szCs w:val="32"/>
          <w:lang w:val="en-US" w:eastAsia="zh-CN"/>
        </w:rPr>
        <w:t>28.70</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镇区比例29.62</w:t>
      </w:r>
      <w:r>
        <w:rPr>
          <w:rFonts w:hint="eastAsia" w:ascii="仿宋_GB2312" w:hAnsi="仿宋_GB2312" w:eastAsia="仿宋_GB2312" w:cs="Times New Roman"/>
          <w:sz w:val="32"/>
          <w:szCs w:val="32"/>
        </w:rPr>
        <w:t>%；商业商务区</w:t>
      </w:r>
      <w:r>
        <w:rPr>
          <w:rFonts w:hint="eastAsia" w:ascii="仿宋_GB2312" w:hAnsi="仿宋_GB2312" w:eastAsia="仿宋_GB2312" w:cs="Times New Roman"/>
          <w:sz w:val="32"/>
          <w:szCs w:val="32"/>
          <w:lang w:val="en-US" w:eastAsia="zh-CN"/>
        </w:rPr>
        <w:t>23.57</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镇区比例24.33</w:t>
      </w:r>
      <w:r>
        <w:rPr>
          <w:rFonts w:hint="eastAsia" w:ascii="仿宋_GB2312" w:hAnsi="仿宋_GB2312" w:eastAsia="仿宋_GB2312" w:cs="Times New Roman"/>
          <w:sz w:val="32"/>
          <w:szCs w:val="32"/>
        </w:rPr>
        <w:t>%；绿地休闲区</w:t>
      </w:r>
      <w:r>
        <w:rPr>
          <w:rFonts w:hint="eastAsia" w:ascii="仿宋_GB2312" w:hAnsi="仿宋_GB2312" w:eastAsia="仿宋_GB2312" w:cs="Times New Roman"/>
          <w:sz w:val="32"/>
          <w:szCs w:val="32"/>
          <w:lang w:val="en-US" w:eastAsia="zh-CN"/>
        </w:rPr>
        <w:t>3.39</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镇区比例3.50</w:t>
      </w:r>
      <w:r>
        <w:rPr>
          <w:rFonts w:hint="eastAsia" w:ascii="仿宋_GB2312" w:hAnsi="仿宋_GB2312" w:eastAsia="仿宋_GB2312" w:cs="Times New Roman"/>
          <w:sz w:val="32"/>
          <w:szCs w:val="32"/>
        </w:rPr>
        <w:t>%；交通枢纽区</w:t>
      </w:r>
      <w:r>
        <w:rPr>
          <w:rFonts w:hint="eastAsia" w:ascii="仿宋_GB2312" w:hAnsi="仿宋_GB2312" w:eastAsia="仿宋_GB2312" w:cs="Times New Roman"/>
          <w:sz w:val="32"/>
          <w:szCs w:val="32"/>
          <w:lang w:val="en-US" w:eastAsia="zh-CN"/>
        </w:rPr>
        <w:t>4.66</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镇区比例4.81</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工业发展</w:t>
      </w:r>
      <w:r>
        <w:rPr>
          <w:rFonts w:hint="eastAsia" w:ascii="仿宋_GB2312" w:hAnsi="仿宋_GB2312" w:eastAsia="仿宋_GB2312" w:cs="Times New Roman"/>
          <w:sz w:val="32"/>
          <w:szCs w:val="32"/>
        </w:rPr>
        <w:t>区</w:t>
      </w:r>
      <w:r>
        <w:rPr>
          <w:rFonts w:hint="eastAsia" w:ascii="仿宋_GB2312" w:hAnsi="仿宋_GB2312" w:eastAsia="仿宋_GB2312" w:cs="Times New Roman"/>
          <w:sz w:val="32"/>
          <w:szCs w:val="32"/>
          <w:lang w:val="en-US" w:eastAsia="zh-CN"/>
        </w:rPr>
        <w:t>12.90</w:t>
      </w:r>
      <w:r>
        <w:rPr>
          <w:rFonts w:hint="eastAsia" w:ascii="仿宋_GB2312" w:hAnsi="仿宋_GB2312" w:eastAsia="仿宋_GB2312" w:cs="Times New Roman"/>
          <w:sz w:val="32"/>
          <w:szCs w:val="32"/>
        </w:rPr>
        <w:t>公顷，占</w:t>
      </w:r>
      <w:r>
        <w:rPr>
          <w:rFonts w:hint="eastAsia" w:ascii="仿宋_GB2312" w:hAnsi="仿宋_GB2312" w:eastAsia="仿宋_GB2312" w:cs="Times New Roman"/>
          <w:sz w:val="32"/>
          <w:szCs w:val="32"/>
          <w:lang w:val="en-US" w:eastAsia="zh-CN"/>
        </w:rPr>
        <w:t>镇区比例13.32</w:t>
      </w:r>
      <w:r>
        <w:rPr>
          <w:rFonts w:hint="eastAsia" w:ascii="仿宋_GB2312" w:hAnsi="仿宋_GB2312" w:eastAsia="仿宋_GB2312" w:cs="Times New Roman"/>
          <w:sz w:val="32"/>
          <w:szCs w:val="32"/>
        </w:rPr>
        <w:t>%。</w:t>
      </w:r>
    </w:p>
    <w:p w14:paraId="12F30713">
      <w:pPr>
        <w:tabs>
          <w:tab w:val="left" w:pos="353"/>
        </w:tabs>
        <w:spacing w:line="600" w:lineRule="exact"/>
        <w:ind w:firstLine="640" w:firstLineChars="200"/>
        <w:rPr>
          <w:rFonts w:hint="eastAsia" w:ascii="仿宋_GB2312" w:hAnsi="仿宋_GB2312" w:eastAsia="仿宋_GB2312" w:cs="Times New Roman"/>
          <w:sz w:val="32"/>
          <w:szCs w:val="32"/>
        </w:rPr>
      </w:pPr>
    </w:p>
    <w:p w14:paraId="1DA9FF7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落实空间结构，细化用地布局</w:t>
      </w:r>
    </w:p>
    <w:p w14:paraId="45B5661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依据上位规划中乡镇主要传导指标，对龙羊峡镇城镇开发边界进行落实，规划城镇建设用地面积</w:t>
      </w:r>
      <w:r>
        <w:rPr>
          <w:rFonts w:ascii="仿宋_GB2312" w:hAnsi="仿宋_GB2312" w:eastAsia="仿宋_GB2312" w:cs="仿宋_GB2312"/>
          <w:sz w:val="32"/>
          <w:szCs w:val="32"/>
        </w:rPr>
        <w:t>96.88</w:t>
      </w:r>
      <w:r>
        <w:rPr>
          <w:rFonts w:hint="eastAsia" w:ascii="仿宋_GB2312" w:hAnsi="仿宋_GB2312" w:eastAsia="仿宋_GB2312" w:cs="仿宋_GB2312"/>
          <w:sz w:val="32"/>
          <w:szCs w:val="32"/>
        </w:rPr>
        <w:t>公顷。</w:t>
      </w:r>
    </w:p>
    <w:p w14:paraId="0601A4F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规划居住用地面积</w:t>
      </w:r>
      <w:r>
        <w:rPr>
          <w:rFonts w:hint="eastAsia" w:ascii="仿宋_GB2312" w:hAnsi="仿宋_GB2312" w:eastAsia="仿宋_GB2312" w:cs="仿宋_GB2312"/>
          <w:sz w:val="32"/>
          <w:szCs w:val="32"/>
          <w:lang w:val="en-US" w:eastAsia="zh-CN"/>
        </w:rPr>
        <w:t>16.73</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17.26</w:t>
      </w:r>
      <w:r>
        <w:rPr>
          <w:rFonts w:hint="eastAsia" w:ascii="仿宋_GB2312" w:hAnsi="仿宋_GB2312" w:eastAsia="仿宋_GB2312" w:cs="仿宋_GB2312"/>
          <w:sz w:val="32"/>
          <w:szCs w:val="32"/>
        </w:rPr>
        <w:t>%，位于镇区</w:t>
      </w:r>
      <w:r>
        <w:rPr>
          <w:rFonts w:hint="eastAsia" w:ascii="仿宋_GB2312" w:hAnsi="仿宋_GB2312" w:eastAsia="仿宋_GB2312" w:cs="仿宋_GB2312"/>
          <w:sz w:val="32"/>
          <w:szCs w:val="32"/>
          <w:lang w:val="en-US" w:eastAsia="zh-CN"/>
        </w:rPr>
        <w:t>西</w:t>
      </w:r>
      <w:r>
        <w:rPr>
          <w:rFonts w:hint="eastAsia" w:ascii="仿宋_GB2312" w:hAnsi="仿宋_GB2312" w:eastAsia="仿宋_GB2312" w:cs="仿宋_GB2312"/>
          <w:sz w:val="32"/>
          <w:szCs w:val="32"/>
        </w:rPr>
        <w:t>部和东部区域；公共管理与公共服务用地面积</w:t>
      </w:r>
      <w:r>
        <w:rPr>
          <w:rFonts w:hint="eastAsia" w:ascii="仿宋_GB2312" w:hAnsi="仿宋_GB2312" w:eastAsia="仿宋_GB2312" w:cs="仿宋_GB2312"/>
          <w:sz w:val="32"/>
          <w:szCs w:val="32"/>
          <w:lang w:val="en-US" w:eastAsia="zh-CN"/>
        </w:rPr>
        <w:t>25.62</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26.45</w:t>
      </w:r>
      <w:r>
        <w:rPr>
          <w:rFonts w:hint="eastAsia" w:ascii="仿宋_GB2312" w:hAnsi="仿宋_GB2312" w:eastAsia="仿宋_GB2312" w:cs="仿宋_GB2312"/>
          <w:sz w:val="32"/>
          <w:szCs w:val="32"/>
        </w:rPr>
        <w:t>%，位于</w:t>
      </w:r>
      <w:r>
        <w:rPr>
          <w:rFonts w:hint="eastAsia" w:ascii="仿宋_GB2312" w:hAnsi="仿宋_GB2312" w:eastAsia="仿宋_GB2312" w:cs="仿宋_GB2312"/>
          <w:sz w:val="32"/>
          <w:szCs w:val="32"/>
          <w:lang w:val="en-US" w:eastAsia="zh-CN"/>
        </w:rPr>
        <w:t>团结路、龙羊北路及青年路两侧</w:t>
      </w:r>
      <w:r>
        <w:rPr>
          <w:rFonts w:hint="eastAsia" w:ascii="仿宋_GB2312" w:hAnsi="仿宋_GB2312" w:eastAsia="仿宋_GB2312" w:cs="仿宋_GB2312"/>
          <w:sz w:val="32"/>
          <w:szCs w:val="32"/>
        </w:rPr>
        <w:t>区域；商业服务业用地面积</w:t>
      </w:r>
      <w:r>
        <w:rPr>
          <w:rFonts w:hint="eastAsia" w:ascii="仿宋_GB2312" w:hAnsi="仿宋_GB2312" w:eastAsia="仿宋_GB2312" w:cs="仿宋_GB2312"/>
          <w:sz w:val="32"/>
          <w:szCs w:val="32"/>
          <w:lang w:val="en-US" w:eastAsia="zh-CN"/>
        </w:rPr>
        <w:t>19.55</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20.18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主要</w:t>
      </w:r>
      <w:r>
        <w:rPr>
          <w:rFonts w:hint="eastAsia" w:ascii="仿宋_GB2312" w:hAnsi="仿宋_GB2312" w:eastAsia="仿宋_GB2312" w:cs="仿宋_GB2312"/>
          <w:sz w:val="32"/>
          <w:szCs w:val="32"/>
        </w:rPr>
        <w:t>位于龙羊大街两侧临街区域；</w:t>
      </w:r>
      <w:r>
        <w:rPr>
          <w:rFonts w:hint="eastAsia" w:ascii="仿宋_GB2312" w:hAnsi="仿宋_GB2312" w:eastAsia="仿宋_GB2312" w:cs="仿宋_GB2312"/>
          <w:sz w:val="32"/>
          <w:szCs w:val="32"/>
          <w:lang w:val="en-US" w:eastAsia="zh-CN"/>
        </w:rPr>
        <w:t>工矿用地</w:t>
      </w:r>
      <w:r>
        <w:rPr>
          <w:rFonts w:hint="eastAsia" w:ascii="仿宋_GB2312" w:hAnsi="仿宋_GB2312" w:eastAsia="仿宋_GB2312" w:cs="仿宋_GB2312"/>
          <w:sz w:val="32"/>
          <w:szCs w:val="32"/>
        </w:rPr>
        <w:t>面积</w:t>
      </w:r>
      <w:r>
        <w:rPr>
          <w:rFonts w:hint="eastAsia" w:ascii="仿宋_GB2312" w:hAnsi="仿宋_GB2312" w:eastAsia="仿宋_GB2312" w:cs="仿宋_GB2312"/>
          <w:sz w:val="32"/>
          <w:szCs w:val="32"/>
          <w:lang w:val="en-US" w:eastAsia="zh-CN"/>
        </w:rPr>
        <w:t>11.29</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11.66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主要</w:t>
      </w:r>
      <w:r>
        <w:rPr>
          <w:rFonts w:hint="eastAsia" w:ascii="仿宋_GB2312" w:hAnsi="仿宋_GB2312" w:eastAsia="仿宋_GB2312" w:cs="仿宋_GB2312"/>
          <w:sz w:val="32"/>
          <w:szCs w:val="32"/>
        </w:rPr>
        <w:t>位于</w:t>
      </w:r>
      <w:r>
        <w:rPr>
          <w:rFonts w:hint="eastAsia" w:ascii="仿宋_GB2312" w:hAnsi="仿宋_GB2312" w:eastAsia="仿宋_GB2312" w:cs="仿宋_GB2312"/>
          <w:sz w:val="32"/>
          <w:szCs w:val="32"/>
          <w:lang w:val="en-US" w:eastAsia="zh-CN"/>
        </w:rPr>
        <w:t>镇区东部、团结路</w:t>
      </w:r>
      <w:r>
        <w:rPr>
          <w:rFonts w:hint="eastAsia" w:ascii="仿宋_GB2312" w:hAnsi="仿宋_GB2312" w:eastAsia="仿宋_GB2312" w:cs="仿宋_GB2312"/>
          <w:sz w:val="32"/>
          <w:szCs w:val="32"/>
        </w:rPr>
        <w:t>两侧区域；交通运输用地面积</w:t>
      </w:r>
      <w:r>
        <w:rPr>
          <w:rFonts w:hint="eastAsia" w:ascii="仿宋_GB2312" w:hAnsi="仿宋_GB2312" w:eastAsia="仿宋_GB2312" w:cs="仿宋_GB2312"/>
          <w:sz w:val="32"/>
          <w:szCs w:val="32"/>
          <w:lang w:val="en-US" w:eastAsia="zh-CN"/>
        </w:rPr>
        <w:t>17.25</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17.81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主要为镇区内道路和交通场站</w:t>
      </w:r>
      <w:r>
        <w:rPr>
          <w:rFonts w:hint="eastAsia" w:ascii="仿宋_GB2312" w:hAnsi="仿宋_GB2312" w:eastAsia="仿宋_GB2312" w:cs="仿宋_GB2312"/>
          <w:sz w:val="32"/>
          <w:szCs w:val="32"/>
        </w:rPr>
        <w:t>；公用设施用地面积</w:t>
      </w:r>
      <w:r>
        <w:rPr>
          <w:rFonts w:hint="eastAsia" w:ascii="仿宋_GB2312" w:hAnsi="仿宋_GB2312" w:eastAsia="仿宋_GB2312" w:cs="仿宋_GB2312"/>
          <w:sz w:val="32"/>
          <w:szCs w:val="32"/>
          <w:lang w:val="en-US" w:eastAsia="zh-CN"/>
        </w:rPr>
        <w:t>3.42</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3.54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，主要位</w:t>
      </w:r>
      <w:r>
        <w:rPr>
          <w:rFonts w:hint="eastAsia" w:ascii="仿宋_GB2312" w:hAnsi="仿宋_GB2312" w:eastAsia="仿宋_GB2312" w:cs="仿宋_GB2312"/>
          <w:sz w:val="32"/>
          <w:szCs w:val="32"/>
          <w:lang w:val="en-US" w:eastAsia="zh-CN"/>
        </w:rPr>
        <w:t>与镇区西南部</w:t>
      </w:r>
      <w:r>
        <w:rPr>
          <w:rFonts w:hint="eastAsia" w:ascii="仿宋_GB2312" w:hAnsi="仿宋_GB2312" w:eastAsia="仿宋_GB2312" w:cs="仿宋_GB2312"/>
          <w:sz w:val="32"/>
          <w:szCs w:val="32"/>
        </w:rPr>
        <w:t>；绿地与开敞空间用地面积</w:t>
      </w:r>
      <w:r>
        <w:rPr>
          <w:rFonts w:hint="eastAsia" w:ascii="仿宋_GB2312" w:hAnsi="仿宋_GB2312" w:eastAsia="仿宋_GB2312" w:cs="仿宋_GB2312"/>
          <w:sz w:val="32"/>
          <w:szCs w:val="32"/>
          <w:lang w:val="en-US" w:eastAsia="zh-CN"/>
        </w:rPr>
        <w:t>2.62</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2.71</w:t>
      </w:r>
      <w:r>
        <w:rPr>
          <w:rFonts w:hint="eastAsia" w:ascii="仿宋_GB2312" w:hAnsi="仿宋_GB2312" w:eastAsia="仿宋_GB2312" w:cs="仿宋_GB2312"/>
          <w:sz w:val="32"/>
          <w:szCs w:val="32"/>
        </w:rPr>
        <w:t>%，主要位于镇区中部</w:t>
      </w:r>
      <w:r>
        <w:rPr>
          <w:rFonts w:hint="eastAsia" w:ascii="仿宋_GB2312" w:hAnsi="仿宋_GB2312" w:eastAsia="仿宋_GB2312" w:cs="仿宋_GB2312"/>
          <w:sz w:val="32"/>
          <w:szCs w:val="32"/>
          <w:lang w:val="en-US" w:eastAsia="zh-CN"/>
        </w:rPr>
        <w:t>和北部</w:t>
      </w:r>
      <w:r>
        <w:rPr>
          <w:rFonts w:hint="eastAsia" w:ascii="仿宋_GB2312" w:hAnsi="仿宋_GB2312" w:eastAsia="仿宋_GB2312" w:cs="仿宋_GB2312"/>
          <w:sz w:val="32"/>
          <w:szCs w:val="32"/>
        </w:rPr>
        <w:t>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特殊用地</w:t>
      </w:r>
      <w:r>
        <w:rPr>
          <w:rFonts w:hint="eastAsia" w:ascii="仿宋_GB2312" w:hAnsi="仿宋_GB2312" w:eastAsia="仿宋_GB2312" w:cs="仿宋_GB2312"/>
          <w:sz w:val="32"/>
          <w:szCs w:val="32"/>
        </w:rPr>
        <w:t>面积</w:t>
      </w:r>
      <w:r>
        <w:rPr>
          <w:rFonts w:hint="eastAsia" w:ascii="仿宋_GB2312" w:hAnsi="仿宋_GB2312" w:eastAsia="仿宋_GB2312" w:cs="仿宋_GB2312"/>
          <w:sz w:val="32"/>
          <w:szCs w:val="32"/>
          <w:lang w:val="en-US" w:eastAsia="zh-CN"/>
        </w:rPr>
        <w:t>0.40</w:t>
      </w:r>
      <w:r>
        <w:rPr>
          <w:rFonts w:hint="eastAsia" w:ascii="仿宋_GB2312" w:hAnsi="仿宋_GB2312" w:eastAsia="仿宋_GB2312" w:cs="仿宋_GB2312"/>
          <w:sz w:val="32"/>
          <w:szCs w:val="32"/>
        </w:rPr>
        <w:t>公顷，占城镇建设用地总量的</w:t>
      </w:r>
      <w:r>
        <w:rPr>
          <w:rFonts w:hint="eastAsia" w:ascii="仿宋_GB2312" w:hAnsi="仿宋_GB2312" w:eastAsia="仿宋_GB2312" w:cs="仿宋_GB2312"/>
          <w:sz w:val="32"/>
          <w:szCs w:val="32"/>
          <w:lang w:val="en-US" w:eastAsia="zh-CN"/>
        </w:rPr>
        <w:t>0.41</w:t>
      </w:r>
      <w:r>
        <w:rPr>
          <w:rFonts w:hint="eastAsia" w:ascii="仿宋_GB2312" w:hAnsi="仿宋_GB2312" w:eastAsia="仿宋_GB2312" w:cs="仿宋_GB2312"/>
          <w:sz w:val="32"/>
          <w:szCs w:val="32"/>
        </w:rPr>
        <w:t>%。</w:t>
      </w:r>
    </w:p>
    <w:p w14:paraId="7B7A7AC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sz w:val="32"/>
          <w:szCs w:val="32"/>
        </w:rPr>
        <w:t>具体地块用途、边界定位、开发建设强度、用地兼容等规划管控要求在详细规划中确定。</w:t>
      </w:r>
    </w:p>
    <w:p w14:paraId="5743D660">
      <w:pPr>
        <w:pStyle w:val="3"/>
        <w:numPr>
          <w:ilvl w:val="1"/>
          <w:numId w:val="10"/>
        </w:numPr>
        <w:spacing w:before="100" w:after="100" w:line="400" w:lineRule="exact"/>
        <w:ind w:firstLine="0"/>
        <w:jc w:val="center"/>
        <w:rPr>
          <w:rFonts w:ascii="Arial" w:hAnsi="Arial" w:eastAsia="黑体" w:cs="Times New Roman"/>
          <w:b w:val="0"/>
          <w:lang w:val="zh-CN"/>
        </w:rPr>
      </w:pPr>
      <w:bookmarkStart w:id="53" w:name="_Toc22282"/>
      <w:r>
        <w:rPr>
          <w:rFonts w:hint="eastAsia" w:ascii="Arial" w:hAnsi="Arial" w:eastAsia="黑体" w:cs="Times New Roman"/>
          <w:b w:val="0"/>
          <w:lang w:val="zh-CN"/>
        </w:rPr>
        <w:t>居住与住房保障</w:t>
      </w:r>
      <w:bookmarkEnd w:id="53"/>
    </w:p>
    <w:p w14:paraId="05F3B11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居住空间布局</w:t>
      </w:r>
    </w:p>
    <w:p w14:paraId="2361249F">
      <w:pPr>
        <w:spacing w:line="60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规划至2035年，镇区居住用地主要分布于镇区</w:t>
      </w:r>
      <w:r>
        <w:rPr>
          <w:rFonts w:hint="eastAsia" w:ascii="仿宋_GB2312" w:hAnsi="仿宋_GB2312" w:eastAsia="仿宋_GB2312" w:cs="仿宋_GB2312"/>
          <w:sz w:val="32"/>
          <w:szCs w:val="32"/>
          <w:lang w:val="en-US" w:eastAsia="zh-CN"/>
        </w:rPr>
        <w:t>西</w:t>
      </w:r>
      <w:r>
        <w:rPr>
          <w:rFonts w:hint="eastAsia" w:ascii="仿宋_GB2312" w:hAnsi="仿宋_GB2312" w:eastAsia="仿宋_GB2312" w:cs="仿宋_GB2312"/>
          <w:sz w:val="32"/>
          <w:szCs w:val="32"/>
        </w:rPr>
        <w:t>部和东部区域</w:t>
      </w:r>
      <w:r>
        <w:rPr>
          <w:rFonts w:hint="eastAsia" w:ascii="仿宋_GB2312" w:hAnsi="仿宋_GB2312" w:eastAsia="仿宋_GB2312"/>
          <w:sz w:val="32"/>
          <w:szCs w:val="32"/>
        </w:rPr>
        <w:t>，规划形成</w:t>
      </w:r>
      <w:r>
        <w:rPr>
          <w:rFonts w:ascii="仿宋_GB2312" w:hAnsi="仿宋_GB2312" w:eastAsia="仿宋_GB2312"/>
          <w:sz w:val="32"/>
          <w:szCs w:val="32"/>
        </w:rPr>
        <w:t>2</w:t>
      </w:r>
      <w:r>
        <w:rPr>
          <w:rFonts w:hint="eastAsia" w:ascii="仿宋_GB2312" w:hAnsi="仿宋_GB2312" w:eastAsia="仿宋_GB2312"/>
          <w:sz w:val="32"/>
          <w:szCs w:val="32"/>
        </w:rPr>
        <w:t>个居住组团，总面积</w:t>
      </w:r>
      <w:r>
        <w:rPr>
          <w:rFonts w:hint="eastAsia" w:ascii="仿宋_GB2312" w:hAnsi="仿宋_GB2312" w:eastAsia="仿宋_GB2312"/>
          <w:sz w:val="32"/>
          <w:szCs w:val="32"/>
          <w:lang w:val="en-US" w:eastAsia="zh-CN"/>
        </w:rPr>
        <w:t>16.73</w:t>
      </w:r>
      <w:r>
        <w:rPr>
          <w:rFonts w:hint="eastAsia" w:ascii="仿宋_GB2312" w:hAnsi="仿宋_GB2312" w:eastAsia="仿宋_GB2312"/>
          <w:sz w:val="32"/>
          <w:szCs w:val="32"/>
        </w:rPr>
        <w:t>公顷，居住总人口</w:t>
      </w:r>
      <w:r>
        <w:rPr>
          <w:rFonts w:ascii="仿宋_GB2312" w:hAnsi="仿宋_GB2312" w:eastAsia="仿宋_GB2312"/>
          <w:sz w:val="32"/>
          <w:szCs w:val="32"/>
        </w:rPr>
        <w:t>3000</w:t>
      </w:r>
      <w:r>
        <w:rPr>
          <w:rFonts w:hint="eastAsia" w:ascii="仿宋_GB2312" w:hAnsi="仿宋_GB2312" w:eastAsia="仿宋_GB2312"/>
          <w:sz w:val="32"/>
          <w:szCs w:val="32"/>
        </w:rPr>
        <w:t>人。</w:t>
      </w:r>
    </w:p>
    <w:p w14:paraId="77817288">
      <w:pPr>
        <w:pStyle w:val="3"/>
        <w:numPr>
          <w:ilvl w:val="1"/>
          <w:numId w:val="10"/>
        </w:numPr>
        <w:spacing w:before="100" w:after="100" w:line="400" w:lineRule="exact"/>
        <w:ind w:firstLine="0"/>
        <w:jc w:val="center"/>
        <w:rPr>
          <w:rFonts w:ascii="Arial" w:hAnsi="Arial" w:eastAsia="黑体" w:cs="Times New Roman"/>
          <w:b w:val="0"/>
          <w:lang w:val="zh-CN"/>
        </w:rPr>
      </w:pPr>
      <w:bookmarkStart w:id="54" w:name="_Toc13404"/>
      <w:r>
        <w:rPr>
          <w:rFonts w:hint="eastAsia" w:ascii="Arial" w:hAnsi="Arial" w:eastAsia="黑体" w:cs="Times New Roman"/>
          <w:b w:val="0"/>
          <w:lang w:val="zh-CN"/>
        </w:rPr>
        <w:t>公共服务设施布局</w:t>
      </w:r>
      <w:bookmarkEnd w:id="54"/>
    </w:p>
    <w:p w14:paraId="3C4A939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生活圈规划</w:t>
      </w:r>
    </w:p>
    <w:p w14:paraId="703CAA5F">
      <w:pPr>
        <w:spacing w:line="600" w:lineRule="exact"/>
        <w:ind w:firstLine="640" w:firstLineChars="200"/>
        <w:rPr>
          <w:rFonts w:ascii="仿宋_GB2312" w:hAnsi="仿宋_GB2312" w:eastAsia="仿宋_GB2312"/>
          <w:sz w:val="32"/>
          <w:szCs w:val="32"/>
        </w:rPr>
      </w:pPr>
      <w:r>
        <w:rPr>
          <w:rFonts w:hint="eastAsia" w:ascii="楷体_GB2312" w:hAnsi="楷体_GB2312" w:eastAsia="楷体_GB2312" w:cs="楷体_GB2312"/>
          <w:sz w:val="32"/>
          <w:szCs w:val="32"/>
        </w:rPr>
        <w:t>构建15分钟城镇生活圈。</w:t>
      </w:r>
      <w:r>
        <w:rPr>
          <w:rFonts w:hint="eastAsia" w:ascii="仿宋_GB2312" w:hAnsi="仿宋_GB2312" w:eastAsia="仿宋_GB2312"/>
          <w:sz w:val="32"/>
          <w:szCs w:val="32"/>
        </w:rPr>
        <w:t>规划镇区形成1个15分钟生活圈，公共服务设施围绕镇政府相对集中设置形成片区中心。镇区西部主要发展餐饮、住宿等旅游服务业，设施配套上兼顾旅游服务人群需求。</w:t>
      </w:r>
    </w:p>
    <w:p w14:paraId="02FE8F49">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公共服务设施规划</w:t>
      </w:r>
    </w:p>
    <w:p w14:paraId="64CC68EA">
      <w:pPr>
        <w:spacing w:line="600" w:lineRule="exact"/>
        <w:ind w:firstLine="640" w:firstLineChars="200"/>
        <w:rPr>
          <w:rFonts w:ascii="仿宋_GB2312" w:hAnsi="仿宋_GB2312" w:eastAsia="仿宋_GB2312"/>
          <w:sz w:val="32"/>
          <w:szCs w:val="32"/>
        </w:rPr>
      </w:pPr>
      <w:r>
        <w:rPr>
          <w:rFonts w:hint="eastAsia" w:ascii="楷体_GB2312" w:hAnsi="楷体_GB2312" w:eastAsia="楷体_GB2312" w:cs="楷体_GB2312"/>
          <w:sz w:val="32"/>
          <w:szCs w:val="32"/>
        </w:rPr>
        <w:t>机关团体用地。</w:t>
      </w:r>
      <w:r>
        <w:rPr>
          <w:rFonts w:hint="eastAsia" w:ascii="仿宋_GB2312" w:hAnsi="仿宋_GB2312" w:eastAsia="仿宋_GB2312"/>
          <w:sz w:val="32"/>
          <w:szCs w:val="32"/>
        </w:rPr>
        <w:t>规划机关团体用地面积</w:t>
      </w:r>
      <w:r>
        <w:rPr>
          <w:rFonts w:hint="eastAsia" w:ascii="仿宋_GB2312" w:hAnsi="仿宋_GB2312" w:eastAsia="仿宋_GB2312"/>
          <w:sz w:val="32"/>
          <w:szCs w:val="32"/>
          <w:lang w:val="en-US" w:eastAsia="zh-CN"/>
        </w:rPr>
        <w:t>15.57</w:t>
      </w:r>
      <w:r>
        <w:rPr>
          <w:rFonts w:hint="eastAsia" w:ascii="仿宋_GB2312" w:hAnsi="仿宋_GB2312" w:eastAsia="仿宋_GB2312"/>
          <w:sz w:val="32"/>
          <w:szCs w:val="32"/>
        </w:rPr>
        <w:t>公顷，占规划城镇建设用地</w:t>
      </w:r>
      <w:r>
        <w:rPr>
          <w:rFonts w:hint="eastAsia" w:ascii="仿宋_GB2312" w:hAnsi="仿宋_GB2312" w:eastAsia="仿宋_GB2312"/>
          <w:sz w:val="32"/>
          <w:szCs w:val="32"/>
          <w:lang w:val="en-US" w:eastAsia="zh-CN"/>
        </w:rPr>
        <w:t>16.07</w:t>
      </w:r>
      <w:r>
        <w:rPr>
          <w:rFonts w:hint="eastAsia" w:ascii="仿宋_GB2312" w:hAnsi="仿宋_GB2312" w:eastAsia="仿宋_GB2312"/>
          <w:sz w:val="32"/>
          <w:szCs w:val="32"/>
        </w:rPr>
        <w:t>%。主要为镇政府及相关部门、派出所和各村村委会所占用地。</w:t>
      </w:r>
    </w:p>
    <w:p w14:paraId="64F04ABC">
      <w:pPr>
        <w:spacing w:line="600" w:lineRule="exact"/>
        <w:ind w:firstLine="640" w:firstLineChars="200"/>
        <w:rPr>
          <w:rFonts w:hint="eastAsia" w:ascii="仿宋_GB2312" w:hAnsi="仿宋_GB2312" w:eastAsia="仿宋_GB2312"/>
          <w:sz w:val="32"/>
          <w:szCs w:val="32"/>
        </w:rPr>
      </w:pPr>
      <w:r>
        <w:rPr>
          <w:rFonts w:hint="eastAsia" w:ascii="楷体_GB2312" w:hAnsi="楷体_GB2312" w:eastAsia="楷体_GB2312" w:cs="楷体_GB2312"/>
          <w:sz w:val="32"/>
          <w:szCs w:val="32"/>
        </w:rPr>
        <w:t>教育用地。</w:t>
      </w:r>
      <w:r>
        <w:rPr>
          <w:rFonts w:hint="eastAsia" w:ascii="仿宋_GB2312" w:hAnsi="仿宋_GB2312" w:eastAsia="仿宋_GB2312"/>
          <w:sz w:val="32"/>
          <w:szCs w:val="32"/>
        </w:rPr>
        <w:t>规划教育用地面积</w:t>
      </w:r>
      <w:r>
        <w:rPr>
          <w:rFonts w:hint="eastAsia" w:ascii="仿宋_GB2312" w:hAnsi="仿宋_GB2312" w:eastAsia="仿宋_GB2312"/>
          <w:sz w:val="32"/>
          <w:szCs w:val="32"/>
          <w:lang w:val="en-US" w:eastAsia="zh-CN"/>
        </w:rPr>
        <w:t>5.99</w:t>
      </w:r>
      <w:r>
        <w:rPr>
          <w:rFonts w:hint="eastAsia" w:ascii="仿宋_GB2312" w:hAnsi="仿宋_GB2312" w:eastAsia="仿宋_GB2312"/>
          <w:sz w:val="32"/>
          <w:szCs w:val="32"/>
        </w:rPr>
        <w:t>公顷，占规划城镇建设用地</w:t>
      </w:r>
      <w:r>
        <w:rPr>
          <w:rFonts w:hint="eastAsia" w:ascii="仿宋_GB2312" w:hAnsi="仿宋_GB2312" w:eastAsia="仿宋_GB2312"/>
          <w:sz w:val="32"/>
          <w:szCs w:val="32"/>
          <w:lang w:val="en-US" w:eastAsia="zh-CN"/>
        </w:rPr>
        <w:t>6.18</w:t>
      </w:r>
      <w:r>
        <w:rPr>
          <w:rFonts w:hint="eastAsia" w:ascii="仿宋_GB2312" w:hAnsi="仿宋_GB2312" w:eastAsia="仿宋_GB2312"/>
          <w:sz w:val="32"/>
          <w:szCs w:val="32"/>
        </w:rPr>
        <w:t>%。规划保留现状</w:t>
      </w:r>
      <w:r>
        <w:rPr>
          <w:rFonts w:hint="eastAsia" w:ascii="仿宋_GB2312" w:hAnsi="仿宋_GB2312" w:eastAsia="仿宋_GB2312"/>
          <w:sz w:val="32"/>
          <w:szCs w:val="32"/>
          <w:lang w:val="en-US" w:eastAsia="zh-CN"/>
        </w:rPr>
        <w:t>学校和幼儿园</w:t>
      </w:r>
      <w:r>
        <w:rPr>
          <w:rFonts w:hint="eastAsia" w:ascii="仿宋_GB2312" w:hAnsi="仿宋_GB2312" w:eastAsia="仿宋_GB2312"/>
          <w:sz w:val="32"/>
          <w:szCs w:val="32"/>
        </w:rPr>
        <w:t>。</w:t>
      </w:r>
    </w:p>
    <w:p w14:paraId="3F49EA56">
      <w:pPr>
        <w:spacing w:line="600" w:lineRule="exact"/>
        <w:ind w:firstLine="640" w:firstLineChars="200"/>
        <w:rPr>
          <w:rFonts w:ascii="仿宋_GB2312" w:hAnsi="仿宋_GB2312" w:eastAsia="仿宋_GB2312"/>
          <w:sz w:val="32"/>
          <w:szCs w:val="32"/>
        </w:rPr>
      </w:pPr>
      <w:r>
        <w:rPr>
          <w:rFonts w:hint="eastAsia" w:ascii="楷体_GB2312" w:hAnsi="楷体_GB2312" w:eastAsia="楷体_GB2312" w:cs="楷体_GB2312"/>
          <w:sz w:val="32"/>
          <w:szCs w:val="32"/>
        </w:rPr>
        <w:t>医疗卫生用地。</w:t>
      </w:r>
      <w:r>
        <w:rPr>
          <w:rFonts w:hint="eastAsia" w:ascii="仿宋_GB2312" w:hAnsi="仿宋_GB2312" w:eastAsia="仿宋_GB2312" w:cs="仿宋_GB2312"/>
          <w:sz w:val="32"/>
          <w:szCs w:val="32"/>
        </w:rPr>
        <w:t>规划医疗卫生用地</w:t>
      </w:r>
      <w:r>
        <w:rPr>
          <w:rFonts w:hint="eastAsia" w:ascii="仿宋_GB2312" w:hAnsi="仿宋_GB2312" w:eastAsia="仿宋_GB2312" w:cs="仿宋_GB2312"/>
          <w:sz w:val="32"/>
          <w:szCs w:val="32"/>
          <w:lang w:val="en-US" w:eastAsia="zh-CN"/>
        </w:rPr>
        <w:t>0.86</w:t>
      </w:r>
      <w:r>
        <w:rPr>
          <w:rFonts w:hint="eastAsia" w:ascii="仿宋_GB2312" w:hAnsi="仿宋_GB2312" w:eastAsia="仿宋_GB2312" w:cs="仿宋_GB2312"/>
          <w:sz w:val="32"/>
          <w:szCs w:val="32"/>
        </w:rPr>
        <w:t>公顷，占规划城镇建设用地</w:t>
      </w:r>
      <w:r>
        <w:rPr>
          <w:rFonts w:hint="eastAsia" w:ascii="仿宋_GB2312" w:hAnsi="仿宋_GB2312" w:eastAsia="仿宋_GB2312" w:cs="仿宋_GB2312"/>
          <w:sz w:val="32"/>
          <w:szCs w:val="32"/>
          <w:lang w:val="en-US" w:eastAsia="zh-CN"/>
        </w:rPr>
        <w:t>0.88</w:t>
      </w:r>
      <w:r>
        <w:rPr>
          <w:rFonts w:hint="eastAsia" w:ascii="仿宋_GB2312" w:hAnsi="仿宋_GB2312" w:eastAsia="仿宋_GB2312" w:cs="仿宋_GB2312"/>
          <w:sz w:val="32"/>
          <w:szCs w:val="32"/>
        </w:rPr>
        <w:t>%。规划保留现状龙羊峡镇中心卫生院，在其原址上进行改造扩建</w:t>
      </w:r>
      <w:r>
        <w:rPr>
          <w:rFonts w:hint="eastAsia" w:ascii="仿宋_GB2312" w:hAnsi="仿宋_GB2312" w:eastAsia="仿宋_GB2312"/>
          <w:sz w:val="32"/>
          <w:szCs w:val="32"/>
        </w:rPr>
        <w:t>。</w:t>
      </w:r>
    </w:p>
    <w:p w14:paraId="5DE5C02E">
      <w:pPr>
        <w:pStyle w:val="3"/>
        <w:numPr>
          <w:ilvl w:val="1"/>
          <w:numId w:val="10"/>
        </w:numPr>
        <w:spacing w:before="100" w:after="100" w:line="400" w:lineRule="exact"/>
        <w:ind w:firstLine="0"/>
        <w:jc w:val="center"/>
        <w:rPr>
          <w:rFonts w:ascii="Arial" w:hAnsi="Arial" w:eastAsia="黑体" w:cs="Times New Roman"/>
          <w:b w:val="0"/>
          <w:lang w:val="zh-CN"/>
        </w:rPr>
      </w:pPr>
      <w:bookmarkStart w:id="55" w:name="_Toc28345"/>
      <w:r>
        <w:rPr>
          <w:rFonts w:hint="eastAsia" w:ascii="Arial" w:hAnsi="Arial" w:eastAsia="黑体" w:cs="Times New Roman"/>
          <w:b w:val="0"/>
          <w:lang w:val="zh-CN"/>
        </w:rPr>
        <w:t>绿地和开敞空间</w:t>
      </w:r>
      <w:bookmarkEnd w:id="55"/>
    </w:p>
    <w:p w14:paraId="37A22F7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绿地和开敞空间布局</w:t>
      </w:r>
    </w:p>
    <w:p w14:paraId="309AE733">
      <w:pPr>
        <w:spacing w:line="60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优化调整绿地布局，完善绿地类型，科学配置绿地植物群落，提高绿地植物养护水平，丰富绿地的生物多样性和文化内涵，提升绿化质量。</w:t>
      </w:r>
      <w:r>
        <w:rPr>
          <w:rFonts w:hint="eastAsia" w:ascii="仿宋_GB2312" w:hAnsi="仿宋_GB2312" w:eastAsia="仿宋_GB2312" w:cs="仿宋_GB2312"/>
          <w:sz w:val="32"/>
          <w:szCs w:val="32"/>
          <w:u w:val="single"/>
        </w:rPr>
        <w:t>镇区</w:t>
      </w:r>
      <w:r>
        <w:rPr>
          <w:rFonts w:hint="eastAsia" w:ascii="仿宋_GB2312" w:hAnsi="仿宋_GB2312" w:eastAsia="仿宋_GB2312" w:cs="仿宋_GB2312"/>
          <w:sz w:val="32"/>
          <w:szCs w:val="32"/>
          <w:u w:val="single"/>
          <w:lang w:val="zh-CN"/>
        </w:rPr>
        <w:t>规划绿地与开敞空间用地</w:t>
      </w:r>
      <w:r>
        <w:rPr>
          <w:rFonts w:ascii="仿宋_GB2312" w:hAnsi="仿宋_GB2312" w:eastAsia="仿宋_GB2312" w:cs="仿宋_GB2312"/>
          <w:sz w:val="32"/>
          <w:szCs w:val="32"/>
          <w:u w:val="single"/>
        </w:rPr>
        <w:t>2.</w:t>
      </w:r>
      <w:r>
        <w:rPr>
          <w:rFonts w:hint="eastAsia" w:ascii="仿宋_GB2312" w:hAnsi="仿宋_GB2312" w:eastAsia="仿宋_GB2312" w:cs="仿宋_GB2312"/>
          <w:sz w:val="32"/>
          <w:szCs w:val="32"/>
          <w:u w:val="single"/>
          <w:lang w:val="en-US" w:eastAsia="zh-CN"/>
        </w:rPr>
        <w:t>6</w:t>
      </w:r>
      <w:r>
        <w:rPr>
          <w:rFonts w:ascii="仿宋_GB2312" w:hAnsi="仿宋_GB2312" w:eastAsia="仿宋_GB2312" w:cs="仿宋_GB2312"/>
          <w:sz w:val="32"/>
          <w:szCs w:val="32"/>
          <w:u w:val="single"/>
        </w:rPr>
        <w:t>2</w:t>
      </w:r>
      <w:r>
        <w:rPr>
          <w:rFonts w:hint="eastAsia" w:ascii="仿宋_GB2312" w:hAnsi="仿宋_GB2312" w:eastAsia="仿宋_GB2312" w:cs="仿宋_GB2312"/>
          <w:sz w:val="32"/>
          <w:szCs w:val="32"/>
          <w:u w:val="single"/>
          <w:lang w:val="zh-CN"/>
        </w:rPr>
        <w:t>公顷，</w:t>
      </w:r>
      <w:r>
        <w:rPr>
          <w:rFonts w:hint="eastAsia" w:ascii="仿宋_GB2312" w:hAnsi="仿宋_GB2312" w:eastAsia="仿宋_GB2312" w:cs="仿宋_GB2312"/>
          <w:sz w:val="32"/>
          <w:szCs w:val="32"/>
          <w:lang w:val="zh-CN"/>
        </w:rPr>
        <w:t>其中，公园绿地</w:t>
      </w:r>
      <w:r>
        <w:rPr>
          <w:rFonts w:hint="eastAsia" w:ascii="仿宋_GB2312" w:hAnsi="仿宋_GB2312" w:eastAsia="仿宋_GB2312" w:cs="仿宋_GB2312"/>
          <w:sz w:val="32"/>
          <w:szCs w:val="32"/>
          <w:lang w:val="en-US" w:eastAsia="zh-CN"/>
        </w:rPr>
        <w:t>2.62</w:t>
      </w:r>
      <w:r>
        <w:rPr>
          <w:rFonts w:hint="eastAsia" w:ascii="仿宋_GB2312" w:hAnsi="仿宋_GB2312" w:eastAsia="仿宋_GB2312" w:cs="仿宋_GB2312"/>
          <w:sz w:val="32"/>
          <w:szCs w:val="32"/>
          <w:lang w:val="zh-CN"/>
        </w:rPr>
        <w:t>公顷。规划至2035年，</w:t>
      </w:r>
      <w:r>
        <w:rPr>
          <w:rFonts w:hint="eastAsia" w:ascii="仿宋_GB2312" w:hAnsi="仿宋_GB2312" w:eastAsia="仿宋_GB2312" w:cs="仿宋_GB2312"/>
          <w:sz w:val="32"/>
          <w:szCs w:val="32"/>
        </w:rPr>
        <w:t>镇区</w:t>
      </w:r>
      <w:r>
        <w:rPr>
          <w:rFonts w:hint="eastAsia" w:ascii="仿宋_GB2312" w:hAnsi="仿宋_GB2312" w:eastAsia="仿宋_GB2312" w:cs="仿宋_GB2312"/>
          <w:sz w:val="32"/>
          <w:szCs w:val="32"/>
          <w:lang w:val="zh-CN"/>
        </w:rPr>
        <w:t>人均公园绿地面积</w:t>
      </w:r>
      <w:r>
        <w:rPr>
          <w:rFonts w:hint="eastAsia" w:ascii="仿宋_GB2312" w:hAnsi="仿宋_GB2312" w:eastAsia="仿宋_GB2312" w:cs="仿宋_GB2312"/>
          <w:sz w:val="32"/>
          <w:szCs w:val="32"/>
          <w:lang w:val="en-US" w:eastAsia="zh-CN"/>
        </w:rPr>
        <w:t>8.22</w:t>
      </w:r>
      <w:r>
        <w:rPr>
          <w:rFonts w:hint="eastAsia" w:ascii="仿宋_GB2312" w:hAnsi="仿宋_GB2312" w:eastAsia="仿宋_GB2312" w:cs="仿宋_GB2312"/>
          <w:sz w:val="32"/>
          <w:szCs w:val="32"/>
          <w:lang w:val="zh-CN"/>
        </w:rPr>
        <w:t>平方米。</w:t>
      </w:r>
    </w:p>
    <w:p w14:paraId="5C03A19E">
      <w:pPr>
        <w:pStyle w:val="3"/>
        <w:numPr>
          <w:ilvl w:val="1"/>
          <w:numId w:val="10"/>
        </w:numPr>
        <w:spacing w:before="100" w:after="100" w:line="400" w:lineRule="exact"/>
        <w:ind w:firstLine="0"/>
        <w:jc w:val="center"/>
        <w:rPr>
          <w:rFonts w:ascii="Arial" w:hAnsi="Arial" w:eastAsia="黑体" w:cs="Times New Roman"/>
          <w:b w:val="0"/>
          <w:lang w:val="zh-CN"/>
        </w:rPr>
      </w:pPr>
      <w:bookmarkStart w:id="56" w:name="_Toc3610"/>
      <w:r>
        <w:rPr>
          <w:rFonts w:hint="eastAsia" w:ascii="Arial" w:hAnsi="Arial" w:eastAsia="黑体" w:cs="Times New Roman"/>
          <w:b w:val="0"/>
          <w:lang w:val="zh-CN"/>
        </w:rPr>
        <w:t>综合交通体系</w:t>
      </w:r>
      <w:bookmarkEnd w:id="56"/>
    </w:p>
    <w:p w14:paraId="3165D9E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强化对外交通衔接</w:t>
      </w:r>
    </w:p>
    <w:p w14:paraId="6F7BE7D1">
      <w:pPr>
        <w:spacing w:line="60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内外交通有序衔接，融入区域高快速路网，充分发</w:t>
      </w:r>
      <w:r>
        <w:rPr>
          <w:rFonts w:hint="eastAsia" w:ascii="仿宋_GB2312" w:hAnsi="仿宋_GB2312" w:eastAsia="仿宋_GB2312" w:cs="仿宋_GB2312"/>
          <w:sz w:val="32"/>
          <w:szCs w:val="32"/>
          <w:lang w:val="en-US" w:eastAsia="zh-CN"/>
        </w:rPr>
        <w:t>挥</w:t>
      </w:r>
      <w:r>
        <w:rPr>
          <w:rFonts w:hint="eastAsia" w:ascii="仿宋_GB2312" w:hAnsi="仿宋_GB2312" w:eastAsia="仿宋_GB2312" w:cs="仿宋_GB2312"/>
          <w:sz w:val="32"/>
          <w:szCs w:val="32"/>
          <w:lang w:val="zh-CN"/>
        </w:rPr>
        <w:t>龙羊峡镇的优势，统筹各种交通方式及与其他区域、城市之间的协调发展。加快推进龙羊峡</w:t>
      </w:r>
      <w:r>
        <w:rPr>
          <w:rFonts w:hint="eastAsia" w:ascii="仿宋_GB2312" w:hAnsi="仿宋_GB2312" w:eastAsia="仿宋_GB2312" w:cs="仿宋_GB2312"/>
          <w:sz w:val="32"/>
          <w:szCs w:val="32"/>
          <w:lang w:val="en-US" w:eastAsia="zh-CN"/>
        </w:rPr>
        <w:t>低空飞行项目建设</w:t>
      </w:r>
      <w:r>
        <w:rPr>
          <w:rFonts w:hint="eastAsia" w:ascii="仿宋_GB2312" w:hAnsi="仿宋_GB2312" w:eastAsia="仿宋_GB2312" w:cs="仿宋_GB2312"/>
          <w:sz w:val="32"/>
          <w:szCs w:val="32"/>
          <w:lang w:val="zh-CN"/>
        </w:rPr>
        <w:t>前期工作，积极配合共和</w:t>
      </w:r>
      <w:r>
        <w:rPr>
          <w:rFonts w:hint="eastAsia" w:ascii="仿宋_GB2312" w:hAnsi="仿宋_GB2312" w:eastAsia="仿宋_GB2312" w:cs="仿宋_GB2312"/>
          <w:sz w:val="32"/>
          <w:szCs w:val="32"/>
          <w:lang w:val="en-US" w:eastAsia="zh-CN"/>
        </w:rPr>
        <w:t>发展低空经济</w:t>
      </w:r>
      <w:r>
        <w:rPr>
          <w:rFonts w:hint="eastAsia" w:ascii="仿宋_GB2312" w:hAnsi="仿宋_GB2312" w:eastAsia="仿宋_GB2312" w:cs="仿宋_GB2312"/>
          <w:sz w:val="32"/>
          <w:szCs w:val="32"/>
          <w:lang w:val="zh-CN"/>
        </w:rPr>
        <w:t>。加强水运基础设施建设，扩建、延伸黄河龙羊峡库区6级航道，优化水运码头布局，维护并继续完善黄河共和航段固定客运码头建设，为开通龙羊峡库区水上旅游大环线打下基础。</w:t>
      </w:r>
    </w:p>
    <w:p w14:paraId="7B665B4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完善镇区道路系统</w:t>
      </w:r>
    </w:p>
    <w:p w14:paraId="50CACA33">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lang w:val="zh-CN"/>
        </w:rPr>
        <w:t>构建干支协同、布局合理的</w:t>
      </w:r>
      <w:r>
        <w:rPr>
          <w:rFonts w:hint="eastAsia" w:ascii="楷体_GB2312" w:hAnsi="楷体_GB2312" w:eastAsia="楷体_GB2312" w:cs="楷体_GB2312"/>
          <w:sz w:val="32"/>
          <w:szCs w:val="32"/>
        </w:rPr>
        <w:t>城镇</w:t>
      </w:r>
      <w:r>
        <w:rPr>
          <w:rFonts w:hint="eastAsia" w:ascii="楷体_GB2312" w:hAnsi="楷体_GB2312" w:eastAsia="楷体_GB2312" w:cs="楷体_GB2312"/>
          <w:sz w:val="32"/>
          <w:szCs w:val="32"/>
          <w:lang w:val="zh-CN"/>
        </w:rPr>
        <w:t>道路系统。</w:t>
      </w:r>
      <w:r>
        <w:rPr>
          <w:rFonts w:hint="eastAsia" w:ascii="仿宋_GB2312" w:hAnsi="仿宋_GB2312" w:eastAsia="仿宋_GB2312" w:cs="仿宋_GB2312"/>
          <w:sz w:val="32"/>
          <w:szCs w:val="32"/>
          <w:lang w:val="zh-CN"/>
        </w:rPr>
        <w:t>规划</w:t>
      </w:r>
      <w:r>
        <w:rPr>
          <w:rFonts w:hint="eastAsia" w:ascii="仿宋_GB2312" w:hAnsi="仿宋_GB2312" w:eastAsia="仿宋_GB2312" w:cs="仿宋_GB2312"/>
          <w:sz w:val="32"/>
          <w:szCs w:val="32"/>
        </w:rPr>
        <w:t>镇区</w:t>
      </w:r>
      <w:r>
        <w:rPr>
          <w:rFonts w:hint="eastAsia" w:ascii="仿宋_GB2312" w:hAnsi="仿宋_GB2312" w:eastAsia="仿宋_GB2312" w:cs="仿宋_GB2312"/>
          <w:sz w:val="32"/>
          <w:szCs w:val="32"/>
          <w:lang w:val="zh-CN"/>
        </w:rPr>
        <w:t>道路网络包括主干路、次干路、支路三个等级，适度提升</w:t>
      </w:r>
      <w:r>
        <w:rPr>
          <w:rFonts w:hint="eastAsia" w:ascii="仿宋_GB2312" w:hAnsi="仿宋_GB2312" w:eastAsia="仿宋_GB2312" w:cs="仿宋_GB2312"/>
          <w:sz w:val="32"/>
          <w:szCs w:val="32"/>
        </w:rPr>
        <w:t>镇区</w:t>
      </w:r>
      <w:r>
        <w:rPr>
          <w:rFonts w:hint="eastAsia" w:ascii="仿宋_GB2312" w:hAnsi="仿宋_GB2312" w:eastAsia="仿宋_GB2312" w:cs="仿宋_GB2312"/>
          <w:sz w:val="32"/>
          <w:szCs w:val="32"/>
          <w:lang w:val="zh-CN"/>
        </w:rPr>
        <w:t>路网密度，合理预控弹性道路，总体路网密度控制不低于8千米/平方千米。</w:t>
      </w:r>
    </w:p>
    <w:p w14:paraId="3C60A177">
      <w:pPr>
        <w:spacing w:line="600" w:lineRule="exact"/>
        <w:ind w:firstLine="560"/>
        <w:rPr>
          <w:rFonts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合理控制道路红线宽度。</w:t>
      </w:r>
      <w:r>
        <w:rPr>
          <w:rFonts w:hint="eastAsia" w:ascii="仿宋_GB2312" w:hAnsi="仿宋_GB2312" w:eastAsia="仿宋_GB2312" w:cs="仿宋_GB2312"/>
          <w:sz w:val="32"/>
          <w:szCs w:val="32"/>
          <w:lang w:val="zh-CN"/>
        </w:rPr>
        <w:t>节约用地，打造尺度宜居的街道空间。规划主干路红线宽度18-21米；次干路规划红线宽度12-16米；支路红线宽度7-9米。</w:t>
      </w:r>
    </w:p>
    <w:p w14:paraId="3CC15730">
      <w:pPr>
        <w:spacing w:line="600" w:lineRule="exact"/>
        <w:ind w:firstLine="640" w:firstLineChars="200"/>
        <w:rPr>
          <w:rFonts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科学配置道路横断面空间。</w:t>
      </w:r>
      <w:r>
        <w:rPr>
          <w:rFonts w:hint="eastAsia" w:ascii="仿宋_GB2312" w:hAnsi="仿宋_GB2312" w:eastAsia="仿宋_GB2312" w:cs="仿宋_GB2312"/>
          <w:sz w:val="32"/>
          <w:szCs w:val="32"/>
          <w:lang w:val="zh-CN"/>
        </w:rPr>
        <w:t>根据道路等级功能，合理配置人行道、非机动车道、机动车道、道路绿化及附属设施空间，主干路以单幅路、三幅路为主，次干路以单幅路为主，营造友好慢行环境。</w:t>
      </w:r>
    </w:p>
    <w:p w14:paraId="65BB128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优化公共交通布局</w:t>
      </w:r>
    </w:p>
    <w:p w14:paraId="2D879CBA">
      <w:pPr>
        <w:spacing w:line="600" w:lineRule="exact"/>
        <w:ind w:firstLine="640" w:firstLineChars="200"/>
        <w:rPr>
          <w:rFonts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提升</w:t>
      </w:r>
      <w:r>
        <w:rPr>
          <w:rFonts w:hint="eastAsia" w:ascii="楷体_GB2312" w:hAnsi="楷体_GB2312" w:eastAsia="楷体_GB2312" w:cs="楷体_GB2312"/>
          <w:sz w:val="32"/>
          <w:szCs w:val="32"/>
        </w:rPr>
        <w:t>城乡</w:t>
      </w:r>
      <w:r>
        <w:rPr>
          <w:rFonts w:hint="eastAsia" w:ascii="楷体_GB2312" w:hAnsi="楷体_GB2312" w:eastAsia="楷体_GB2312" w:cs="楷体_GB2312"/>
          <w:sz w:val="32"/>
          <w:szCs w:val="32"/>
          <w:lang w:val="zh-CN"/>
        </w:rPr>
        <w:t>公交线网覆盖水平。</w:t>
      </w:r>
      <w:r>
        <w:rPr>
          <w:rFonts w:hint="eastAsia" w:ascii="仿宋_GB2312" w:hAnsi="仿宋_GB2312" w:eastAsia="仿宋_GB2312" w:cs="仿宋_GB2312"/>
          <w:sz w:val="32"/>
          <w:szCs w:val="32"/>
          <w:lang w:val="zh-CN"/>
        </w:rPr>
        <w:t>以打造快捷舒适的公众出行体系为目标，适当提升公交骨干线路密度与线路重复系数，形成若干公交换乘枢纽站点。围绕公交枢纽延伸支线公路或接驳公交，形成功能清晰、衔接有序、覆盖全面的公共交通线网。</w:t>
      </w:r>
    </w:p>
    <w:p w14:paraId="033E16A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龙羊峡镇区</w:t>
      </w:r>
      <w:r>
        <w:rPr>
          <w:rFonts w:hint="eastAsia" w:ascii="仿宋_GB2312" w:hAnsi="仿宋_GB2312" w:eastAsia="仿宋_GB2312" w:cs="仿宋_GB2312"/>
          <w:sz w:val="32"/>
          <w:szCs w:val="32"/>
          <w:lang w:val="zh-CN"/>
        </w:rPr>
        <w:t>现有客运站1处，</w:t>
      </w:r>
      <w:r>
        <w:rPr>
          <w:rFonts w:hint="eastAsia" w:ascii="仿宋_GB2312" w:hAnsi="仿宋_GB2312" w:eastAsia="仿宋_GB2312" w:cs="仿宋_GB2312"/>
          <w:sz w:val="32"/>
          <w:szCs w:val="32"/>
        </w:rPr>
        <w:t>占地面积0.</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公顷，规划对现状客运站进行提升改造，提升基础设施规范化水平，提升旅客服务体验感，鼓励新建的公交场站设施与公园、广场、商业综合体、其他市政配套设施等用地混合开发、—体化建设。</w:t>
      </w:r>
    </w:p>
    <w:p w14:paraId="74EB9CA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补齐停车设施短板</w:t>
      </w:r>
    </w:p>
    <w:p w14:paraId="59F2EAE3">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打造供需平衡的公共停车设施体系。</w:t>
      </w:r>
      <w:r>
        <w:rPr>
          <w:rFonts w:hint="eastAsia" w:ascii="仿宋_GB2312" w:hAnsi="仿宋_GB2312" w:eastAsia="仿宋_GB2312" w:cs="仿宋_GB2312"/>
          <w:sz w:val="32"/>
          <w:szCs w:val="32"/>
        </w:rPr>
        <w:t>充分考虑龙羊峡镇区在旅游高峰期间的停车需求，结合商业商务、休闲娱乐、旅游中心等公共服务设施，合理布局公共停车设施。规划在镇区新增公共停车场</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处，面积约</w:t>
      </w:r>
      <w:r>
        <w:rPr>
          <w:rFonts w:ascii="仿宋_GB2312" w:hAnsi="仿宋_GB2312" w:eastAsia="仿宋_GB2312" w:cs="仿宋_GB2312"/>
          <w:sz w:val="32"/>
          <w:szCs w:val="32"/>
        </w:rPr>
        <w:t>2.68</w:t>
      </w:r>
      <w:r>
        <w:rPr>
          <w:rFonts w:hint="eastAsia" w:ascii="仿宋_GB2312" w:hAnsi="仿宋_GB2312" w:eastAsia="仿宋_GB2312" w:cs="仿宋_GB2312"/>
          <w:sz w:val="32"/>
          <w:szCs w:val="32"/>
        </w:rPr>
        <w:t>公顷，预计可提供公共停车泊位约</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00个。同时考虑过境车辆日常需求，在镇区主要道路沿街设置路内停车位。</w:t>
      </w:r>
    </w:p>
    <w:p w14:paraId="0C821B88">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完善建筑物配建停车设施标准，按照“大类+小类”的分类指导模式，根据建筑物功能、特征划分，合理制定配建标准。对于大型设施、综合体等功能混合的建筑物，根据停车设施产权、共享等要求，合理确定配建标准</w:t>
      </w:r>
      <w:r>
        <w:rPr>
          <w:rFonts w:hint="eastAsia" w:ascii="仿宋_GB2312" w:hAnsi="仿宋_GB2312" w:eastAsia="仿宋_GB2312" w:cs="仿宋_GB2312"/>
          <w:sz w:val="32"/>
          <w:szCs w:val="32"/>
        </w:rPr>
        <w:t>。</w:t>
      </w:r>
    </w:p>
    <w:p w14:paraId="201B9924">
      <w:pPr>
        <w:pStyle w:val="3"/>
        <w:numPr>
          <w:ilvl w:val="1"/>
          <w:numId w:val="10"/>
        </w:numPr>
        <w:spacing w:before="100" w:after="100" w:line="400" w:lineRule="exact"/>
        <w:ind w:firstLine="0"/>
        <w:jc w:val="center"/>
        <w:rPr>
          <w:rFonts w:ascii="Arial" w:hAnsi="Arial" w:eastAsia="黑体" w:cs="Times New Roman"/>
          <w:b w:val="0"/>
          <w:lang w:val="zh-CN"/>
        </w:rPr>
      </w:pPr>
      <w:bookmarkStart w:id="57" w:name="_Toc13374"/>
      <w:r>
        <w:rPr>
          <w:rFonts w:hint="eastAsia" w:ascii="Arial" w:hAnsi="Arial" w:eastAsia="黑体" w:cs="Times New Roman"/>
          <w:b w:val="0"/>
          <w:lang w:val="zh-CN"/>
        </w:rPr>
        <w:t>市政基础设施布局</w:t>
      </w:r>
      <w:bookmarkEnd w:id="57"/>
    </w:p>
    <w:p w14:paraId="4805408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给水工程</w:t>
      </w:r>
    </w:p>
    <w:p w14:paraId="24EE92F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镇区日用水量约</w:t>
      </w:r>
      <w:r>
        <w:rPr>
          <w:rFonts w:ascii="仿宋_GB2312" w:hAnsi="仿宋_GB2312" w:eastAsia="仿宋_GB2312" w:cs="仿宋_GB2312"/>
          <w:sz w:val="32"/>
          <w:szCs w:val="32"/>
        </w:rPr>
        <w:t>420</w:t>
      </w:r>
      <w:r>
        <w:rPr>
          <w:rFonts w:hint="eastAsia" w:ascii="仿宋_GB2312" w:hAnsi="仿宋_GB2312" w:eastAsia="仿宋_GB2312" w:cs="仿宋_GB2312"/>
          <w:sz w:val="32"/>
          <w:szCs w:val="32"/>
        </w:rPr>
        <w:t>立方米/日。水源</w:t>
      </w:r>
      <w:r>
        <w:rPr>
          <w:rFonts w:hint="eastAsia" w:ascii="仿宋_GB2312" w:hAnsi="仿宋_GB2312" w:eastAsia="仿宋_GB2312" w:cs="仿宋_GB2312"/>
          <w:sz w:val="32"/>
          <w:szCs w:val="32"/>
          <w:lang w:val="en-US" w:eastAsia="zh-CN"/>
        </w:rPr>
        <w:t>为龙羊峡水库，通过泵站提水至高位蓄水池后供水</w:t>
      </w:r>
      <w:r>
        <w:rPr>
          <w:rFonts w:hint="eastAsia" w:ascii="仿宋_GB2312" w:hAnsi="仿宋_GB2312" w:eastAsia="仿宋_GB2312" w:cs="仿宋_GB2312"/>
          <w:sz w:val="32"/>
          <w:szCs w:val="32"/>
        </w:rPr>
        <w:t>。规划保留现状给水</w:t>
      </w:r>
      <w:r>
        <w:rPr>
          <w:rFonts w:hint="eastAsia" w:ascii="仿宋_GB2312" w:hAnsi="仿宋_GB2312" w:eastAsia="仿宋_GB2312" w:cs="仿宋_GB2312"/>
          <w:sz w:val="32"/>
          <w:szCs w:val="32"/>
          <w:lang w:val="en-US" w:eastAsia="zh-CN"/>
        </w:rPr>
        <w:t>厂</w:t>
      </w:r>
      <w:r>
        <w:rPr>
          <w:rFonts w:hint="eastAsia" w:ascii="仿宋_GB2312" w:hAnsi="仿宋_GB2312" w:eastAsia="仿宋_GB2312" w:cs="仿宋_GB2312"/>
          <w:sz w:val="32"/>
          <w:szCs w:val="32"/>
        </w:rPr>
        <w:t>，并进行升级改造，增加防护措施，占地面积约</w:t>
      </w:r>
      <w:r>
        <w:rPr>
          <w:rFonts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49</w:t>
      </w:r>
      <w:r>
        <w:rPr>
          <w:rFonts w:hint="eastAsia" w:ascii="仿宋_GB2312" w:hAnsi="仿宋_GB2312" w:eastAsia="仿宋_GB2312" w:cs="仿宋_GB2312"/>
          <w:sz w:val="32"/>
          <w:szCs w:val="32"/>
        </w:rPr>
        <w:t>公顷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对现有供水管网进行提升改造，保障镇区供水质量</w:t>
      </w:r>
      <w:r>
        <w:rPr>
          <w:rFonts w:hint="eastAsia" w:ascii="仿宋_GB2312" w:hAnsi="仿宋_GB2312" w:eastAsia="仿宋_GB2312" w:cs="仿宋_GB2312"/>
          <w:sz w:val="32"/>
          <w:szCs w:val="32"/>
        </w:rPr>
        <w:t>。镇区供水管网布置以环状为主，枝状为辅，形成环状和枝状相结合的供水系统，以保障水压稳定。规划沿主要路铺设给水管道。</w:t>
      </w:r>
    </w:p>
    <w:p w14:paraId="0C903A4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排水工程</w:t>
      </w:r>
    </w:p>
    <w:p w14:paraId="7468A9F2">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镇区采用雨、污分流制排水体制。</w:t>
      </w:r>
      <w:r>
        <w:rPr>
          <w:rFonts w:hint="eastAsia" w:ascii="仿宋_GB2312" w:hAnsi="仿宋_GB2312" w:eastAsia="仿宋_GB2312" w:cs="仿宋_GB2312"/>
          <w:sz w:val="32"/>
          <w:szCs w:val="32"/>
        </w:rPr>
        <w:t>雨水就近排入河流水体，污水经污水管网系统收集处理后送入污水处理厂处理。</w:t>
      </w:r>
    </w:p>
    <w:p w14:paraId="2D63E6FE">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雨水排除规划。</w:t>
      </w:r>
      <w:r>
        <w:rPr>
          <w:rFonts w:hint="eastAsia" w:ascii="仿宋_GB2312" w:hAnsi="仿宋_GB2312" w:eastAsia="仿宋_GB2312" w:cs="仿宋_GB2312"/>
          <w:sz w:val="32"/>
          <w:szCs w:val="32"/>
        </w:rPr>
        <w:t>雨水采用重力自流的排放方式。依据雨水排放原则，就近排入规划水体或市政雨水系统中，以缩短排水距离，减小雨水管渠断面及埋深。</w:t>
      </w:r>
    </w:p>
    <w:p w14:paraId="5CD136E4">
      <w:pPr>
        <w:spacing w:line="600" w:lineRule="exact"/>
        <w:ind w:firstLine="560"/>
        <w:rPr>
          <w:rFonts w:ascii="仿宋_GB2312" w:hAnsi="仿宋_GB2312" w:eastAsia="仿宋_GB2312" w:cs="仿宋_GB2312"/>
          <w:sz w:val="32"/>
          <w:szCs w:val="32"/>
        </w:rPr>
      </w:pPr>
      <w:r>
        <w:rPr>
          <w:rFonts w:hint="eastAsia" w:ascii="楷体_GB2312" w:hAnsi="楷体_GB2312" w:eastAsia="楷体_GB2312" w:cs="楷体_GB2312"/>
          <w:sz w:val="32"/>
          <w:szCs w:val="32"/>
        </w:rPr>
        <w:t>污水排除规划。</w:t>
      </w:r>
      <w:r>
        <w:rPr>
          <w:rFonts w:hint="eastAsia" w:ascii="仿宋_GB2312" w:hAnsi="仿宋_GB2312" w:eastAsia="仿宋_GB2312" w:cs="仿宋_GB2312"/>
          <w:sz w:val="32"/>
          <w:szCs w:val="32"/>
        </w:rPr>
        <w:t>镇区污水量为</w:t>
      </w:r>
      <w:r>
        <w:rPr>
          <w:rFonts w:hint="eastAsia" w:ascii="仿宋_GB2312" w:hAnsi="仿宋_GB2312" w:eastAsia="仿宋_GB2312" w:cs="仿宋_GB2312"/>
          <w:sz w:val="32"/>
          <w:szCs w:val="32"/>
          <w:lang w:val="en-US" w:eastAsia="zh-CN"/>
        </w:rPr>
        <w:t>315</w:t>
      </w:r>
      <w:r>
        <w:rPr>
          <w:rFonts w:hint="eastAsia" w:ascii="仿宋_GB2312" w:hAnsi="仿宋_GB2312" w:eastAsia="仿宋_GB2312" w:cs="仿宋_GB2312"/>
          <w:sz w:val="32"/>
          <w:szCs w:val="32"/>
        </w:rPr>
        <w:t>立方米/天。镇区西南部已建一处污水处理厂，占地</w:t>
      </w:r>
      <w:r>
        <w:rPr>
          <w:rFonts w:ascii="仿宋_GB2312" w:hAnsi="仿宋_GB2312" w:eastAsia="仿宋_GB2312" w:cs="仿宋_GB2312"/>
          <w:sz w:val="32"/>
          <w:szCs w:val="32"/>
        </w:rPr>
        <w:t>1.39</w:t>
      </w:r>
      <w:r>
        <w:rPr>
          <w:rFonts w:hint="eastAsia" w:ascii="仿宋_GB2312" w:hAnsi="仿宋_GB2312" w:eastAsia="仿宋_GB2312" w:cs="仿宋_GB2312"/>
          <w:sz w:val="32"/>
          <w:szCs w:val="32"/>
        </w:rPr>
        <w:t>公顷。污水管道系统布置按照地形趋势和道路坡度，采用重力流形式排放。污水管道沿主要道路敷设。</w:t>
      </w:r>
    </w:p>
    <w:p w14:paraId="5086F38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电力工程</w:t>
      </w:r>
    </w:p>
    <w:p w14:paraId="49DDEE2C">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highlight w:val="none"/>
          <w:lang w:val="en-US" w:eastAsia="zh-CN"/>
        </w:rPr>
        <w:t>用电负荷预测。</w:t>
      </w:r>
      <w:r>
        <w:rPr>
          <w:rFonts w:hint="eastAsia" w:ascii="仿宋_GB2312" w:hAnsi="仿宋_GB2312" w:eastAsia="仿宋_GB2312" w:cs="仿宋_GB2312"/>
          <w:sz w:val="32"/>
          <w:szCs w:val="32"/>
          <w:lang w:val="en-US" w:eastAsia="zh-CN"/>
        </w:rPr>
        <w:t>规划期末，龙羊峡镇镇区总生活用电量为0.8万千瓦时。</w:t>
      </w:r>
    </w:p>
    <w:p w14:paraId="5B8FD047">
      <w:pPr>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highlight w:val="none"/>
          <w:lang w:val="en-US" w:eastAsia="zh-CN"/>
        </w:rPr>
        <w:t>电力工程规划。</w:t>
      </w:r>
      <w:r>
        <w:rPr>
          <w:rFonts w:hint="eastAsia" w:ascii="仿宋_GB2312" w:hAnsi="仿宋_GB2312" w:eastAsia="仿宋_GB2312" w:cs="仿宋_GB2312"/>
          <w:sz w:val="32"/>
          <w:szCs w:val="32"/>
          <w:lang w:val="en-US" w:eastAsia="zh-CN"/>
        </w:rPr>
        <w:t>规划</w:t>
      </w:r>
      <w:r>
        <w:rPr>
          <w:rFonts w:hint="eastAsia" w:ascii="仿宋_GB2312" w:hAnsi="仿宋_GB2312" w:eastAsia="仿宋_GB2312" w:cs="仿宋_GB2312"/>
          <w:sz w:val="32"/>
          <w:szCs w:val="32"/>
        </w:rPr>
        <w:t>电源来自龙羊峡1</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kV变电站。规划保留现状 110 千伏龙羊峡变电站，占地面积约为1.</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公顷，镇区由该变电站供电，同时作为龙羊峡发电厂的电源。电力线路</w:t>
      </w:r>
      <w:r>
        <w:rPr>
          <w:rFonts w:hint="eastAsia" w:ascii="仿宋_GB2312" w:hAnsi="仿宋_GB2312" w:eastAsia="仿宋_GB2312" w:cs="仿宋_GB2312"/>
          <w:sz w:val="32"/>
          <w:szCs w:val="32"/>
          <w:lang w:val="en-US" w:eastAsia="zh-CN"/>
        </w:rPr>
        <w:t>近期</w:t>
      </w:r>
      <w:r>
        <w:rPr>
          <w:rFonts w:hint="eastAsia" w:ascii="仿宋_GB2312" w:hAnsi="仿宋_GB2312" w:eastAsia="仿宋_GB2312" w:cs="仿宋_GB2312"/>
          <w:sz w:val="32"/>
          <w:szCs w:val="32"/>
        </w:rPr>
        <w:t>采用架空线路形式敷设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远期逐步推进电缆入地</w:t>
      </w:r>
      <w:r>
        <w:rPr>
          <w:rFonts w:hint="eastAsia" w:ascii="仿宋_GB2312" w:hAnsi="仿宋_GB2312" w:eastAsia="仿宋_GB2312" w:cs="仿宋_GB2312"/>
          <w:sz w:val="32"/>
          <w:szCs w:val="32"/>
        </w:rPr>
        <w:t>，满足现状变电站改扩建及高压走廊用地需求，110千伏线路高压线走廊宽度15-25米；35千伏线路高压线走廊宽度15-20米。</w:t>
      </w:r>
    </w:p>
    <w:p w14:paraId="619A6B1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燃气工程</w:t>
      </w:r>
    </w:p>
    <w:p w14:paraId="5680A9C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镇区燃气</w:t>
      </w:r>
      <w:r>
        <w:rPr>
          <w:rFonts w:hint="eastAsia" w:ascii="仿宋_GB2312" w:hAnsi="仿宋_GB2312" w:eastAsia="仿宋_GB2312" w:cs="仿宋_GB2312"/>
          <w:sz w:val="32"/>
          <w:szCs w:val="32"/>
          <w:lang w:eastAsia="zh-CN"/>
        </w:rPr>
        <w:t>采用</w:t>
      </w:r>
      <w:r>
        <w:rPr>
          <w:rFonts w:hint="eastAsia" w:ascii="仿宋_GB2312" w:hAnsi="仿宋_GB2312" w:eastAsia="仿宋_GB2312" w:cs="仿宋_GB2312"/>
          <w:sz w:val="32"/>
          <w:szCs w:val="32"/>
        </w:rPr>
        <w:t>天然气</w:t>
      </w:r>
      <w:r>
        <w:rPr>
          <w:rFonts w:hint="eastAsia" w:ascii="仿宋_GB2312" w:hAnsi="仿宋_GB2312" w:eastAsia="仿宋_GB2312" w:cs="仿宋_GB2312"/>
          <w:sz w:val="32"/>
          <w:szCs w:val="32"/>
          <w:lang w:val="en-US" w:eastAsia="zh-CN"/>
        </w:rPr>
        <w:t>和液化石油气两种方式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规划预留燃气压缩站用地</w:t>
      </w:r>
      <w:r>
        <w:rPr>
          <w:rFonts w:hint="eastAsia" w:ascii="仿宋_GB2312" w:hAnsi="仿宋_GB2312" w:eastAsia="仿宋_GB2312" w:cs="仿宋_GB2312"/>
          <w:sz w:val="32"/>
          <w:szCs w:val="32"/>
        </w:rPr>
        <w:t>。规划采用中低压两级燃气管网系统，镇区采用中压燃气干管成环布置，保障供气可靠性。</w:t>
      </w:r>
    </w:p>
    <w:p w14:paraId="086DD12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供热工程</w:t>
      </w:r>
    </w:p>
    <w:p w14:paraId="40E39DA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在保证采暖功效的同时实现节能环保的目的，镇区</w:t>
      </w:r>
      <w:r>
        <w:rPr>
          <w:rFonts w:hint="eastAsia" w:ascii="仿宋_GB2312" w:hAnsi="仿宋_GB2312" w:eastAsia="仿宋_GB2312" w:cs="仿宋_GB2312"/>
          <w:sz w:val="32"/>
          <w:szCs w:val="32"/>
          <w:lang w:val="en-US" w:eastAsia="zh-CN"/>
        </w:rPr>
        <w:t>供热以燃气锅炉房集中</w:t>
      </w:r>
      <w:r>
        <w:rPr>
          <w:rFonts w:hint="eastAsia" w:ascii="仿宋_GB2312" w:hAnsi="仿宋_GB2312" w:eastAsia="仿宋_GB2312" w:cs="仿宋_GB2312"/>
          <w:sz w:val="32"/>
          <w:szCs w:val="32"/>
        </w:rPr>
        <w:t>供暖</w:t>
      </w:r>
      <w:r>
        <w:rPr>
          <w:rFonts w:hint="eastAsia" w:ascii="仿宋_GB2312" w:hAnsi="仿宋_GB2312" w:eastAsia="仿宋_GB2312" w:cs="仿宋_GB2312"/>
          <w:sz w:val="32"/>
          <w:szCs w:val="32"/>
          <w:lang w:val="en-US" w:eastAsia="zh-CN"/>
        </w:rPr>
        <w:t>和电取暖两种</w:t>
      </w:r>
      <w:r>
        <w:rPr>
          <w:rFonts w:hint="eastAsia" w:ascii="仿宋_GB2312" w:hAnsi="仿宋_GB2312" w:eastAsia="仿宋_GB2312" w:cs="仿宋_GB2312"/>
          <w:sz w:val="32"/>
          <w:szCs w:val="32"/>
        </w:rPr>
        <w:t>方式。结合目前清洁能源普及推广情况，规划龙羊峡镇未来以</w:t>
      </w:r>
      <w:r>
        <w:rPr>
          <w:rFonts w:hint="eastAsia" w:ascii="仿宋_GB2312" w:hAnsi="仿宋_GB2312" w:eastAsia="仿宋_GB2312" w:cs="仿宋_GB2312"/>
          <w:sz w:val="32"/>
          <w:szCs w:val="32"/>
          <w:lang w:val="en-US" w:eastAsia="zh-CN"/>
        </w:rPr>
        <w:t>燃气锅炉房集中</w:t>
      </w:r>
      <w:r>
        <w:rPr>
          <w:rFonts w:hint="eastAsia" w:ascii="仿宋_GB2312" w:hAnsi="仿宋_GB2312" w:eastAsia="仿宋_GB2312" w:cs="仿宋_GB2312"/>
          <w:sz w:val="32"/>
          <w:szCs w:val="32"/>
        </w:rPr>
        <w:t>供暖</w:t>
      </w:r>
      <w:r>
        <w:rPr>
          <w:rFonts w:hint="eastAsia" w:ascii="仿宋_GB2312" w:hAnsi="仿宋_GB2312" w:eastAsia="仿宋_GB2312" w:cs="仿宋_GB2312"/>
          <w:sz w:val="32"/>
          <w:szCs w:val="32"/>
          <w:lang w:val="en-US" w:eastAsia="zh-CN"/>
        </w:rPr>
        <w:t>和电取暖两种</w:t>
      </w:r>
      <w:r>
        <w:rPr>
          <w:rFonts w:hint="eastAsia" w:ascii="仿宋_GB2312" w:hAnsi="仿宋_GB2312" w:eastAsia="仿宋_GB2312" w:cs="仿宋_GB2312"/>
          <w:sz w:val="32"/>
          <w:szCs w:val="32"/>
        </w:rPr>
        <w:t>方式</w:t>
      </w:r>
      <w:r>
        <w:rPr>
          <w:rFonts w:hint="eastAsia" w:ascii="仿宋_GB2312" w:hAnsi="仿宋_GB2312" w:eastAsia="仿宋_GB2312" w:cs="仿宋_GB2312"/>
          <w:sz w:val="32"/>
          <w:szCs w:val="32"/>
          <w:lang w:val="en-US" w:eastAsia="zh-CN"/>
        </w:rPr>
        <w:t>供暖</w:t>
      </w:r>
      <w:r>
        <w:rPr>
          <w:rFonts w:hint="eastAsia" w:ascii="仿宋_GB2312" w:hAnsi="仿宋_GB2312" w:eastAsia="仿宋_GB2312" w:cs="仿宋_GB2312"/>
          <w:sz w:val="32"/>
          <w:szCs w:val="32"/>
        </w:rPr>
        <w:t>。</w:t>
      </w:r>
    </w:p>
    <w:p w14:paraId="637492C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通信工程</w:t>
      </w:r>
    </w:p>
    <w:p w14:paraId="6B5FBA9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保障龙羊峡镇通信局站、邮政支局、5G基站用地，服务全镇人口。镇区的有线电视建设应充分发挥、利用现有网络功能，加快用户光缆网的建设，使区内的有线电视网络逐步由目前的光纤、电缆混合网向全光纤网过渡。根据龙羊峡镇的发展实际，规划有线电视入户率达90％以上。</w:t>
      </w:r>
    </w:p>
    <w:p w14:paraId="0BE61D5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环卫工程</w:t>
      </w:r>
    </w:p>
    <w:p w14:paraId="016B729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生活垃圾的收集采用垃圾袋装化分类收集方式，经垃圾转运站压缩处理后转运到生活垃圾填埋场处理；建筑垃圾应由部门成立专门管理小组，统一管理，统一收运利用，所有垃圾采用密闭清运的运输方式。</w:t>
      </w:r>
    </w:p>
    <w:p w14:paraId="55381F9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龙羊峡镇区北侧规划垃圾</w:t>
      </w:r>
      <w:r>
        <w:rPr>
          <w:rFonts w:hint="eastAsia" w:ascii="仿宋_GB2312" w:hAnsi="仿宋_GB2312" w:eastAsia="仿宋_GB2312" w:cs="仿宋_GB2312"/>
          <w:sz w:val="32"/>
          <w:szCs w:val="32"/>
          <w:lang w:eastAsia="zh-CN"/>
        </w:rPr>
        <w:t>填埋场</w:t>
      </w:r>
      <w:r>
        <w:rPr>
          <w:rFonts w:hint="eastAsia" w:ascii="仿宋_GB2312" w:hAnsi="仿宋_GB2312" w:eastAsia="仿宋_GB2312" w:cs="仿宋_GB2312"/>
          <w:sz w:val="32"/>
          <w:szCs w:val="32"/>
        </w:rPr>
        <w:t>1处，位于镇区北侧约1千米处，占地面积约1.3公顷。</w:t>
      </w:r>
    </w:p>
    <w:p w14:paraId="4EC7A30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规划每座公共厕所占地面积不小于60平方米；附建式公厕与</w:t>
      </w:r>
      <w:r>
        <w:rPr>
          <w:rFonts w:hint="eastAsia" w:ascii="仿宋_GB2312" w:hAnsi="仿宋_GB2312" w:eastAsia="仿宋_GB2312" w:cs="仿宋_GB2312"/>
          <w:sz w:val="32"/>
          <w:szCs w:val="32"/>
          <w:lang w:eastAsia="zh-CN"/>
        </w:rPr>
        <w:t>其他建筑</w:t>
      </w:r>
      <w:r>
        <w:rPr>
          <w:rFonts w:hint="eastAsia" w:ascii="仿宋_GB2312" w:hAnsi="仿宋_GB2312" w:eastAsia="仿宋_GB2312" w:cs="仿宋_GB2312"/>
          <w:sz w:val="32"/>
          <w:szCs w:val="32"/>
        </w:rPr>
        <w:t>合建，每座建筑面积不小于30平方米。所有公厕均按不低于二类标准建造，主要布置于交通道路两侧、社会停车场、公园绿地等处，或设置于各公共服务设施区域、加油站、公交站及大型公建内。</w:t>
      </w:r>
    </w:p>
    <w:p w14:paraId="34A519F5">
      <w:pPr>
        <w:pStyle w:val="3"/>
        <w:numPr>
          <w:ilvl w:val="1"/>
          <w:numId w:val="10"/>
        </w:numPr>
        <w:spacing w:before="100" w:after="100" w:line="400" w:lineRule="exact"/>
        <w:ind w:firstLine="0"/>
        <w:jc w:val="center"/>
        <w:rPr>
          <w:rFonts w:ascii="Arial" w:hAnsi="Arial" w:eastAsia="黑体" w:cs="Times New Roman"/>
          <w:b w:val="0"/>
          <w:lang w:val="zh-CN"/>
        </w:rPr>
      </w:pPr>
      <w:bookmarkStart w:id="58" w:name="_Toc9707"/>
      <w:r>
        <w:rPr>
          <w:rFonts w:hint="eastAsia" w:ascii="Arial" w:hAnsi="Arial" w:eastAsia="黑体" w:cs="Times New Roman"/>
          <w:b w:val="0"/>
          <w:lang w:val="zh-CN"/>
        </w:rPr>
        <w:t>综合防灾减灾</w:t>
      </w:r>
      <w:bookmarkEnd w:id="58"/>
    </w:p>
    <w:p w14:paraId="4744360C">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抗震减灾</w:t>
      </w:r>
    </w:p>
    <w:p w14:paraId="35926B5C">
      <w:pPr>
        <w:spacing w:line="60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u w:val="none"/>
        </w:rPr>
        <w:t>龙羊峡镇镇区</w:t>
      </w:r>
      <w:r>
        <w:rPr>
          <w:rFonts w:hint="eastAsia" w:ascii="仿宋_GB2312" w:hAnsi="仿宋_GB2312" w:eastAsia="仿宋_GB2312" w:cs="仿宋_GB2312"/>
          <w:sz w:val="32"/>
          <w:szCs w:val="32"/>
          <w:u w:val="none"/>
          <w:lang w:val="zh-CN"/>
        </w:rPr>
        <w:t>地震峰值加速度0.10g，</w:t>
      </w:r>
      <w:r>
        <w:rPr>
          <w:rFonts w:hint="eastAsia" w:ascii="仿宋_GB2312" w:hAnsi="仿宋_GB2312" w:eastAsia="仿宋_GB2312" w:cs="仿宋_GB2312"/>
          <w:sz w:val="32"/>
          <w:szCs w:val="32"/>
          <w:u w:val="single"/>
          <w:lang w:val="zh-CN"/>
        </w:rPr>
        <w:t>建设工程按照不低于地震烈度7度设防；</w:t>
      </w:r>
      <w:r>
        <w:rPr>
          <w:rFonts w:hint="eastAsia" w:ascii="仿宋_GB2312" w:hAnsi="仿宋_GB2312" w:eastAsia="仿宋_GB2312" w:cs="仿宋_GB2312"/>
          <w:sz w:val="32"/>
          <w:szCs w:val="32"/>
          <w:lang w:val="zh-CN"/>
        </w:rPr>
        <w:t>学校、医院等人员密集场所的建设工程，主要建筑应按照地震动峰值加速度提高至0.15g，作为此类建设工程的抗震设防要求；重大建设工程和可能发生严重次生灾害的建设工程，应当进行地震安全性评价，并按地震安全性评价报告结果确定其抗震设防要求。</w:t>
      </w:r>
    </w:p>
    <w:p w14:paraId="2D18ADF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防洪工程</w:t>
      </w:r>
    </w:p>
    <w:p w14:paraId="3B1FC5F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龙羊峡镇镇区防洪工程按20年一遇标准设防，排涝标准为20年一遇。</w:t>
      </w:r>
      <w:r>
        <w:rPr>
          <w:rFonts w:hint="eastAsia" w:ascii="仿宋_GB2312" w:hAnsi="仿宋_GB2312" w:eastAsia="仿宋_GB2312" w:cs="仿宋_GB2312"/>
          <w:sz w:val="32"/>
          <w:szCs w:val="32"/>
          <w:u w:val="none"/>
          <w:lang w:eastAsia="zh-CN"/>
        </w:rPr>
        <w:t>完善</w:t>
      </w:r>
      <w:r>
        <w:rPr>
          <w:rFonts w:hint="eastAsia" w:ascii="仿宋_GB2312" w:hAnsi="仿宋_GB2312" w:eastAsia="仿宋_GB2312" w:cs="仿宋_GB2312"/>
          <w:sz w:val="32"/>
          <w:szCs w:val="32"/>
        </w:rPr>
        <w:t>堤防达标建设，按照洪涝风险控制线要求恢复天然雨洪通道、蓄滞洪空间；加强镇区外围水土流失治理，完善截洪沟布局，降低山洪入城风险，全面提升镇区防洪能力。</w:t>
      </w:r>
    </w:p>
    <w:p w14:paraId="40FE370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消防工程</w:t>
      </w:r>
    </w:p>
    <w:p w14:paraId="4FE2BFE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完善镇区消防安全布局，统筹优化镇区易燃易爆危险品场所或设施布局。规划镇区</w:t>
      </w:r>
      <w:r>
        <w:rPr>
          <w:rFonts w:hint="eastAsia" w:ascii="仿宋_GB2312" w:hAnsi="仿宋_GB2312" w:eastAsia="仿宋_GB2312" w:cs="仿宋_GB2312"/>
          <w:sz w:val="32"/>
          <w:szCs w:val="32"/>
          <w:lang w:val="en-US" w:eastAsia="zh-CN"/>
        </w:rPr>
        <w:t>消防以镇企合建消防站为主要消防力量</w:t>
      </w:r>
      <w:r>
        <w:rPr>
          <w:rFonts w:hint="eastAsia" w:ascii="仿宋_GB2312" w:hAnsi="仿宋_GB2312" w:eastAsia="仿宋_GB2312" w:cs="仿宋_GB2312"/>
          <w:sz w:val="32"/>
          <w:szCs w:val="32"/>
        </w:rPr>
        <w:t>。加强消防供水建设，形成市政水源为主、天然水源为辅的消防供水体系；加强消防通信建设，完善消防通信系统；加强消防车通道建设，提高镇区道路承载大型消防车的能力，确保消防车通行能力。</w:t>
      </w:r>
      <w:r>
        <w:rPr>
          <w:rFonts w:hint="eastAsia" w:ascii="仿宋_GB2312" w:hAnsi="仿宋_GB2312" w:eastAsia="仿宋_GB2312" w:cs="仿宋_GB2312"/>
          <w:sz w:val="32"/>
          <w:szCs w:val="32"/>
          <w:lang w:val="en-US" w:eastAsia="zh-CN"/>
        </w:rPr>
        <w:t>新建的建筑应当达到一、二级耐火等级标准，控制三级建筑，严格限制四级建筑，不准易燃简易搭盖</w:t>
      </w:r>
      <w:r>
        <w:rPr>
          <w:rFonts w:hint="eastAsia" w:ascii="仿宋_GB2312" w:hAnsi="仿宋_GB2312" w:cs="仿宋_GB2312"/>
          <w:sz w:val="32"/>
          <w:szCs w:val="32"/>
          <w:lang w:val="en-US" w:eastAsia="zh-CN"/>
        </w:rPr>
        <w:t>。</w:t>
      </w:r>
    </w:p>
    <w:p w14:paraId="5832831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地质灾害防治</w:t>
      </w:r>
    </w:p>
    <w:p w14:paraId="1399EDF3">
      <w:pPr>
        <w:pStyle w:val="7"/>
        <w:ind w:firstLine="640"/>
        <w:rPr>
          <w:bCs/>
        </w:rPr>
      </w:pPr>
      <w:r>
        <w:rPr>
          <w:rFonts w:hint="eastAsia"/>
          <w:bCs/>
        </w:rPr>
        <w:t>龙羊峡镇镇区</w:t>
      </w:r>
      <w:r>
        <w:rPr>
          <w:rFonts w:hint="eastAsia"/>
          <w:bCs/>
          <w:lang w:val="zh-CN"/>
        </w:rPr>
        <w:t>范围均为地质灾害低</w:t>
      </w:r>
      <w:r>
        <w:rPr>
          <w:rFonts w:hint="eastAsia"/>
          <w:bCs/>
        </w:rPr>
        <w:t>风险区。深化地质灾害隐患点详细调查评价，</w:t>
      </w:r>
      <w:r>
        <w:rPr>
          <w:rFonts w:hint="eastAsia"/>
          <w:bCs/>
          <w:u w:val="single"/>
          <w:lang w:val="zh-CN"/>
        </w:rPr>
        <w:t>地质灾害易发区内的开发建设，应当进行地质灾害危险性评估，并根据地质灾害危险性评估提出的预防治理措施，有序开展地质灾害工程治理或搬迁避让工作，评估结果为不适宜的场地不得进行开发建设，地质灾害危险区内禁止从事容易诱发地质灾害的各种活动</w:t>
      </w:r>
      <w:r>
        <w:rPr>
          <w:rFonts w:hint="eastAsia"/>
          <w:bCs/>
        </w:rPr>
        <w:t>。综合采用工程治理、排危除险、避让搬迁、专业监测等多种措施，推进地质灾害隐患治理，降低地质灾害隐患风险。</w:t>
      </w:r>
    </w:p>
    <w:p w14:paraId="5F27B70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应急体系</w:t>
      </w:r>
    </w:p>
    <w:p w14:paraId="00D70CA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依托镇政府建设应急指挥中心，配套建设综合应急指挥调度平台，推动应急管理体系和能力现代化。构建由综合性消防救援队伍为主力、专业应急救援力量为协同、社会应急力量为辅助的应急救援力量体系。</w:t>
      </w:r>
    </w:p>
    <w:p w14:paraId="5A85F914">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结合学校、体育场、公园等设置固定避难场所，结合公园、广场等</w:t>
      </w:r>
      <w:r>
        <w:rPr>
          <w:rFonts w:hint="eastAsia" w:ascii="仿宋_GB2312" w:hAnsi="仿宋_GB2312" w:eastAsia="仿宋_GB2312" w:cs="仿宋_GB2312"/>
          <w:sz w:val="32"/>
          <w:szCs w:val="32"/>
          <w:lang w:eastAsia="zh-CN"/>
        </w:rPr>
        <w:t>设置</w:t>
      </w:r>
      <w:r>
        <w:rPr>
          <w:rFonts w:ascii="仿宋_GB2312" w:hAnsi="仿宋_GB2312" w:eastAsia="仿宋_GB2312" w:cs="仿宋_GB2312"/>
          <w:sz w:val="32"/>
          <w:szCs w:val="32"/>
        </w:rPr>
        <w:t>紧急避难疏散场地，以复合利用、应急转换为主，不单独占地，</w:t>
      </w:r>
      <w:r>
        <w:rPr>
          <w:rFonts w:hint="eastAsia" w:ascii="仿宋_GB2312" w:hAnsi="仿宋_GB2312" w:eastAsia="仿宋_GB2312" w:cs="仿宋_GB2312"/>
          <w:sz w:val="32"/>
          <w:szCs w:val="32"/>
          <w:u w:val="single"/>
        </w:rPr>
        <w:t>镇区</w:t>
      </w:r>
      <w:r>
        <w:rPr>
          <w:rFonts w:ascii="仿宋_GB2312" w:hAnsi="仿宋_GB2312" w:eastAsia="仿宋_GB2312" w:cs="仿宋_GB2312"/>
          <w:sz w:val="32"/>
          <w:szCs w:val="32"/>
          <w:u w:val="single"/>
        </w:rPr>
        <w:t>人均避难场所面积不低于1.5平方米。</w:t>
      </w:r>
      <w:r>
        <w:rPr>
          <w:rFonts w:ascii="仿宋_GB2312" w:hAnsi="仿宋_GB2312" w:eastAsia="仿宋_GB2312" w:cs="仿宋_GB2312"/>
          <w:sz w:val="32"/>
          <w:szCs w:val="32"/>
        </w:rPr>
        <w:t>完善</w:t>
      </w:r>
      <w:r>
        <w:rPr>
          <w:rFonts w:hint="eastAsia" w:ascii="仿宋_GB2312" w:hAnsi="仿宋_GB2312" w:eastAsia="仿宋_GB2312" w:cs="仿宋_GB2312"/>
          <w:sz w:val="32"/>
          <w:szCs w:val="32"/>
        </w:rPr>
        <w:t>镇区</w:t>
      </w:r>
      <w:r>
        <w:rPr>
          <w:rFonts w:ascii="仿宋_GB2312" w:hAnsi="仿宋_GB2312" w:eastAsia="仿宋_GB2312" w:cs="仿宋_GB2312"/>
          <w:sz w:val="32"/>
          <w:szCs w:val="32"/>
        </w:rPr>
        <w:t>避难疏散体系，以龙羊大街、龙羊北路、团结路等</w:t>
      </w:r>
      <w:r>
        <w:rPr>
          <w:rFonts w:hint="eastAsia" w:ascii="仿宋_GB2312" w:hAnsi="仿宋_GB2312" w:eastAsia="仿宋_GB2312" w:cs="仿宋_GB2312"/>
          <w:sz w:val="32"/>
          <w:szCs w:val="32"/>
        </w:rPr>
        <w:t>主要</w:t>
      </w:r>
      <w:r>
        <w:rPr>
          <w:rFonts w:ascii="仿宋_GB2312" w:hAnsi="仿宋_GB2312" w:eastAsia="仿宋_GB2312" w:cs="仿宋_GB2312"/>
          <w:sz w:val="32"/>
          <w:szCs w:val="32"/>
        </w:rPr>
        <w:t>公路</w:t>
      </w:r>
      <w:r>
        <w:rPr>
          <w:rFonts w:hint="eastAsia" w:ascii="仿宋_GB2312" w:hAnsi="仿宋_GB2312" w:eastAsia="仿宋_GB2312" w:cs="仿宋_GB2312"/>
          <w:sz w:val="32"/>
          <w:szCs w:val="32"/>
        </w:rPr>
        <w:t>作为</w:t>
      </w:r>
      <w:r>
        <w:rPr>
          <w:rFonts w:ascii="仿宋_GB2312" w:hAnsi="仿宋_GB2312" w:eastAsia="仿宋_GB2312" w:cs="仿宋_GB2312"/>
          <w:sz w:val="32"/>
          <w:szCs w:val="32"/>
        </w:rPr>
        <w:t>对外疏散通道。</w:t>
      </w:r>
    </w:p>
    <w:p w14:paraId="02655DA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结合镇卫生院，建设镇级应急医疗急救中心，保障镇区预留突发公共卫生救援基地用地，做好应对突发性公共卫生事件的应急预案。</w:t>
      </w:r>
    </w:p>
    <w:p w14:paraId="4E5DCB7F">
      <w:pPr>
        <w:pStyle w:val="3"/>
        <w:numPr>
          <w:ilvl w:val="1"/>
          <w:numId w:val="10"/>
        </w:numPr>
        <w:spacing w:before="100" w:after="100" w:line="400" w:lineRule="exact"/>
        <w:ind w:firstLine="0"/>
        <w:jc w:val="center"/>
        <w:rPr>
          <w:rFonts w:ascii="Arial" w:hAnsi="Arial" w:eastAsia="黑体" w:cs="Times New Roman"/>
          <w:b w:val="0"/>
          <w:lang w:val="zh-CN"/>
        </w:rPr>
      </w:pPr>
      <w:bookmarkStart w:id="59" w:name="_Toc4552"/>
      <w:r>
        <w:rPr>
          <w:rFonts w:hint="eastAsia" w:ascii="Arial" w:hAnsi="Arial" w:eastAsia="黑体" w:cs="Times New Roman"/>
          <w:b w:val="0"/>
          <w:lang w:val="zh-CN"/>
        </w:rPr>
        <w:t>城镇风貌引导与管控</w:t>
      </w:r>
      <w:bookmarkEnd w:id="59"/>
    </w:p>
    <w:p w14:paraId="7818E89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城镇风貌引导</w:t>
      </w:r>
    </w:p>
    <w:p w14:paraId="507604FC">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形成“一轴、三带、</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区、多节点”的城镇风貌格局。</w:t>
      </w:r>
    </w:p>
    <w:p w14:paraId="187F277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一轴：贯穿镇区的河流及周边绿地形成的南北向的空间景观轴线。</w:t>
      </w:r>
    </w:p>
    <w:p w14:paraId="1784295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带：滨河景观风貌带：沿河打造的自然景观风貌带；集聚商业风貌带：沿主干路的商业服务业中心打造的商业风貌带；特色产业风貌带：以310国道为对外运输的纽带，发展以三文鱼加工为主的农副产品加工业，形成特色产业风貌带。</w:t>
      </w:r>
    </w:p>
    <w:p w14:paraId="6B9220D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三区：新城特色风貌区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镇区北部新拓展的风貌区；老城生活风貌区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在镇区现有基础上优化和改造的风貌区；滨水休闲风貌区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以龙羊峡水库为依托打造的风貌区。</w:t>
      </w:r>
    </w:p>
    <w:p w14:paraId="5E98AB5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多节点：商业服务节点、公共服务节点以及多个自然景观节点。</w:t>
      </w:r>
    </w:p>
    <w:p w14:paraId="0CA951B2">
      <w:pPr>
        <w:spacing w:line="600" w:lineRule="exact"/>
        <w:ind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rPr>
        <w:t>加强风貌引导。</w:t>
      </w:r>
      <w:r>
        <w:rPr>
          <w:rFonts w:hint="eastAsia" w:ascii="仿宋_GB2312" w:hAnsi="仿宋_GB2312" w:eastAsia="仿宋_GB2312" w:cs="仿宋_GB2312"/>
          <w:sz w:val="32"/>
          <w:szCs w:val="32"/>
        </w:rPr>
        <w:t>培育“工业遗产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红色文化”的</w:t>
      </w:r>
      <w:r>
        <w:rPr>
          <w:rFonts w:hint="eastAsia" w:ascii="仿宋_GB2312" w:hAnsi="仿宋_GB2312" w:eastAsia="仿宋_GB2312" w:cs="仿宋_GB2312"/>
          <w:sz w:val="32"/>
          <w:szCs w:val="32"/>
          <w:lang w:val="en-US" w:eastAsia="zh-CN"/>
        </w:rPr>
        <w:t>特色</w:t>
      </w:r>
      <w:r>
        <w:rPr>
          <w:rFonts w:hint="eastAsia" w:ascii="仿宋_GB2312" w:hAnsi="仿宋_GB2312" w:eastAsia="仿宋_GB2312" w:cs="仿宋_GB2312"/>
          <w:sz w:val="32"/>
          <w:szCs w:val="32"/>
        </w:rPr>
        <w:t>城镇风貌。展现“时代风范、地域特色”，建筑风格以</w:t>
      </w:r>
      <w:r>
        <w:rPr>
          <w:rFonts w:hint="eastAsia" w:ascii="仿宋_GB2312" w:hAnsi="仿宋_GB2312" w:eastAsia="仿宋_GB2312" w:cs="仿宋_GB2312"/>
          <w:sz w:val="32"/>
          <w:szCs w:val="32"/>
          <w:lang w:val="en-US" w:eastAsia="zh-CN"/>
        </w:rPr>
        <w:t>工业怀旧</w:t>
      </w:r>
      <w:r>
        <w:rPr>
          <w:rFonts w:hint="eastAsia" w:ascii="仿宋_GB2312" w:hAnsi="仿宋_GB2312" w:eastAsia="仿宋_GB2312" w:cs="仿宋_GB2312"/>
          <w:sz w:val="32"/>
          <w:szCs w:val="32"/>
        </w:rPr>
        <w:t>风貌为主，鼓励传统建筑风格的现代演绎，简约大气，彰显时代感。依托龙羊峡水库特色资源，加强历史文化保护与传承，培育</w:t>
      </w:r>
      <w:r>
        <w:rPr>
          <w:rFonts w:hint="eastAsia" w:ascii="仿宋_GB2312" w:hAnsi="仿宋_GB2312" w:eastAsia="仿宋_GB2312" w:cs="仿宋_GB2312"/>
          <w:sz w:val="32"/>
          <w:szCs w:val="32"/>
          <w:lang w:val="en-US" w:eastAsia="zh-CN"/>
        </w:rPr>
        <w:t>工业</w:t>
      </w:r>
      <w:r>
        <w:rPr>
          <w:rFonts w:hint="eastAsia" w:ascii="仿宋_GB2312" w:hAnsi="仿宋_GB2312" w:eastAsia="仿宋_GB2312" w:cs="仿宋_GB2312"/>
          <w:sz w:val="32"/>
          <w:szCs w:val="32"/>
        </w:rPr>
        <w:t>旅游</w:t>
      </w:r>
      <w:r>
        <w:rPr>
          <w:rFonts w:hint="eastAsia" w:ascii="仿宋_GB2312" w:hAnsi="仿宋_GB2312" w:eastAsia="仿宋_GB2312" w:cs="仿宋_GB2312"/>
          <w:sz w:val="32"/>
          <w:szCs w:val="32"/>
          <w:lang w:val="en-US" w:eastAsia="zh-CN"/>
        </w:rPr>
        <w:t>和红色旅游</w:t>
      </w:r>
      <w:r>
        <w:rPr>
          <w:rFonts w:hint="eastAsia" w:ascii="仿宋_GB2312" w:hAnsi="仿宋_GB2312" w:eastAsia="仿宋_GB2312" w:cs="仿宋_GB2312"/>
          <w:sz w:val="32"/>
          <w:szCs w:val="32"/>
        </w:rPr>
        <w:t>功能业态，彰显省级历史文化名镇魅力。公共建筑以工业复古风公共建筑基本特征为基础，以怀旧感、机械风去表现时代精神</w:t>
      </w:r>
      <w:r>
        <w:rPr>
          <w:rFonts w:hint="eastAsia" w:ascii="仿宋_GB2312" w:hAnsi="仿宋_GB2312" w:eastAsia="仿宋_GB2312" w:cs="仿宋_GB2312"/>
          <w:sz w:val="32"/>
          <w:szCs w:val="32"/>
          <w:lang w:eastAsia="zh-CN"/>
        </w:rPr>
        <w:t>。</w:t>
      </w:r>
    </w:p>
    <w:p w14:paraId="7423315A">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控制建筑体量及高度。</w:t>
      </w:r>
      <w:r>
        <w:rPr>
          <w:rFonts w:hint="eastAsia" w:ascii="仿宋_GB2312" w:hAnsi="仿宋_GB2312" w:eastAsia="仿宋_GB2312" w:cs="仿宋_GB2312"/>
          <w:sz w:val="32"/>
          <w:szCs w:val="32"/>
        </w:rPr>
        <w:t>总体形成中低开发强度、集约紧凑的建设模式，单体建筑长度不应超过80米。严格按照要求控制建筑高度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镇区建筑高度一般不超过6层</w:t>
      </w:r>
      <w:r>
        <w:rPr>
          <w:rFonts w:hint="eastAsia" w:ascii="仿宋_GB2312" w:hAnsi="仿宋_GB2312" w:eastAsia="仿宋_GB2312" w:cs="仿宋_GB2312"/>
          <w:sz w:val="32"/>
          <w:szCs w:val="32"/>
        </w:rPr>
        <w:t>。</w:t>
      </w:r>
    </w:p>
    <w:p w14:paraId="7CFAD3B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开发强度管控</w:t>
      </w:r>
    </w:p>
    <w:p w14:paraId="57940572">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规划构建“</w:t>
      </w:r>
      <w:r>
        <w:rPr>
          <w:rFonts w:hint="eastAsia" w:ascii="楷体_GB2312" w:hAnsi="楷体_GB2312" w:eastAsia="楷体_GB2312" w:cs="楷体_GB2312"/>
          <w:sz w:val="32"/>
          <w:szCs w:val="32"/>
          <w:lang w:val="en-US" w:eastAsia="zh-CN"/>
        </w:rPr>
        <w:t>中心高，四周弱，合理开发</w:t>
      </w:r>
      <w:r>
        <w:rPr>
          <w:rFonts w:hint="eastAsia" w:ascii="楷体_GB2312" w:hAnsi="楷体_GB2312" w:eastAsia="楷体_GB2312" w:cs="楷体_GB2312"/>
          <w:sz w:val="32"/>
          <w:szCs w:val="32"/>
        </w:rPr>
        <w:t>”的开发强度管控。</w:t>
      </w:r>
      <w:r>
        <w:rPr>
          <w:rFonts w:hint="eastAsia" w:ascii="仿宋_GB2312" w:hAnsi="仿宋_GB2312" w:eastAsia="仿宋_GB2312" w:cs="仿宋_GB2312"/>
          <w:sz w:val="32"/>
          <w:szCs w:val="32"/>
        </w:rPr>
        <w:t>镇区商业商务区开发强度较高，其中商业用地容积率不大于2.0，公共管理和公共服务设施用地容积率不大于1.5，</w:t>
      </w:r>
      <w:r>
        <w:rPr>
          <w:rFonts w:hint="eastAsia" w:ascii="仿宋_GB2312" w:hAnsi="仿宋_GB2312" w:eastAsia="仿宋_GB2312" w:cs="仿宋_GB2312"/>
          <w:sz w:val="32"/>
          <w:szCs w:val="32"/>
          <w:lang w:val="en-US" w:eastAsia="zh-CN"/>
        </w:rPr>
        <w:t>教育用地容积率不大于0.8，</w:t>
      </w:r>
      <w:r>
        <w:rPr>
          <w:rFonts w:hint="eastAsia" w:ascii="仿宋_GB2312" w:hAnsi="仿宋_GB2312" w:eastAsia="仿宋_GB2312" w:cs="仿宋_GB2312"/>
          <w:sz w:val="32"/>
          <w:szCs w:val="32"/>
        </w:rPr>
        <w:t>居住用地容积率不大于</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其他用地类型容积率应符合国家相关法律法规要求</w:t>
      </w:r>
      <w:r>
        <w:rPr>
          <w:rFonts w:hint="eastAsia" w:ascii="仿宋_GB2312" w:hAnsi="仿宋_GB2312" w:eastAsia="仿宋_GB2312" w:cs="仿宋_GB2312"/>
          <w:sz w:val="32"/>
          <w:szCs w:val="32"/>
        </w:rPr>
        <w:t>。机关团体用地建筑密度不大于45%，商业服务用地建筑密度不大于60%，居住用地建筑密度不大于35%。</w:t>
      </w:r>
    </w:p>
    <w:p w14:paraId="5DFEFCF6">
      <w:pPr>
        <w:pStyle w:val="3"/>
        <w:numPr>
          <w:ilvl w:val="1"/>
          <w:numId w:val="10"/>
        </w:numPr>
        <w:spacing w:before="100" w:after="100" w:line="400" w:lineRule="exact"/>
        <w:ind w:firstLine="0"/>
        <w:jc w:val="center"/>
        <w:rPr>
          <w:rFonts w:ascii="Arial" w:hAnsi="Arial" w:eastAsia="黑体" w:cs="Times New Roman"/>
          <w:b w:val="0"/>
          <w:lang w:val="zh-CN"/>
        </w:rPr>
      </w:pPr>
      <w:bookmarkStart w:id="60" w:name="_Toc1015"/>
      <w:r>
        <w:rPr>
          <w:rFonts w:hint="eastAsia" w:ascii="Arial" w:hAnsi="Arial" w:eastAsia="黑体" w:cs="Times New Roman"/>
          <w:b w:val="0"/>
          <w:lang w:val="zh-CN"/>
        </w:rPr>
        <w:t>五线管控</w:t>
      </w:r>
      <w:bookmarkEnd w:id="60"/>
    </w:p>
    <w:p w14:paraId="65753E8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道路红线</w:t>
      </w:r>
    </w:p>
    <w:p w14:paraId="08B544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将镇区主要城镇村道路作为道路红线进行强制性控制。</w:t>
      </w:r>
      <w:r>
        <w:rPr>
          <w:rFonts w:hint="eastAsia" w:ascii="仿宋_GB2312" w:hAnsi="仿宋_GB2312" w:eastAsia="仿宋_GB2312" w:cs="仿宋_GB2312"/>
          <w:sz w:val="32"/>
          <w:szCs w:val="32"/>
          <w:lang w:val="en-US" w:eastAsia="zh-CN"/>
        </w:rPr>
        <w:t>红线控制范围内，经城乡规划行政主管部门批准可以按规划建设绿化设施，市政公用地上、地下管（杆）线，道路交通安全设施。不得建设与道路功能无关的管（杆）线、配电设施、通信设施、环卫设施、道路交通安全设施等。禁止在红线控制范围内进行挖取沙土等改变地形地貌活动。</w:t>
      </w:r>
    </w:p>
    <w:p w14:paraId="3DDC89C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绿线管控</w:t>
      </w:r>
    </w:p>
    <w:p w14:paraId="2305557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将公园绿地、防护绿地和广场等用地划入镇区绿线管控范围，总面积</w:t>
      </w:r>
      <w:r>
        <w:rPr>
          <w:rFonts w:ascii="仿宋_GB2312" w:hAnsi="仿宋_GB2312" w:eastAsia="仿宋_GB2312" w:cs="仿宋_GB2312"/>
          <w:sz w:val="32"/>
          <w:szCs w:val="32"/>
          <w:u w:val="single"/>
        </w:rPr>
        <w:t>2.</w:t>
      </w:r>
      <w:r>
        <w:rPr>
          <w:rFonts w:hint="eastAsia" w:ascii="仿宋_GB2312" w:hAnsi="仿宋_GB2312" w:eastAsia="仿宋_GB2312" w:cs="仿宋_GB2312"/>
          <w:sz w:val="32"/>
          <w:szCs w:val="32"/>
          <w:u w:val="single"/>
          <w:lang w:val="en-US" w:eastAsia="zh-CN"/>
        </w:rPr>
        <w:t>6</w:t>
      </w:r>
      <w:r>
        <w:rPr>
          <w:rFonts w:ascii="仿宋_GB2312" w:hAnsi="仿宋_GB2312" w:eastAsia="仿宋_GB2312" w:cs="仿宋_GB2312"/>
          <w:sz w:val="32"/>
          <w:szCs w:val="32"/>
          <w:u w:val="single"/>
        </w:rPr>
        <w:t>2</w:t>
      </w:r>
      <w:r>
        <w:rPr>
          <w:rFonts w:hint="eastAsia" w:ascii="仿宋_GB2312" w:hAnsi="仿宋_GB2312" w:eastAsia="仿宋_GB2312" w:cs="仿宋_GB2312"/>
          <w:sz w:val="32"/>
          <w:szCs w:val="32"/>
          <w:u w:val="single"/>
        </w:rPr>
        <w:t>公顷。城市绿线内所有建设活动均应符合相关管理要求。</w:t>
      </w:r>
      <w:r>
        <w:rPr>
          <w:rFonts w:hint="eastAsia" w:ascii="仿宋_GB2312" w:hAnsi="仿宋_GB2312" w:eastAsia="仿宋_GB2312" w:cs="仿宋_GB2312"/>
          <w:sz w:val="32"/>
          <w:szCs w:val="32"/>
        </w:rPr>
        <w:t>在总规模不减少的前提下，城市绿线的具体边界、定位可在详细规划编制和实施中落实。城市绿线内的用地，不得改作他用，不得违反法律法规、强制性标准以及批准的规划进行开发建设；在城市绿线范围内，不符合规划要求的建筑物、构筑物</w:t>
      </w:r>
      <w:r>
        <w:rPr>
          <w:rFonts w:hint="eastAsia" w:ascii="仿宋_GB2312" w:hAnsi="仿宋_GB2312" w:eastAsia="仿宋_GB2312" w:cs="仿宋_GB2312"/>
          <w:sz w:val="32"/>
          <w:szCs w:val="32"/>
          <w:lang w:eastAsia="zh-CN"/>
        </w:rPr>
        <w:t>及其他</w:t>
      </w:r>
      <w:r>
        <w:rPr>
          <w:rFonts w:hint="eastAsia" w:ascii="仿宋_GB2312" w:hAnsi="仿宋_GB2312" w:eastAsia="仿宋_GB2312" w:cs="仿宋_GB2312"/>
          <w:sz w:val="32"/>
          <w:szCs w:val="32"/>
        </w:rPr>
        <w:t>设施应当限期迁出。绿线内可兼容设施道路、市政管线等线状交通、线状市政基础设施；因重大市政交通基础设施建设等公共利益确需调整绿线的，应保证绿线结构系统性；因建设</w:t>
      </w:r>
      <w:r>
        <w:rPr>
          <w:rFonts w:hint="eastAsia" w:ascii="仿宋_GB2312" w:hAnsi="仿宋_GB2312" w:eastAsia="仿宋_GB2312" w:cs="仿宋_GB2312"/>
          <w:sz w:val="32"/>
          <w:szCs w:val="32"/>
          <w:lang w:eastAsia="zh-CN"/>
        </w:rPr>
        <w:t>或者其他</w:t>
      </w:r>
      <w:r>
        <w:rPr>
          <w:rFonts w:hint="eastAsia" w:ascii="仿宋_GB2312" w:hAnsi="仿宋_GB2312" w:eastAsia="仿宋_GB2312" w:cs="仿宋_GB2312"/>
          <w:sz w:val="32"/>
          <w:szCs w:val="32"/>
        </w:rPr>
        <w:t>特殊情况，需要临时占用城市绿线内用地的，必须依法办理相关审批手续。城市绿线的调整应符合国家有关规定。</w:t>
      </w:r>
    </w:p>
    <w:p w14:paraId="32D7B69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黄线管控</w:t>
      </w:r>
    </w:p>
    <w:p w14:paraId="1C9EE4F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将重大基础设施用地划入镇区黄线管控范围，主要包括公共交通设施、供水设施、排水设施、供电设施，总面积</w:t>
      </w:r>
      <w:r>
        <w:rPr>
          <w:rFonts w:ascii="仿宋_GB2312" w:hAnsi="仿宋_GB2312" w:eastAsia="仿宋_GB2312" w:cs="仿宋_GB2312"/>
          <w:sz w:val="32"/>
          <w:szCs w:val="32"/>
          <w:u w:val="single"/>
        </w:rPr>
        <w:t>7.</w:t>
      </w:r>
      <w:r>
        <w:rPr>
          <w:rFonts w:hint="eastAsia" w:ascii="仿宋_GB2312" w:hAnsi="仿宋_GB2312" w:eastAsia="仿宋_GB2312" w:cs="仿宋_GB2312"/>
          <w:sz w:val="32"/>
          <w:szCs w:val="32"/>
          <w:u w:val="single"/>
          <w:lang w:val="en-US" w:eastAsia="zh-CN"/>
        </w:rPr>
        <w:t>21</w:t>
      </w:r>
      <w:r>
        <w:rPr>
          <w:rFonts w:hint="eastAsia" w:ascii="仿宋_GB2312" w:hAnsi="仿宋_GB2312" w:eastAsia="仿宋_GB2312" w:cs="仿宋_GB2312"/>
          <w:sz w:val="32"/>
          <w:szCs w:val="32"/>
          <w:u w:val="single"/>
        </w:rPr>
        <w:t>公顷。</w:t>
      </w:r>
      <w:r>
        <w:rPr>
          <w:rFonts w:hint="eastAsia" w:ascii="仿宋_GB2312" w:hAnsi="仿宋_GB2312" w:eastAsia="仿宋_GB2312" w:cs="仿宋_GB2312"/>
          <w:sz w:val="32"/>
          <w:szCs w:val="32"/>
        </w:rPr>
        <w:t>在总规模不减少的前提下，城市黄线的具体边界、定位可在详细规划编制和实施中落实。规划划定的城市黄线严格按照相关法律法规进行管控，城市黄线一经批准，不得擅自调整，因城市发展和城市功能、布局变化等，需要调整城市黄线的，应进行规划论证，并保证基础设施的系统性和服务能力不降低。城市黄线的调整应符合国家有关规定。</w:t>
      </w:r>
    </w:p>
    <w:p w14:paraId="4ABD7A1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紫</w:t>
      </w:r>
      <w:r>
        <w:rPr>
          <w:rFonts w:hint="eastAsia" w:ascii="楷体_GB2312" w:hAnsi="Times New Roman" w:eastAsia="楷体_GB2312" w:cs="Times New Roman"/>
          <w:bCs/>
          <w:sz w:val="32"/>
          <w:szCs w:val="32"/>
        </w:rPr>
        <w:t>线管控</w:t>
      </w:r>
    </w:p>
    <w:p w14:paraId="00D2A4F5">
      <w:pPr>
        <w:spacing w:line="600" w:lineRule="exact"/>
        <w:ind w:firstLine="640" w:firstLineChars="200"/>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龙羊峡镇区不涉及紫线。</w:t>
      </w:r>
    </w:p>
    <w:p w14:paraId="0260CCA9">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蓝</w:t>
      </w:r>
      <w:r>
        <w:rPr>
          <w:rFonts w:hint="eastAsia" w:ascii="楷体_GB2312" w:hAnsi="Times New Roman" w:eastAsia="楷体_GB2312" w:cs="Times New Roman"/>
          <w:bCs/>
          <w:sz w:val="32"/>
          <w:szCs w:val="32"/>
        </w:rPr>
        <w:t>线管控</w:t>
      </w:r>
    </w:p>
    <w:p w14:paraId="0D8E13C3">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u w:val="none"/>
          <w:lang w:val="en-US" w:eastAsia="zh-CN"/>
        </w:rPr>
        <w:t>龙羊峡镇区不涉及蓝线。</w:t>
      </w:r>
      <w:r>
        <w:rPr>
          <w:rFonts w:hint="eastAsia" w:ascii="仿宋_GB2312" w:hAnsi="仿宋_GB2312" w:eastAsia="仿宋_GB2312" w:cs="仿宋_GB2312"/>
          <w:sz w:val="32"/>
          <w:szCs w:val="32"/>
        </w:rPr>
        <w:br w:type="page"/>
      </w:r>
    </w:p>
    <w:p w14:paraId="0B38945F">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61" w:name="_Toc25288"/>
      <w:r>
        <w:rPr>
          <w:rFonts w:hint="eastAsia" w:ascii="Times New Roman" w:hAnsi="Times New Roman" w:eastAsia="方正小标宋简体" w:cs="Times New Roman"/>
          <w:b w:val="0"/>
          <w:bCs w:val="0"/>
          <w:sz w:val="36"/>
          <w:szCs w:val="36"/>
        </w:rPr>
        <w:t>历史文化保护与景观风貌引导</w:t>
      </w:r>
      <w:bookmarkEnd w:id="61"/>
    </w:p>
    <w:p w14:paraId="0382AB00">
      <w:pPr>
        <w:pStyle w:val="3"/>
        <w:numPr>
          <w:ilvl w:val="1"/>
          <w:numId w:val="11"/>
        </w:numPr>
        <w:spacing w:before="100" w:after="100" w:line="400" w:lineRule="exact"/>
        <w:ind w:firstLine="0"/>
        <w:jc w:val="center"/>
        <w:rPr>
          <w:rFonts w:ascii="Arial" w:hAnsi="Arial" w:eastAsia="黑体" w:cs="Times New Roman"/>
          <w:b w:val="0"/>
          <w:lang w:val="zh-CN"/>
        </w:rPr>
      </w:pPr>
      <w:bookmarkStart w:id="62" w:name="_Toc25129"/>
      <w:r>
        <w:rPr>
          <w:rFonts w:hint="eastAsia" w:ascii="Arial" w:hAnsi="Arial" w:eastAsia="黑体" w:cs="Times New Roman"/>
          <w:b w:val="0"/>
          <w:lang w:val="zh-CN"/>
        </w:rPr>
        <w:t>整体保护文化遗产，传承历史文化价值</w:t>
      </w:r>
      <w:bookmarkEnd w:id="62"/>
    </w:p>
    <w:p w14:paraId="1A9CDA46">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健全历史文化资源保护体系</w:t>
      </w:r>
    </w:p>
    <w:p w14:paraId="7A00D33F">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加强文物保护利用和文化遗产保护传承。</w:t>
      </w:r>
      <w:r>
        <w:rPr>
          <w:rFonts w:hint="eastAsia" w:ascii="仿宋_GB2312" w:hAnsi="仿宋_GB2312" w:eastAsia="仿宋_GB2312" w:cs="仿宋_GB2312"/>
          <w:sz w:val="32"/>
          <w:szCs w:val="32"/>
        </w:rPr>
        <w:t>充分挖掘和保护各类历史文化资源，建立健全城乡历史文化遗产保护体系，创新完善保护制度和机制，强化对历史文化遗产的整体性保护，彰显龙羊峡镇的历史发展脉络和地域文化特征。</w:t>
      </w:r>
    </w:p>
    <w:p w14:paraId="689EC3B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划定历史文化保护线</w:t>
      </w:r>
    </w:p>
    <w:p w14:paraId="12BB5E0B">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有序划定历史文化保护线。</w:t>
      </w:r>
      <w:r>
        <w:rPr>
          <w:rFonts w:hint="eastAsia" w:ascii="仿宋_GB2312" w:hAnsi="仿宋_GB2312" w:eastAsia="仿宋_GB2312" w:cs="仿宋_GB2312"/>
          <w:sz w:val="32"/>
          <w:szCs w:val="32"/>
        </w:rPr>
        <w:t>历史文化保护线</w:t>
      </w:r>
      <w:r>
        <w:rPr>
          <w:rFonts w:hint="eastAsia" w:ascii="仿宋_GB2312" w:hAnsi="仿宋_GB2312" w:eastAsia="仿宋_GB2312" w:cs="仿宋_GB2312"/>
          <w:sz w:val="32"/>
          <w:szCs w:val="32"/>
          <w:lang w:val="en-US" w:eastAsia="zh-CN"/>
        </w:rPr>
        <w:t>面积11.59公顷，</w:t>
      </w:r>
      <w:r>
        <w:rPr>
          <w:rFonts w:hint="eastAsia" w:ascii="仿宋_GB2312" w:hAnsi="仿宋_GB2312" w:eastAsia="仿宋_GB2312" w:cs="仿宋_GB2312"/>
          <w:sz w:val="32"/>
          <w:szCs w:val="32"/>
        </w:rPr>
        <w:t>包括龙羊峡镇</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处省级文物保护单位、</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处县级文物保护单位、历史遗迹</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处以及其他不可移动文物等的保护范围和建设控制地带范围边界，按相应法律法规和批复的保护规划进行保护管理。</w:t>
      </w:r>
    </w:p>
    <w:p w14:paraId="2490EB6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强化历史文化保护空间管控与利用</w:t>
      </w:r>
    </w:p>
    <w:p w14:paraId="0C739AE2">
      <w:pPr>
        <w:pStyle w:val="7"/>
        <w:ind w:firstLine="640"/>
      </w:pPr>
      <w:r>
        <w:rPr>
          <w:rFonts w:hint="eastAsia" w:ascii="楷体_GB2312" w:hAnsi="楷体_GB2312" w:eastAsia="楷体_GB2312" w:cs="楷体_GB2312"/>
          <w:szCs w:val="32"/>
        </w:rPr>
        <w:t>线性生态人文景观廊道保护</w:t>
      </w:r>
      <w:r>
        <w:rPr>
          <w:rFonts w:hint="eastAsia" w:ascii="楷体_GB2312" w:hAnsi="楷体_GB2312" w:eastAsia="楷体_GB2312" w:cs="楷体_GB2312"/>
        </w:rPr>
        <w:t>。</w:t>
      </w:r>
      <w:r>
        <w:rPr>
          <w:rFonts w:hint="eastAsia"/>
        </w:rPr>
        <w:t>加强沿线自然景观与文化遗产整体管控，保护并恢复廊道的整体历史风貌与结构；加强沿线城镇文化旅游协同发展，增强线路展示与宣传，贯通景观休闲系统。</w:t>
      </w:r>
    </w:p>
    <w:p w14:paraId="49374B27">
      <w:pPr>
        <w:pStyle w:val="7"/>
        <w:ind w:firstLine="640"/>
        <w:rPr>
          <w:rFonts w:hint="eastAsia"/>
        </w:rPr>
      </w:pPr>
      <w:r>
        <w:rPr>
          <w:rFonts w:hint="eastAsia" w:ascii="楷体_GB2312" w:hAnsi="楷体_GB2312" w:eastAsia="楷体_GB2312" w:cs="楷体_GB2312"/>
          <w:szCs w:val="32"/>
        </w:rPr>
        <w:t>文物保护单位保护</w:t>
      </w:r>
      <w:r>
        <w:rPr>
          <w:rFonts w:hint="eastAsia" w:ascii="楷体_GB2312" w:hAnsi="楷体_GB2312" w:eastAsia="楷体_GB2312" w:cs="楷体_GB2312"/>
        </w:rPr>
        <w:t>。</w:t>
      </w:r>
      <w:r>
        <w:rPr>
          <w:rFonts w:hint="eastAsia"/>
        </w:rPr>
        <w:t>包括省级文物保护单位</w:t>
      </w:r>
      <w:r>
        <w:t>2</w:t>
      </w:r>
      <w:r>
        <w:rPr>
          <w:rFonts w:hint="eastAsia"/>
        </w:rPr>
        <w:t>处、县级文物保护单位</w:t>
      </w:r>
      <w:r>
        <w:t>1</w:t>
      </w:r>
      <w:r>
        <w:rPr>
          <w:rFonts w:hint="eastAsia"/>
        </w:rPr>
        <w:t>处、</w:t>
      </w:r>
      <w:r>
        <w:rPr>
          <w:rFonts w:hint="eastAsia" w:ascii="仿宋_GB2312" w:hAnsi="仿宋_GB2312" w:cs="仿宋_GB2312"/>
          <w:szCs w:val="32"/>
        </w:rPr>
        <w:t>历史遗迹</w:t>
      </w:r>
      <w:r>
        <w:rPr>
          <w:rFonts w:ascii="仿宋_GB2312" w:hAnsi="仿宋_GB2312" w:cs="仿宋_GB2312"/>
          <w:szCs w:val="32"/>
        </w:rPr>
        <w:t>4</w:t>
      </w:r>
      <w:r>
        <w:rPr>
          <w:rFonts w:hint="eastAsia" w:ascii="仿宋_GB2312" w:hAnsi="仿宋_GB2312" w:cs="仿宋_GB2312"/>
          <w:szCs w:val="32"/>
        </w:rPr>
        <w:t>处</w:t>
      </w:r>
      <w:r>
        <w:rPr>
          <w:rFonts w:hint="eastAsia"/>
        </w:rPr>
        <w:t>。</w:t>
      </w:r>
      <w:r>
        <w:rPr>
          <w:rFonts w:hint="eastAsia"/>
          <w:u w:val="single"/>
        </w:rPr>
        <w:t>严格遵照文物保护相关法律法规进行保护，不允许改变文物的原有状况、面貌及环境。</w:t>
      </w:r>
      <w:r>
        <w:rPr>
          <w:rFonts w:hint="eastAsia"/>
        </w:rPr>
        <w:t>如需进行必要的修缮，应在专家指导下遵循“不改变原状”的原则，做到“修旧如旧”，并严格按审核手续进行。县文物主管部门应及时公布尚未核定公布为文物保护单位的不可移动文物，不可移动文物应按照原址保护、整体保护、不改变文物原状的原则实施保护，并加强管理，继续予以登记并公布为文物保护单位。</w:t>
      </w:r>
    </w:p>
    <w:p w14:paraId="6A80F92E">
      <w:pPr>
        <w:pStyle w:val="7"/>
        <w:ind w:firstLine="640"/>
      </w:pPr>
      <w:r>
        <w:rPr>
          <w:rFonts w:hint="eastAsia" w:ascii="楷体_GB2312" w:hAnsi="楷体_GB2312" w:eastAsia="楷体_GB2312" w:cs="楷体_GB2312"/>
          <w:szCs w:val="32"/>
        </w:rPr>
        <w:t>保护传承非物质文化遗产和传统文化</w:t>
      </w:r>
      <w:r>
        <w:rPr>
          <w:rFonts w:hint="eastAsia" w:ascii="楷体_GB2312" w:hAnsi="楷体_GB2312" w:eastAsia="楷体_GB2312" w:cs="楷体_GB2312"/>
        </w:rPr>
        <w:t>。</w:t>
      </w:r>
      <w:r>
        <w:rPr>
          <w:rFonts w:hint="eastAsia"/>
        </w:rPr>
        <w:t>加强对龙羊峡镇独具特色的民俗节庆活动、民间口头文学、地方特产、特色美食、传统手工技能和表演艺术的保护。建立非物质文化遗产代表作名录体系，制定非物质文化遗产分级保护制度；积极利用活动广场，定期举办非物质文化遗产节庆活动，保护、培养非物质文化遗产的传承人；积极开发非物质文化遗产和传统文化为主要内容的旅游活动，提供小型博物馆、传统艺术表演场所、藏式餐厅、藏式旅馆等适宜的文化空间。积极利用旅游文化建设保护和推广当地非物质文化遗产。</w:t>
      </w:r>
    </w:p>
    <w:p w14:paraId="097CCD73">
      <w:pPr>
        <w:pStyle w:val="3"/>
        <w:numPr>
          <w:ilvl w:val="1"/>
          <w:numId w:val="11"/>
        </w:numPr>
        <w:spacing w:before="100" w:after="100" w:line="400" w:lineRule="exact"/>
        <w:ind w:firstLine="0"/>
        <w:jc w:val="center"/>
        <w:rPr>
          <w:rFonts w:ascii="Arial" w:hAnsi="Arial" w:eastAsia="黑体" w:cs="Times New Roman"/>
          <w:b w:val="0"/>
          <w:lang w:val="zh-CN"/>
        </w:rPr>
      </w:pPr>
      <w:bookmarkStart w:id="63" w:name="_Toc7351"/>
      <w:r>
        <w:rPr>
          <w:rFonts w:hint="eastAsia" w:ascii="Arial" w:hAnsi="Arial" w:eastAsia="黑体" w:cs="Times New Roman"/>
          <w:b w:val="0"/>
        </w:rPr>
        <w:t>美丽城镇建设与</w:t>
      </w:r>
      <w:r>
        <w:rPr>
          <w:rFonts w:hint="eastAsia" w:ascii="Arial" w:hAnsi="Arial" w:eastAsia="黑体" w:cs="Times New Roman"/>
          <w:b w:val="0"/>
          <w:lang w:val="zh-CN"/>
        </w:rPr>
        <w:t>风貌引导</w:t>
      </w:r>
      <w:bookmarkEnd w:id="63"/>
    </w:p>
    <w:p w14:paraId="27A581C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构建美丽城镇景观</w:t>
      </w:r>
    </w:p>
    <w:p w14:paraId="50BD8971">
      <w:pPr>
        <w:pStyle w:val="7"/>
        <w:ind w:firstLine="640"/>
        <w:rPr>
          <w:rFonts w:ascii="仿宋_GB2312" w:hAnsi="仿宋_GB2312" w:cs="仿宋_GB2312"/>
          <w:szCs w:val="32"/>
        </w:rPr>
      </w:pPr>
      <w:r>
        <w:rPr>
          <w:rFonts w:hint="eastAsia" w:ascii="仿宋_GB2312" w:hAnsi="仿宋_GB2312" w:cs="仿宋_GB2312"/>
          <w:szCs w:val="32"/>
        </w:rPr>
        <w:t>以全面促进共和县高原美丽城镇建设，提升城镇功能品质，创造良好的生产生活环境为规划目标，重塑龙羊峡大地景观风貌，</w:t>
      </w:r>
      <w:r>
        <w:rPr>
          <w:rFonts w:hint="eastAsia" w:ascii="仿宋_GB2312" w:hAnsi="仿宋_GB2312" w:cs="仿宋_GB2312"/>
          <w:szCs w:val="32"/>
          <w:lang w:eastAsia="zh-CN"/>
        </w:rPr>
        <w:t>实现</w:t>
      </w:r>
      <w:r>
        <w:rPr>
          <w:rFonts w:hint="eastAsia" w:ascii="仿宋_GB2312" w:hAnsi="仿宋_GB2312" w:cs="仿宋_GB2312"/>
          <w:szCs w:val="32"/>
        </w:rPr>
        <w:t>山、水、湿地、人文的交融，打造湖峡共舞、山水交融、魅力龙羊峡。</w:t>
      </w:r>
    </w:p>
    <w:p w14:paraId="799ACAC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城乡特色风貌引导与管控</w:t>
      </w:r>
    </w:p>
    <w:p w14:paraId="408B157F">
      <w:pPr>
        <w:pStyle w:val="7"/>
        <w:ind w:firstLine="640"/>
        <w:rPr>
          <w:rFonts w:ascii="仿宋_GB2312" w:hAnsi="仿宋_GB2312" w:cs="黑体"/>
        </w:rPr>
      </w:pPr>
      <w:r>
        <w:rPr>
          <w:rFonts w:hint="eastAsia" w:ascii="楷体" w:hAnsi="楷体" w:eastAsia="楷体"/>
          <w:szCs w:val="32"/>
        </w:rPr>
        <w:t>强化镇区核心引领，统领景观风貌</w:t>
      </w:r>
      <w:r>
        <w:rPr>
          <w:rFonts w:hint="eastAsia"/>
        </w:rPr>
        <w:t>。镇区应明确风貌管控范围、结构、风貌廊道、风貌节点、城市天际线等内容，在总体上要突出龙羊峡镇风貌特色元素，加强风貌协调性和可识别性。</w:t>
      </w:r>
      <w:r>
        <w:rPr>
          <w:rFonts w:hint="eastAsia"/>
          <w:lang w:val="en-US" w:eastAsia="zh-CN"/>
        </w:rPr>
        <w:t>镇区</w:t>
      </w:r>
      <w:r>
        <w:rPr>
          <w:rFonts w:hint="eastAsia" w:ascii="仿宋_GB2312" w:hAnsi="仿宋_GB2312" w:eastAsia="仿宋_GB2312" w:cs="仿宋_GB2312"/>
          <w:sz w:val="32"/>
          <w:szCs w:val="32"/>
        </w:rPr>
        <w:t>培育“工业遗产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红色文化”的</w:t>
      </w:r>
      <w:r>
        <w:rPr>
          <w:rFonts w:hint="eastAsia" w:ascii="仿宋_GB2312" w:hAnsi="仿宋_GB2312" w:eastAsia="仿宋_GB2312" w:cs="仿宋_GB2312"/>
          <w:sz w:val="32"/>
          <w:szCs w:val="32"/>
          <w:lang w:val="en-US" w:eastAsia="zh-CN"/>
        </w:rPr>
        <w:t>特色</w:t>
      </w:r>
      <w:r>
        <w:rPr>
          <w:rFonts w:hint="eastAsia" w:ascii="仿宋_GB2312" w:hAnsi="仿宋_GB2312" w:eastAsia="仿宋_GB2312" w:cs="仿宋_GB2312"/>
          <w:sz w:val="32"/>
          <w:szCs w:val="32"/>
        </w:rPr>
        <w:t>城镇风貌。展现“时代风范、地域特色”，建筑风格以</w:t>
      </w:r>
      <w:r>
        <w:rPr>
          <w:rFonts w:hint="eastAsia" w:ascii="仿宋_GB2312" w:hAnsi="仿宋_GB2312" w:eastAsia="仿宋_GB2312" w:cs="仿宋_GB2312"/>
          <w:sz w:val="32"/>
          <w:szCs w:val="32"/>
          <w:lang w:val="en-US" w:eastAsia="zh-CN"/>
        </w:rPr>
        <w:t>工业怀旧</w:t>
      </w:r>
      <w:r>
        <w:rPr>
          <w:rFonts w:hint="eastAsia" w:ascii="仿宋_GB2312" w:hAnsi="仿宋_GB2312" w:eastAsia="仿宋_GB2312" w:cs="仿宋_GB2312"/>
          <w:sz w:val="32"/>
          <w:szCs w:val="32"/>
        </w:rPr>
        <w:t>风貌为主，鼓励传统建筑风格的现代演绎，简约大气，彰显时代感。依托龙羊峡水库特色资源，加强历史文化保护与传承，培育文化旅游功能业态，彰显省级历史文化名镇魅力。公共建筑以工业复古风公共建筑基本特征为基础，以怀旧感、机械风去表现时代精神</w:t>
      </w:r>
      <w:r>
        <w:rPr>
          <w:rFonts w:hint="eastAsia" w:ascii="仿宋_GB2312" w:hAnsi="仿宋_GB2312" w:cs="黑体"/>
        </w:rPr>
        <w:t>。乡村地区依托龙羊峡镇的生态本底以及民俗文化，以生态保护为重点，保留</w:t>
      </w:r>
      <w:r>
        <w:rPr>
          <w:rFonts w:hint="eastAsia" w:ascii="仿宋_GB2312" w:hAnsi="仿宋_GB2312" w:cs="黑体"/>
          <w:lang w:val="en-US" w:eastAsia="zh-CN"/>
        </w:rPr>
        <w:t>原</w:t>
      </w:r>
      <w:r>
        <w:rPr>
          <w:rFonts w:hint="eastAsia" w:ascii="仿宋_GB2312" w:hAnsi="仿宋_GB2312" w:cs="黑体"/>
        </w:rPr>
        <w:t>有的居民风貌和牧区原生态格局，打造传统风貌区。在生态休闲部分突出“尺度小巧、有机组团”，布局体现依山傍水的小尺度、多组团、自由聚落肌理，严格控制建筑体量。</w:t>
      </w:r>
    </w:p>
    <w:p w14:paraId="7444503A">
      <w:pPr>
        <w:pStyle w:val="7"/>
        <w:ind w:firstLine="640"/>
      </w:pPr>
      <w:r>
        <w:rPr>
          <w:rFonts w:hint="eastAsia" w:ascii="楷体" w:hAnsi="楷体" w:eastAsia="楷体"/>
          <w:szCs w:val="32"/>
        </w:rPr>
        <w:t>打造魅力景观带，展现独特资源禀赋</w:t>
      </w:r>
      <w:r>
        <w:rPr>
          <w:rFonts w:hint="eastAsia"/>
        </w:rPr>
        <w:t>。依托龙羊峡水库独特的资源禀赋，塑造黄河北岸人文景观带，展现龙羊峡镇丰富的自然和人文景观。</w:t>
      </w:r>
    </w:p>
    <w:p w14:paraId="53EB55BD">
      <w:r>
        <w:rPr>
          <w:rFonts w:hint="eastAsia"/>
        </w:rPr>
        <w:br w:type="page"/>
      </w:r>
    </w:p>
    <w:p w14:paraId="6FC57B8E">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64" w:name="_Toc24174"/>
      <w:r>
        <w:rPr>
          <w:rFonts w:hint="eastAsia" w:ascii="Times New Roman" w:hAnsi="Times New Roman" w:eastAsia="方正小标宋简体" w:cs="Times New Roman"/>
          <w:b w:val="0"/>
          <w:bCs w:val="0"/>
          <w:sz w:val="36"/>
          <w:szCs w:val="36"/>
        </w:rPr>
        <w:t>强化空间统筹，保障重大基础设施建设</w:t>
      </w:r>
      <w:bookmarkEnd w:id="64"/>
    </w:p>
    <w:p w14:paraId="4797C135">
      <w:pPr>
        <w:pStyle w:val="3"/>
        <w:numPr>
          <w:ilvl w:val="1"/>
          <w:numId w:val="12"/>
        </w:numPr>
        <w:spacing w:before="100" w:after="100" w:line="400" w:lineRule="exact"/>
        <w:ind w:firstLine="0"/>
        <w:jc w:val="center"/>
        <w:rPr>
          <w:rFonts w:ascii="Arial" w:hAnsi="Arial" w:eastAsia="黑体" w:cs="Times New Roman"/>
          <w:b w:val="0"/>
        </w:rPr>
      </w:pPr>
      <w:bookmarkStart w:id="65" w:name="_Toc13018"/>
      <w:r>
        <w:rPr>
          <w:rFonts w:hint="eastAsia" w:ascii="Arial" w:hAnsi="Arial" w:eastAsia="黑体" w:cs="Times New Roman"/>
          <w:b w:val="0"/>
        </w:rPr>
        <w:t>优化综合（立体）交通和物流网络布局</w:t>
      </w:r>
      <w:bookmarkEnd w:id="65"/>
    </w:p>
    <w:p w14:paraId="5AE569F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构建综合交通体系</w:t>
      </w:r>
    </w:p>
    <w:p w14:paraId="57933118">
      <w:pPr>
        <w:pStyle w:val="7"/>
        <w:ind w:firstLine="640"/>
        <w:rPr>
          <w:rFonts w:ascii="仿宋_GB2312" w:hAnsi="仿宋_GB2312" w:cs="仿宋_GB2312"/>
          <w:szCs w:val="32"/>
        </w:rPr>
      </w:pPr>
      <w:r>
        <w:rPr>
          <w:rFonts w:hint="eastAsia" w:ascii="楷体_GB2312" w:hAnsi="楷体_GB2312" w:eastAsia="楷体_GB2312" w:cs="楷体_GB2312"/>
          <w:szCs w:val="32"/>
        </w:rPr>
        <w:t>加快构建综合交通运输体系</w:t>
      </w:r>
      <w:r>
        <w:rPr>
          <w:rFonts w:hint="eastAsia" w:ascii="楷体_GB2312" w:hAnsi="楷体_GB2312" w:eastAsia="楷体_GB2312" w:cs="楷体_GB2312"/>
          <w:szCs w:val="32"/>
          <w:lang w:eastAsia="zh-CN"/>
        </w:rPr>
        <w:t>。</w:t>
      </w:r>
      <w:r>
        <w:rPr>
          <w:rFonts w:hint="eastAsia" w:ascii="仿宋_GB2312" w:hAnsi="仿宋_GB2312" w:cs="仿宋_GB2312"/>
          <w:szCs w:val="32"/>
        </w:rPr>
        <w:t>公路提升现代化水平、</w:t>
      </w:r>
      <w:r>
        <w:rPr>
          <w:rFonts w:hint="eastAsia"/>
        </w:rPr>
        <w:t>增强航空客运便捷性、提升水运交通综合运输能力</w:t>
      </w:r>
      <w:r>
        <w:rPr>
          <w:rFonts w:hint="eastAsia" w:ascii="仿宋_GB2312" w:hAnsi="仿宋_GB2312" w:cs="仿宋_GB2312"/>
          <w:szCs w:val="32"/>
        </w:rPr>
        <w:t>，基本形成以水运、高速公路和国省干线公路为骨架、农村公路为基础的多层次、便捷化的现代化综合立体交通网络。</w:t>
      </w:r>
      <w:r>
        <w:rPr>
          <w:rFonts w:hint="eastAsia" w:ascii="仿宋_GB2312" w:hAnsi="仿宋_GB2312" w:eastAsia="仿宋_GB2312" w:cs="仿宋_GB2312"/>
          <w:sz w:val="32"/>
          <w:szCs w:val="32"/>
          <w:lang w:val="zh-CN"/>
        </w:rPr>
        <w:t>加快推进龙羊峡</w:t>
      </w:r>
      <w:r>
        <w:rPr>
          <w:rFonts w:hint="eastAsia" w:ascii="仿宋_GB2312" w:hAnsi="仿宋_GB2312" w:eastAsia="仿宋_GB2312" w:cs="仿宋_GB2312"/>
          <w:sz w:val="32"/>
          <w:szCs w:val="32"/>
          <w:lang w:val="en-US" w:eastAsia="zh-CN"/>
        </w:rPr>
        <w:t>低空飞行项目建设</w:t>
      </w:r>
      <w:r>
        <w:rPr>
          <w:rFonts w:hint="eastAsia" w:ascii="仿宋_GB2312" w:hAnsi="仿宋_GB2312" w:eastAsia="仿宋_GB2312" w:cs="仿宋_GB2312"/>
          <w:sz w:val="32"/>
          <w:szCs w:val="32"/>
          <w:lang w:val="zh-CN"/>
        </w:rPr>
        <w:t>前期工作，积极配合共和</w:t>
      </w:r>
      <w:r>
        <w:rPr>
          <w:rFonts w:hint="eastAsia" w:ascii="仿宋_GB2312" w:hAnsi="仿宋_GB2312" w:eastAsia="仿宋_GB2312" w:cs="仿宋_GB2312"/>
          <w:sz w:val="32"/>
          <w:szCs w:val="32"/>
          <w:lang w:val="en-US" w:eastAsia="zh-CN"/>
        </w:rPr>
        <w:t>发展低空经济</w:t>
      </w:r>
      <w:r>
        <w:rPr>
          <w:rFonts w:hint="eastAsia" w:ascii="仿宋_GB2312" w:hAnsi="仿宋_GB2312" w:eastAsia="仿宋_GB2312" w:cs="仿宋_GB2312"/>
          <w:sz w:val="32"/>
          <w:szCs w:val="32"/>
          <w:lang w:val="zh-CN"/>
        </w:rPr>
        <w:t>。</w:t>
      </w:r>
      <w:r>
        <w:rPr>
          <w:rFonts w:hint="eastAsia" w:ascii="仿宋_GB2312" w:hAnsi="仿宋_GB2312" w:cs="仿宋_GB2312"/>
          <w:szCs w:val="32"/>
        </w:rPr>
        <w:t>进一步促进兰西城市群交通一体化发展和泛共和盆地区域协调发展，逐步形成完善的综合立体交通网。</w:t>
      </w:r>
    </w:p>
    <w:p w14:paraId="3588AC7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提质增效建设高标准公路网络</w:t>
      </w:r>
    </w:p>
    <w:p w14:paraId="2D34642C">
      <w:pPr>
        <w:pStyle w:val="7"/>
        <w:ind w:firstLine="640"/>
        <w:rPr>
          <w:rFonts w:ascii="仿宋_GB2312" w:hAnsi="仿宋_GB2312" w:cs="仿宋_GB2312"/>
          <w:szCs w:val="32"/>
        </w:rPr>
      </w:pPr>
      <w:r>
        <w:rPr>
          <w:rFonts w:hint="eastAsia" w:ascii="仿宋_GB2312" w:hAnsi="仿宋_GB2312" w:cs="仿宋_GB2312"/>
          <w:szCs w:val="32"/>
        </w:rPr>
        <w:t>确立公路汇聚、交通串联、方便快捷的整体目标。加强交通运输体系建设与管理，提高各种对外交通运输整体联运效能。龙羊峡镇镇域道路由铁路、国道、县道和乡道构成，形成公路、航空、水运等各种运输方式协调发展的综合交通运输体系。</w:t>
      </w:r>
    </w:p>
    <w:p w14:paraId="30CB337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统筹一体高质量发展城乡公交</w:t>
      </w:r>
    </w:p>
    <w:p w14:paraId="0DCE6C1F">
      <w:pPr>
        <w:pStyle w:val="7"/>
        <w:ind w:firstLine="640"/>
        <w:rPr>
          <w:rFonts w:hint="eastAsia" w:ascii="仿宋_GB2312" w:hAnsi="仿宋_GB2312" w:cs="仿宋_GB2312"/>
          <w:szCs w:val="32"/>
        </w:rPr>
      </w:pPr>
      <w:r>
        <w:rPr>
          <w:rFonts w:hint="eastAsia" w:ascii="仿宋_GB2312" w:hAnsi="仿宋_GB2312" w:cs="仿宋_GB2312"/>
          <w:szCs w:val="32"/>
        </w:rPr>
        <w:t>以城乡公交—体化发展为目标，推动城乡公交提质增效，拓展通达深度、发车频率和服务效率。</w:t>
      </w:r>
      <w:bookmarkStart w:id="66" w:name="_Hlk155187357"/>
      <w:r>
        <w:rPr>
          <w:rFonts w:hint="eastAsia" w:ascii="仿宋_GB2312" w:hAnsi="仿宋_GB2312" w:cs="仿宋_GB2312"/>
          <w:szCs w:val="32"/>
        </w:rPr>
        <w:t>推进交旅设施融合发展，逐步完善交通设施，优化公交线网和场站布局，加快充电设施建设，加快补齐城镇公交设施短板，提升改造现状龙羊峡站综合客运中心，建设公交港湾、公共停车场等，提升公共交通转换效率。依托龙羊峡景区景观节点，重点打造自助（驾）游租赁服务体系，推动城乡公交高质量发展，促进交旅融合良性互动。</w:t>
      </w:r>
      <w:bookmarkEnd w:id="66"/>
    </w:p>
    <w:p w14:paraId="2D91475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highlight w:val="none"/>
          <w:lang w:val="en-US" w:eastAsia="zh-CN"/>
        </w:rPr>
      </w:pPr>
      <w:r>
        <w:rPr>
          <w:rFonts w:hint="eastAsia" w:ascii="楷体_GB2312" w:hAnsi="Times New Roman" w:eastAsia="楷体_GB2312" w:cs="Times New Roman"/>
          <w:bCs/>
          <w:sz w:val="32"/>
          <w:szCs w:val="32"/>
          <w:highlight w:val="none"/>
          <w:lang w:val="en-US" w:eastAsia="zh-CN"/>
        </w:rPr>
        <w:t>完善村庄道路网</w:t>
      </w:r>
    </w:p>
    <w:p w14:paraId="513A46BC">
      <w:pPr>
        <w:pStyle w:val="7"/>
        <w:ind w:firstLine="640"/>
        <w:rPr>
          <w:rFonts w:hint="eastAsia" w:ascii="仿宋_GB2312" w:hAnsi="仿宋_GB2312" w:cs="仿宋_GB2312"/>
          <w:szCs w:val="32"/>
        </w:rPr>
      </w:pPr>
      <w:r>
        <w:rPr>
          <w:rFonts w:hint="eastAsia" w:ascii="仿宋_GB2312" w:hAnsi="仿宋_GB2312" w:cs="仿宋_GB2312"/>
          <w:szCs w:val="32"/>
          <w:lang w:val="en-US" w:eastAsia="zh-CN"/>
        </w:rPr>
        <w:t>至规划期末，形成内外联通的乡村道路网。</w:t>
      </w:r>
      <w:r>
        <w:rPr>
          <w:rFonts w:hint="eastAsia" w:ascii="仿宋_GB2312" w:hAnsi="仿宋_GB2312" w:cs="仿宋_GB2312"/>
          <w:szCs w:val="32"/>
        </w:rPr>
        <w:t>修复和改善现有破损严重的道路，提高道路平整度和通行安全性，确保居民日常出行和农牧业生产运输基本顺畅。加强与周边主要交通节点的连接，提升道路网的连通性，初步缓解交通拥堵状况。</w:t>
      </w:r>
    </w:p>
    <w:p w14:paraId="4EBAE2D9">
      <w:pPr>
        <w:pStyle w:val="7"/>
        <w:ind w:firstLine="640"/>
        <w:rPr>
          <w:rFonts w:hint="eastAsia" w:ascii="仿宋_GB2312" w:hAnsi="仿宋_GB2312" w:cs="仿宋_GB2312"/>
          <w:szCs w:val="32"/>
        </w:rPr>
      </w:pPr>
      <w:r>
        <w:rPr>
          <w:rFonts w:hint="eastAsia" w:ascii="仿宋_GB2312" w:hAnsi="仿宋_GB2312" w:cs="仿宋_GB2312"/>
          <w:szCs w:val="32"/>
          <w:lang w:val="en-US" w:eastAsia="zh-CN"/>
        </w:rPr>
        <w:t>规划城镇村道路红线宽度6米。路面材料可采用水泥混凝土或沥青混凝土。道路两侧设置完善的排水系统和路灯设施，交通安全标识齐全。</w:t>
      </w:r>
    </w:p>
    <w:p w14:paraId="1ACE4E02">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多式协同完善现代化物流体系</w:t>
      </w:r>
    </w:p>
    <w:p w14:paraId="7D960E6B">
      <w:pPr>
        <w:pStyle w:val="7"/>
        <w:ind w:firstLine="640"/>
        <w:rPr>
          <w:rFonts w:ascii="仿宋_GB2312" w:hAnsi="仿宋_GB2312" w:cs="仿宋_GB2312"/>
          <w:szCs w:val="32"/>
        </w:rPr>
      </w:pPr>
      <w:r>
        <w:rPr>
          <w:rFonts w:hint="eastAsia" w:ascii="楷体_GB2312" w:hAnsi="楷体_GB2312" w:eastAsia="楷体_GB2312" w:cs="楷体_GB2312"/>
          <w:szCs w:val="32"/>
        </w:rPr>
        <w:t>构建完善的物流运输网络。</w:t>
      </w:r>
      <w:r>
        <w:rPr>
          <w:rFonts w:hint="eastAsia" w:ascii="仿宋_GB2312" w:hAnsi="仿宋_GB2312" w:cs="仿宋_GB2312"/>
          <w:szCs w:val="32"/>
        </w:rPr>
        <w:t>结合县域城镇物流体系规划，加快建设龙羊峡镇专业物流中心，在镇区设置一处物流集散点。依托覆盖镇域的综合立体交通网，构建公路为主的物流运输网络。</w:t>
      </w:r>
    </w:p>
    <w:p w14:paraId="398EB6D4">
      <w:pPr>
        <w:pStyle w:val="7"/>
        <w:ind w:firstLine="640"/>
        <w:rPr>
          <w:rFonts w:ascii="仿宋_GB2312" w:hAnsi="仿宋_GB2312" w:cs="仿宋_GB2312"/>
          <w:szCs w:val="32"/>
        </w:rPr>
      </w:pPr>
      <w:r>
        <w:rPr>
          <w:rFonts w:hint="eastAsia" w:ascii="楷体_GB2312" w:hAnsi="楷体_GB2312" w:eastAsia="楷体_GB2312" w:cs="楷体_GB2312"/>
          <w:szCs w:val="32"/>
        </w:rPr>
        <w:t>完善乡村物流配送网络。</w:t>
      </w:r>
      <w:r>
        <w:rPr>
          <w:rFonts w:hint="eastAsia" w:ascii="仿宋_GB2312" w:hAnsi="仿宋_GB2312" w:cs="仿宋_GB2312"/>
          <w:szCs w:val="32"/>
        </w:rPr>
        <w:t>加快推进农村生产生活资料配送网络建设，完善乡（镇）、村两级农村物流配送体系，有效解决乡村物流“最后一公里”问题。鼓励邮政和快递服务网点合作，推动客运班线代运货邮小件，实现优势互补，拓展服务范围。</w:t>
      </w:r>
    </w:p>
    <w:p w14:paraId="778EE98E">
      <w:pPr>
        <w:pStyle w:val="3"/>
        <w:numPr>
          <w:ilvl w:val="1"/>
          <w:numId w:val="12"/>
        </w:numPr>
        <w:spacing w:before="100" w:after="100" w:line="400" w:lineRule="exact"/>
        <w:ind w:firstLine="0"/>
        <w:jc w:val="center"/>
        <w:rPr>
          <w:rFonts w:ascii="Arial" w:hAnsi="Arial" w:eastAsia="黑体" w:cs="Times New Roman"/>
          <w:b w:val="0"/>
        </w:rPr>
      </w:pPr>
      <w:bookmarkStart w:id="67" w:name="_Toc24530"/>
      <w:r>
        <w:rPr>
          <w:rFonts w:hint="eastAsia" w:ascii="Arial" w:hAnsi="Arial" w:eastAsia="黑体" w:cs="Times New Roman"/>
          <w:b w:val="0"/>
        </w:rPr>
        <w:t>构建安全可靠水利基础设施网络</w:t>
      </w:r>
      <w:bookmarkEnd w:id="67"/>
    </w:p>
    <w:p w14:paraId="428CF8FC">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镇村水利工程</w:t>
      </w:r>
    </w:p>
    <w:p w14:paraId="00A5749A">
      <w:pPr>
        <w:pStyle w:val="7"/>
        <w:ind w:firstLine="640"/>
        <w:rPr>
          <w:rFonts w:hint="eastAsia" w:ascii="仿宋_GB2312" w:hAnsi="仿宋_GB2312" w:cs="仿宋_GB2312"/>
          <w:szCs w:val="32"/>
        </w:rPr>
      </w:pPr>
      <w:r>
        <w:rPr>
          <w:rFonts w:hint="eastAsia" w:ascii="仿宋_GB2312" w:hAnsi="仿宋_GB2312" w:cs="仿宋_GB2312"/>
          <w:szCs w:val="32"/>
        </w:rPr>
        <w:t>提高水资源保障能力，坚守水资源开发利用控制、用水效率控制、水功能区限制纳污的“三条红线”。改善水资源供给现状，提高用水保障。</w:t>
      </w:r>
    </w:p>
    <w:p w14:paraId="4214AC89">
      <w:pPr>
        <w:pStyle w:val="7"/>
        <w:ind w:firstLine="640"/>
        <w:rPr>
          <w:rFonts w:hint="eastAsia" w:ascii="仿宋_GB2312" w:hAnsi="仿宋_GB2312" w:cs="仿宋_GB2312"/>
          <w:szCs w:val="32"/>
        </w:rPr>
      </w:pPr>
      <w:r>
        <w:rPr>
          <w:rFonts w:hint="eastAsia" w:ascii="仿宋_GB2312" w:hAnsi="仿宋_GB2312" w:cs="仿宋_GB2312"/>
          <w:szCs w:val="32"/>
        </w:rPr>
        <w:t>做好龙羊峡国家良好湖泊生态环境保护。继续实施好龙羊峡水库生态环境保护项目，通过实施规范化水源地建设、生态环境保护、污染源治理、生态安全调查以及环境监管能力建设等污染防治和生态保护防治工程，实现稳定保持龙羊峡水库及黄河上游地区Ⅱ类水质，为黄河中下游地区社会经济发展提供良好的水质保障。</w:t>
      </w:r>
    </w:p>
    <w:p w14:paraId="7AD6B6AB">
      <w:pPr>
        <w:pStyle w:val="7"/>
        <w:ind w:firstLine="640"/>
        <w:rPr>
          <w:rFonts w:hint="eastAsia" w:ascii="仿宋_GB2312" w:hAnsi="仿宋_GB2312" w:cs="仿宋_GB2312"/>
          <w:szCs w:val="32"/>
        </w:rPr>
      </w:pPr>
      <w:r>
        <w:rPr>
          <w:rFonts w:hint="eastAsia" w:ascii="仿宋_GB2312" w:hAnsi="仿宋_GB2312" w:cs="仿宋_GB2312"/>
          <w:szCs w:val="32"/>
        </w:rPr>
        <w:t>严格落实国务院公布的“水十条”，统筹推进水环境保护、水生态修复、水污染治理。加强水源水、出厂水、管网水、末梢水的全过程管理；突出抓好环湖流域和龙羊峡库区环保问题治理；抓好饮用水水源地保护，保障水源水质稳定达标。</w:t>
      </w:r>
    </w:p>
    <w:p w14:paraId="27A82282">
      <w:pPr>
        <w:pStyle w:val="7"/>
        <w:ind w:firstLine="640"/>
        <w:rPr>
          <w:rFonts w:ascii="仿宋_GB2312" w:hAnsi="仿宋_GB2312" w:cs="仿宋_GB2312"/>
          <w:szCs w:val="32"/>
        </w:rPr>
      </w:pPr>
      <w:r>
        <w:rPr>
          <w:rFonts w:hint="eastAsia" w:ascii="仿宋_GB2312" w:hAnsi="仿宋_GB2312" w:cs="仿宋_GB2312"/>
          <w:szCs w:val="32"/>
        </w:rPr>
        <w:t>突出抓好龙羊峡库区环保问题治理；实施水源地综合整治。实施城镇污水处理提质增效行动，梯次推进农牧区生活污水治理。</w:t>
      </w:r>
    </w:p>
    <w:p w14:paraId="3E1953D0">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流域综合治理工程</w:t>
      </w:r>
    </w:p>
    <w:p w14:paraId="59036212">
      <w:pPr>
        <w:pStyle w:val="7"/>
        <w:ind w:firstLine="640"/>
        <w:rPr>
          <w:rFonts w:ascii="仿宋_GB2312" w:hAnsi="仿宋_GB2312" w:cs="仿宋_GB2312"/>
          <w:szCs w:val="32"/>
        </w:rPr>
      </w:pPr>
      <w:r>
        <w:rPr>
          <w:rFonts w:hint="eastAsia" w:ascii="仿宋_GB2312" w:hAnsi="仿宋_GB2312" w:cs="仿宋_GB2312"/>
          <w:szCs w:val="32"/>
        </w:rPr>
        <w:t>统筹推进小流域综合治理，以小流域为单元，完善流域水土流失综合防护体系，开展生态清洁小流域建设，保障龙羊峡良好湖泊生态治理及库区水土流失治理工程、黄河流域生态保护综合用地。构建生态优美、生活宜居的生态环境。</w:t>
      </w:r>
    </w:p>
    <w:p w14:paraId="69BCAF2A">
      <w:pPr>
        <w:pStyle w:val="3"/>
        <w:numPr>
          <w:ilvl w:val="1"/>
          <w:numId w:val="12"/>
        </w:numPr>
        <w:spacing w:before="100" w:after="100" w:line="400" w:lineRule="exact"/>
        <w:ind w:firstLine="0"/>
        <w:jc w:val="center"/>
        <w:rPr>
          <w:rFonts w:ascii="Arial" w:hAnsi="Arial" w:eastAsia="黑体" w:cs="Times New Roman"/>
          <w:b w:val="0"/>
        </w:rPr>
      </w:pPr>
      <w:bookmarkStart w:id="68" w:name="_Toc13667"/>
      <w:r>
        <w:rPr>
          <w:rFonts w:hint="eastAsia" w:ascii="Arial" w:hAnsi="Arial" w:eastAsia="黑体" w:cs="Times New Roman"/>
          <w:b w:val="0"/>
        </w:rPr>
        <w:t>保障国家清洁能源产业高地建设</w:t>
      </w:r>
      <w:bookmarkEnd w:id="68"/>
    </w:p>
    <w:p w14:paraId="27DA4AE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能源利用</w:t>
      </w:r>
    </w:p>
    <w:p w14:paraId="24E6F1CF">
      <w:pPr>
        <w:pStyle w:val="7"/>
        <w:ind w:firstLine="640"/>
        <w:rPr>
          <w:rFonts w:ascii="仿宋_GB2312" w:hAnsi="仿宋_GB2312" w:cs="仿宋_GB2312"/>
          <w:szCs w:val="32"/>
        </w:rPr>
      </w:pPr>
      <w:r>
        <w:rPr>
          <w:rFonts w:hint="eastAsia" w:ascii="仿宋_GB2312" w:hAnsi="仿宋_GB2312" w:cs="仿宋_GB2312"/>
          <w:szCs w:val="32"/>
        </w:rPr>
        <w:t>大力倡导绿色价值观，坚持节约优先理念，树立节约集约循环利用的资源观，加快推动生产方式、生活方式绿色化，扩大水能、太阳能、风能等清洁能源开发利用规模。</w:t>
      </w:r>
    </w:p>
    <w:p w14:paraId="4F015A4A">
      <w:pPr>
        <w:pStyle w:val="7"/>
        <w:ind w:firstLine="640"/>
        <w:rPr>
          <w:rFonts w:ascii="仿宋_GB2312" w:hAnsi="仿宋_GB2312" w:cs="仿宋_GB2312"/>
          <w:szCs w:val="32"/>
        </w:rPr>
      </w:pPr>
      <w:r>
        <w:rPr>
          <w:rFonts w:hint="eastAsia" w:ascii="仿宋_GB2312" w:hAnsi="仿宋_GB2312" w:cs="仿宋_GB2312"/>
          <w:szCs w:val="32"/>
        </w:rPr>
        <w:t>探索“清洁能源+生态+畜牧业+惠民+旅游”发展模式，重点开展清洁能源与改善生态环境、清洁能源与精准扶贫和清洁能源发电区域全覆盖的示范工作，实现清洁能源高效应用，打造清洁能源可持续利用示范样板。完善清洁能源可持续利用服务体系推动清洁能源产业科技服务平台建设，建设清洁能源智能化服务体系。清洁能源市场化、产业化，龙羊峡镇农牧区采取清洁供暖工程和电采暖工程。</w:t>
      </w:r>
    </w:p>
    <w:p w14:paraId="0A45406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能源用地引导与管控</w:t>
      </w:r>
    </w:p>
    <w:p w14:paraId="5CEFF8C1">
      <w:pPr>
        <w:pStyle w:val="7"/>
        <w:ind w:firstLine="640"/>
        <w:rPr>
          <w:rFonts w:ascii="仿宋_GB2312" w:hAnsi="仿宋_GB2312" w:cs="仿宋_GB2312"/>
          <w:szCs w:val="32"/>
        </w:rPr>
      </w:pPr>
      <w:r>
        <w:rPr>
          <w:rFonts w:hint="eastAsia" w:ascii="仿宋_GB2312" w:hAnsi="仿宋_GB2312" w:cs="仿宋_GB2312"/>
          <w:szCs w:val="32"/>
        </w:rPr>
        <w:t>综合太阳能资源分布、风能资源分布、生态保护红线分布、耕地和永久基本农田分布、草地资源分布及沙地裸土地裸岩石硕地分布、沙地禁封区分布等因素，并结合共和县清洁能源发展规划可利用清洁能源用地。</w:t>
      </w:r>
    </w:p>
    <w:p w14:paraId="74FB3D0F">
      <w:pPr>
        <w:pStyle w:val="7"/>
        <w:ind w:firstLine="640"/>
        <w:rPr>
          <w:rFonts w:ascii="仿宋_GB2312" w:hAnsi="仿宋_GB2312" w:cs="仿宋_GB2312"/>
          <w:szCs w:val="32"/>
        </w:rPr>
      </w:pPr>
      <w:r>
        <w:rPr>
          <w:rFonts w:hint="eastAsia" w:ascii="仿宋_GB2312" w:hAnsi="仿宋_GB2312" w:cs="仿宋_GB2312"/>
          <w:szCs w:val="32"/>
        </w:rPr>
        <w:t>新能源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清洁能源用地引导线以外不宜布局集中分布的风电、光电项目，新能源项目立项、勘察设计阶段，可根据实际情况修改控制引导线边界。项目落地原则上按照优先发展区、引导发展区、控制引导区的优先顺序进行选址。项目永久性建(构)筑、光伏(风电)阵列基座和硬化土地等改变原土地形态的用地部分配置年度新增建设用地计划指标，并依法按建设用地办理手续。</w:t>
      </w:r>
    </w:p>
    <w:p w14:paraId="07D9F52B">
      <w:pPr>
        <w:pStyle w:val="3"/>
        <w:numPr>
          <w:ilvl w:val="1"/>
          <w:numId w:val="12"/>
        </w:numPr>
        <w:spacing w:before="100" w:after="100" w:line="400" w:lineRule="exact"/>
        <w:ind w:firstLine="0"/>
        <w:jc w:val="center"/>
        <w:rPr>
          <w:rFonts w:ascii="Arial" w:hAnsi="Arial" w:eastAsia="黑体" w:cs="Times New Roman"/>
          <w:b w:val="0"/>
        </w:rPr>
      </w:pPr>
      <w:bookmarkStart w:id="69" w:name="_Toc19892"/>
      <w:r>
        <w:rPr>
          <w:rFonts w:hint="eastAsia" w:ascii="Arial" w:hAnsi="Arial" w:eastAsia="黑体" w:cs="Times New Roman"/>
          <w:b w:val="0"/>
        </w:rPr>
        <w:t>推进绿色矿业建设</w:t>
      </w:r>
      <w:bookmarkEnd w:id="69"/>
    </w:p>
    <w:p w14:paraId="482725E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加快推进绿色矿山建设</w:t>
      </w:r>
    </w:p>
    <w:p w14:paraId="25CDAA0D">
      <w:pPr>
        <w:pStyle w:val="7"/>
        <w:ind w:firstLine="640"/>
        <w:rPr>
          <w:rFonts w:ascii="仿宋_GB2312" w:hAnsi="仿宋_GB2312" w:cs="仿宋_GB2312"/>
          <w:szCs w:val="32"/>
        </w:rPr>
      </w:pPr>
      <w:r>
        <w:rPr>
          <w:rFonts w:hint="eastAsia" w:ascii="仿宋_GB2312" w:hAnsi="仿宋_GB2312" w:cs="仿宋_GB2312"/>
          <w:szCs w:val="32"/>
        </w:rPr>
        <w:t>积极响应省级规划绿色矿业发展要求，加快转变矿业发展方式，按照“政府组织、部门协作、企业主体、公众参与、共同推进”的原则，以建设绿色矿山、逐步形成绿色矿业发展示范区为目标，把绿色发展理念和绿色矿山建设要求贯穿到矿山规划、设计、建设、运营和闭坑全过程，努力形成开采方式科学、资源利用高效、企业管理规范、生产工艺环保、矿山环境优美、矿山社区和谐的绿色矿业发展模式。力争到2035年，绿色矿山比例达</w:t>
      </w:r>
      <w:r>
        <w:rPr>
          <w:rFonts w:hint="eastAsia" w:ascii="仿宋_GB2312" w:hAnsi="仿宋_GB2312" w:cs="仿宋_GB2312"/>
          <w:szCs w:val="32"/>
          <w:lang w:val="en-US" w:eastAsia="zh-CN"/>
        </w:rPr>
        <w:t>到县级下发指标要求</w:t>
      </w:r>
      <w:r>
        <w:rPr>
          <w:rFonts w:hint="eastAsia" w:ascii="仿宋_GB2312" w:hAnsi="仿宋_GB2312" w:cs="仿宋_GB2312"/>
          <w:szCs w:val="32"/>
        </w:rPr>
        <w:t>，做到资源集约节约利用水平显著提高，矿山地质环境得到有效保护和治理，矿区土地复垦水平全面提升，矿山企业与地方和谐发展。</w:t>
      </w:r>
    </w:p>
    <w:p w14:paraId="498FCAB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加强矿产资源保护</w:t>
      </w:r>
    </w:p>
    <w:p w14:paraId="413A78AD">
      <w:pPr>
        <w:pStyle w:val="7"/>
        <w:ind w:firstLine="640"/>
        <w:rPr>
          <w:rFonts w:ascii="仿宋_GB2312" w:hAnsi="仿宋_GB2312" w:cs="仿宋_GB2312"/>
          <w:szCs w:val="32"/>
        </w:rPr>
      </w:pPr>
      <w:r>
        <w:rPr>
          <w:rFonts w:hint="eastAsia" w:ascii="仿宋_GB2312" w:hAnsi="仿宋_GB2312" w:cs="仿宋_GB2312"/>
          <w:szCs w:val="32"/>
        </w:rPr>
        <w:t>按照资源合理利用与保护相统一、资源开发与环境保护相协调的原则，统筹矿产资源规划，处理好地上与地下、矿产资源勘查开采与生态保护红线及永久基本农田等控制线的关系，优化矿产资源开采布局。加强对达不到开发要求的矿产资源和矿产开发过程中共生、伴生的尚难利用的资源的保护。促进矿产资源开发与矿山地质环境保护协调发展，最大限度地减少或避免在建矿山、生产矿山和关闭矿山因矿产开采形成的地质灾害、环境污染和生态破坏。</w:t>
      </w:r>
    </w:p>
    <w:p w14:paraId="7A740C5A">
      <w:pPr>
        <w:pStyle w:val="3"/>
        <w:numPr>
          <w:ilvl w:val="1"/>
          <w:numId w:val="12"/>
        </w:numPr>
        <w:spacing w:before="100" w:after="100" w:line="400" w:lineRule="exact"/>
        <w:ind w:firstLine="0"/>
        <w:jc w:val="center"/>
        <w:rPr>
          <w:rFonts w:ascii="Arial" w:hAnsi="Arial" w:eastAsia="黑体" w:cs="Times New Roman"/>
          <w:b w:val="0"/>
        </w:rPr>
      </w:pPr>
      <w:bookmarkStart w:id="70" w:name="_Toc28259"/>
      <w:r>
        <w:rPr>
          <w:rFonts w:hint="eastAsia" w:ascii="Arial" w:hAnsi="Arial" w:eastAsia="黑体" w:cs="Times New Roman"/>
          <w:b w:val="0"/>
        </w:rPr>
        <w:t>系统布局新型基础设施</w:t>
      </w:r>
      <w:bookmarkEnd w:id="70"/>
    </w:p>
    <w:p w14:paraId="3BAA33C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给水工程</w:t>
      </w:r>
    </w:p>
    <w:p w14:paraId="77FDA5A3">
      <w:pPr>
        <w:pStyle w:val="7"/>
        <w:ind w:firstLine="640"/>
        <w:rPr>
          <w:rFonts w:ascii="仿宋_GB2312" w:hAnsi="仿宋_GB2312" w:cs="仿宋_GB2312"/>
          <w:szCs w:val="32"/>
        </w:rPr>
      </w:pPr>
      <w:r>
        <w:rPr>
          <w:rFonts w:hint="eastAsia" w:ascii="楷体_GB2312" w:hAnsi="楷体_GB2312" w:eastAsia="楷体_GB2312" w:cs="楷体_GB2312"/>
          <w:szCs w:val="32"/>
        </w:rPr>
        <w:t>多水源保障供水安全。</w:t>
      </w:r>
      <w:r>
        <w:rPr>
          <w:rFonts w:hint="eastAsia" w:ascii="仿宋_GB2312" w:hAnsi="仿宋_GB2312" w:cs="仿宋_GB2312"/>
          <w:szCs w:val="32"/>
        </w:rPr>
        <w:t>提高水源安全保障水平，规划龙羊峡镇以</w:t>
      </w:r>
      <w:r>
        <w:rPr>
          <w:rFonts w:hint="eastAsia" w:ascii="仿宋_GB2312" w:hAnsi="仿宋_GB2312" w:cs="仿宋_GB2312"/>
          <w:szCs w:val="32"/>
          <w:lang w:val="en-US" w:eastAsia="zh-CN"/>
        </w:rPr>
        <w:t>龙羊峡水库为主要水源</w:t>
      </w:r>
      <w:r>
        <w:rPr>
          <w:rFonts w:hint="eastAsia" w:ascii="仿宋_GB2312" w:hAnsi="仿宋_GB2312" w:cs="仿宋_GB2312"/>
          <w:szCs w:val="32"/>
        </w:rPr>
        <w:t>，近期充分利用现状供水设施，逐步创造条件实行区域给水管网联网，实现区域供水。开展水源地生态保护，确保饮用水水源地水质稳定达标。</w:t>
      </w:r>
    </w:p>
    <w:p w14:paraId="245A335B">
      <w:pPr>
        <w:pStyle w:val="7"/>
        <w:ind w:firstLine="640"/>
        <w:rPr>
          <w:rFonts w:ascii="仿宋_GB2312" w:hAnsi="仿宋_GB2312" w:cs="仿宋_GB2312"/>
          <w:szCs w:val="32"/>
        </w:rPr>
      </w:pPr>
      <w:r>
        <w:rPr>
          <w:rFonts w:hint="eastAsia" w:ascii="楷体_GB2312" w:hAnsi="楷体_GB2312" w:eastAsia="楷体_GB2312" w:cs="楷体_GB2312"/>
          <w:szCs w:val="32"/>
        </w:rPr>
        <w:t>保障城乡供水基础设施建设。</w:t>
      </w:r>
      <w:r>
        <w:rPr>
          <w:rFonts w:hint="eastAsia" w:ascii="仿宋_GB2312" w:hAnsi="仿宋_GB2312" w:cs="仿宋_GB2312"/>
          <w:szCs w:val="32"/>
        </w:rPr>
        <w:t>提升镇区供水服务保障水平，保障镇区东部供水设施扩建用地；巩固完善镇区供水工程，保障镇域供水工程用地需求；开展抗旱水源工程建设，保障旱区城乡用水。村庄按照实际需求设置小型给水设施，相邻较近的村庄可以共建供水设施；自来水供水保证率达92%以上。</w:t>
      </w:r>
    </w:p>
    <w:p w14:paraId="00D03EA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排水工程</w:t>
      </w:r>
    </w:p>
    <w:p w14:paraId="43D66919">
      <w:pPr>
        <w:pStyle w:val="7"/>
        <w:ind w:firstLine="640"/>
        <w:rPr>
          <w:rFonts w:ascii="仿宋_GB2312" w:hAnsi="仿宋_GB2312" w:cs="仿宋_GB2312"/>
          <w:szCs w:val="32"/>
        </w:rPr>
      </w:pPr>
      <w:r>
        <w:rPr>
          <w:rFonts w:hint="eastAsia" w:ascii="楷体_GB2312" w:hAnsi="楷体_GB2312" w:eastAsia="楷体_GB2312" w:cs="楷体_GB2312"/>
          <w:szCs w:val="32"/>
        </w:rPr>
        <w:t>保障污水处理设施建设。</w:t>
      </w:r>
      <w:r>
        <w:rPr>
          <w:rFonts w:hint="eastAsia" w:ascii="仿宋_GB2312" w:hAnsi="仿宋_GB2312" w:cs="仿宋_GB2312"/>
          <w:szCs w:val="32"/>
        </w:rPr>
        <w:t>保障镇区南部污水处理设施新增建设用地需求，支持污水处理尾水湿地净化项目建设。推进农村牧区生活污水治理，实施农村生活污水治理项目，推进美丽乡村建设。相对分散的农村牧区采取污水处理与资源利用相结合、运用分散式、生态化处理基础，提高农村牧区污水处理率。</w:t>
      </w:r>
    </w:p>
    <w:p w14:paraId="2A3591D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电力工程</w:t>
      </w:r>
    </w:p>
    <w:p w14:paraId="48CADC6D">
      <w:pPr>
        <w:pStyle w:val="7"/>
        <w:ind w:firstLine="640"/>
        <w:rPr>
          <w:rFonts w:ascii="仿宋_GB2312" w:hAnsi="仿宋_GB2312" w:cs="仿宋_GB2312"/>
          <w:szCs w:val="32"/>
        </w:rPr>
      </w:pPr>
      <w:r>
        <w:rPr>
          <w:rFonts w:hint="eastAsia" w:ascii="楷体_GB2312" w:hAnsi="楷体_GB2312" w:eastAsia="楷体_GB2312" w:cs="楷体_GB2312"/>
          <w:szCs w:val="32"/>
        </w:rPr>
        <w:t>升级改造镇村电力设施，大幅提高城乡供电安全保障能力。</w:t>
      </w:r>
      <w:r>
        <w:rPr>
          <w:rFonts w:hint="eastAsia" w:ascii="仿宋_GB2312" w:hAnsi="仿宋_GB2312" w:cs="仿宋_GB2312"/>
          <w:szCs w:val="32"/>
        </w:rPr>
        <w:t>规划至2035年末，龙羊峡镇域用户通电率100%，镇域供电电源由110千伏龙羊变提供对城镇供电线路进行逐步改造，同时逐步完善10千伏用户</w:t>
      </w:r>
      <w:r>
        <w:rPr>
          <w:rFonts w:hint="eastAsia" w:ascii="仿宋_GB2312" w:hAnsi="仿宋_GB2312" w:cs="仿宋_GB2312"/>
          <w:szCs w:val="32"/>
          <w:lang w:val="en-US" w:eastAsia="zh-CN"/>
        </w:rPr>
        <w:t>变电站</w:t>
      </w:r>
      <w:r>
        <w:rPr>
          <w:rFonts w:hint="eastAsia" w:ascii="仿宋_GB2312" w:hAnsi="仿宋_GB2312" w:cs="仿宋_GB2312"/>
          <w:szCs w:val="32"/>
        </w:rPr>
        <w:t>布点，以10千伏中压线路辐射、延伸至各村庄地区，不断提高电网运行可靠性。</w:t>
      </w:r>
    </w:p>
    <w:p w14:paraId="6416FEFD">
      <w:pPr>
        <w:pStyle w:val="7"/>
        <w:ind w:firstLine="640"/>
        <w:rPr>
          <w:rFonts w:ascii="楷体_GB2312" w:hAnsi="Times New Roman" w:eastAsia="楷体_GB2312" w:cs="Times New Roman"/>
          <w:bCs/>
          <w:szCs w:val="32"/>
        </w:rPr>
      </w:pPr>
      <w:r>
        <w:rPr>
          <w:rFonts w:hint="eastAsia" w:ascii="楷体_GB2312" w:hAnsi="楷体_GB2312" w:eastAsia="楷体_GB2312" w:cs="楷体_GB2312"/>
          <w:szCs w:val="32"/>
        </w:rPr>
        <w:t>加强重大电力廊道的控制与保护，保障电力运行的安全韧性。</w:t>
      </w:r>
      <w:r>
        <w:rPr>
          <w:rFonts w:hint="eastAsia" w:ascii="仿宋_GB2312" w:hAnsi="仿宋_GB2312" w:cs="仿宋_GB2312"/>
          <w:szCs w:val="32"/>
        </w:rPr>
        <w:t>高压廊道保护与管控符合相关规范要求，在高压廊道内，不得新建建筑物、构筑物。110千伏线路高压线走廊宽度15-25米；35千伏线路高压线走廊宽度15-20米。</w:t>
      </w:r>
    </w:p>
    <w:p w14:paraId="4AEB148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燃气工程</w:t>
      </w:r>
    </w:p>
    <w:p w14:paraId="7F519084">
      <w:pPr>
        <w:pStyle w:val="7"/>
        <w:ind w:firstLine="640"/>
        <w:rPr>
          <w:rFonts w:ascii="仿宋_GB2312" w:hAnsi="仿宋_GB2312" w:cs="仿宋_GB2312"/>
          <w:szCs w:val="32"/>
        </w:rPr>
      </w:pPr>
      <w:r>
        <w:rPr>
          <w:rFonts w:hint="eastAsia" w:ascii="楷体_GB2312" w:hAnsi="楷体_GB2312" w:eastAsia="楷体_GB2312" w:cs="楷体_GB2312"/>
          <w:szCs w:val="32"/>
        </w:rPr>
        <w:t>加强天然气设施的建设，提高镇村供气可靠性。</w:t>
      </w:r>
      <w:r>
        <w:rPr>
          <w:rFonts w:hint="eastAsia" w:ascii="仿宋_GB2312" w:hAnsi="仿宋_GB2312" w:cs="仿宋_GB2312"/>
          <w:szCs w:val="32"/>
        </w:rPr>
        <w:t>至2035年，龙羊峡镇镇区</w:t>
      </w:r>
      <w:r>
        <w:rPr>
          <w:rFonts w:hint="eastAsia" w:ascii="仿宋_GB2312" w:hAnsi="仿宋_GB2312" w:cs="仿宋_GB2312"/>
          <w:szCs w:val="32"/>
          <w:lang w:val="en-US" w:eastAsia="zh-CN"/>
        </w:rPr>
        <w:t>以压缩天然气为主</w:t>
      </w:r>
      <w:r>
        <w:rPr>
          <w:rFonts w:hint="eastAsia" w:ascii="仿宋_GB2312" w:hAnsi="仿宋_GB2312" w:cs="仿宋_GB2312"/>
          <w:szCs w:val="32"/>
        </w:rPr>
        <w:t>，城镇管网可以延伸到的农村以管道天然气为主，</w:t>
      </w:r>
      <w:r>
        <w:rPr>
          <w:rFonts w:hint="eastAsia" w:ascii="仿宋_GB2312" w:hAnsi="仿宋_GB2312" w:cs="仿宋_GB2312"/>
          <w:szCs w:val="32"/>
          <w:lang w:eastAsia="zh-CN"/>
        </w:rPr>
        <w:t>其他</w:t>
      </w:r>
      <w:r>
        <w:rPr>
          <w:rFonts w:hint="eastAsia" w:ascii="仿宋_GB2312" w:hAnsi="仿宋_GB2312" w:cs="仿宋_GB2312"/>
          <w:szCs w:val="32"/>
        </w:rPr>
        <w:t>村庄以电力、液化石油气为主。</w:t>
      </w:r>
    </w:p>
    <w:p w14:paraId="32A76708">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供热工程</w:t>
      </w:r>
    </w:p>
    <w:p w14:paraId="6F63F0DF">
      <w:pPr>
        <w:pStyle w:val="7"/>
        <w:ind w:firstLine="640"/>
        <w:rPr>
          <w:rFonts w:ascii="仿宋_GB2312" w:hAnsi="仿宋_GB2312" w:cs="仿宋_GB2312"/>
          <w:szCs w:val="32"/>
        </w:rPr>
      </w:pPr>
      <w:r>
        <w:rPr>
          <w:rFonts w:hint="eastAsia" w:ascii="仿宋_GB2312" w:hAnsi="仿宋_GB2312" w:cs="仿宋_GB2312"/>
          <w:szCs w:val="32"/>
        </w:rPr>
        <w:t>大力提升供暖清洁率，保障居民温暖过冬。近期，城镇新建建筑中绿色建筑占比达到100%，新建城镇居住建筑全部执行75%及以上节能设计标准、新建公共建筑全部执行72%节能设计标准。至规划末期，清洁取暖率达到100%。</w:t>
      </w:r>
    </w:p>
    <w:p w14:paraId="45D338FD">
      <w:pPr>
        <w:pStyle w:val="7"/>
        <w:ind w:firstLine="640"/>
        <w:rPr>
          <w:rFonts w:ascii="仿宋_GB2312" w:hAnsi="仿宋_GB2312" w:cs="仿宋_GB2312"/>
          <w:szCs w:val="32"/>
        </w:rPr>
      </w:pPr>
      <w:r>
        <w:rPr>
          <w:rFonts w:hint="eastAsia" w:ascii="仿宋_GB2312" w:hAnsi="仿宋_GB2312" w:cs="仿宋_GB2312"/>
          <w:szCs w:val="32"/>
        </w:rPr>
        <w:t>因地制宜选择方式多样清洁供暖模式，推进清洁供暖。龙羊峡镇区</w:t>
      </w:r>
      <w:r>
        <w:rPr>
          <w:rFonts w:hint="eastAsia" w:ascii="仿宋_GB2312" w:hAnsi="仿宋_GB2312" w:cs="仿宋_GB2312"/>
          <w:szCs w:val="32"/>
          <w:lang w:val="en-US" w:eastAsia="zh-CN"/>
        </w:rPr>
        <w:t>及恰龙公路沿线村庄</w:t>
      </w:r>
      <w:r>
        <w:rPr>
          <w:rFonts w:hint="eastAsia" w:ascii="仿宋_GB2312" w:hAnsi="仿宋_GB2312" w:cs="仿宋_GB2312"/>
          <w:szCs w:val="32"/>
        </w:rPr>
        <w:t>取暖方式以</w:t>
      </w:r>
      <w:r>
        <w:rPr>
          <w:rFonts w:hint="eastAsia" w:ascii="仿宋_GB2312" w:hAnsi="仿宋_GB2312" w:cs="仿宋_GB2312"/>
          <w:szCs w:val="32"/>
          <w:lang w:val="en-US" w:eastAsia="zh-CN"/>
        </w:rPr>
        <w:t>燃气锅炉房集中</w:t>
      </w:r>
      <w:r>
        <w:rPr>
          <w:rFonts w:hint="eastAsia" w:ascii="仿宋_GB2312" w:hAnsi="仿宋_GB2312" w:cs="仿宋_GB2312"/>
          <w:szCs w:val="32"/>
        </w:rPr>
        <w:t>采暖</w:t>
      </w:r>
      <w:r>
        <w:rPr>
          <w:rFonts w:hint="eastAsia" w:ascii="仿宋_GB2312" w:hAnsi="仿宋_GB2312" w:cs="仿宋_GB2312"/>
          <w:szCs w:val="32"/>
          <w:lang w:val="en-US" w:eastAsia="zh-CN"/>
        </w:rPr>
        <w:t>和电取暖两种方式</w:t>
      </w:r>
      <w:r>
        <w:rPr>
          <w:rFonts w:hint="eastAsia" w:ascii="仿宋_GB2312" w:hAnsi="仿宋_GB2312" w:cs="仿宋_GB2312"/>
          <w:szCs w:val="32"/>
        </w:rPr>
        <w:t>为主；</w:t>
      </w:r>
      <w:r>
        <w:rPr>
          <w:rFonts w:hint="eastAsia" w:ascii="仿宋_GB2312" w:hAnsi="仿宋_GB2312" w:cs="仿宋_GB2312"/>
          <w:szCs w:val="32"/>
          <w:lang w:val="en-US" w:eastAsia="zh-CN"/>
        </w:rPr>
        <w:t>其他</w:t>
      </w:r>
      <w:r>
        <w:rPr>
          <w:rFonts w:hint="eastAsia" w:ascii="仿宋_GB2312" w:hAnsi="仿宋_GB2312" w:cs="仿宋_GB2312"/>
          <w:szCs w:val="32"/>
        </w:rPr>
        <w:t>农村牧区应通过推广普及电力、太阳能等清洁取暖方式，逐步将农村地区散烧煤、粪区域全部改为清洁取暖。</w:t>
      </w:r>
    </w:p>
    <w:p w14:paraId="511D663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环卫工程</w:t>
      </w:r>
    </w:p>
    <w:p w14:paraId="22120327">
      <w:pPr>
        <w:pStyle w:val="7"/>
        <w:ind w:firstLine="640"/>
        <w:rPr>
          <w:rFonts w:ascii="仿宋_GB2312" w:hAnsi="仿宋_GB2312" w:cs="仿宋_GB2312"/>
          <w:szCs w:val="32"/>
        </w:rPr>
      </w:pPr>
      <w:r>
        <w:rPr>
          <w:rFonts w:hint="eastAsia" w:ascii="楷体_GB2312" w:hAnsi="楷体_GB2312" w:eastAsia="楷体_GB2312" w:cs="楷体_GB2312"/>
          <w:szCs w:val="32"/>
        </w:rPr>
        <w:t>全面推进生活垃圾处理升级。</w:t>
      </w:r>
      <w:r>
        <w:rPr>
          <w:rFonts w:hint="eastAsia" w:ascii="仿宋_GB2312" w:hAnsi="仿宋_GB2312" w:cs="仿宋_GB2312"/>
          <w:szCs w:val="32"/>
        </w:rPr>
        <w:t>规划采用“户收集、村转运、镇处理”的收集方式处理生活垃圾，</w:t>
      </w:r>
      <w:r>
        <w:rPr>
          <w:rFonts w:hint="eastAsia"/>
          <w:bCs/>
        </w:rPr>
        <w:t>通过“填埋</w:t>
      </w:r>
      <w:r>
        <w:rPr>
          <w:bCs/>
        </w:rPr>
        <w:t>+</w:t>
      </w:r>
      <w:r>
        <w:rPr>
          <w:rFonts w:hint="eastAsia"/>
          <w:bCs/>
        </w:rPr>
        <w:t>高温热解</w:t>
      </w:r>
      <w:r>
        <w:rPr>
          <w:bCs/>
        </w:rPr>
        <w:t>”相结</w:t>
      </w:r>
      <w:r>
        <w:rPr>
          <w:rFonts w:hint="eastAsia"/>
          <w:bCs/>
        </w:rPr>
        <w:t>合</w:t>
      </w:r>
      <w:r>
        <w:rPr>
          <w:bCs/>
        </w:rPr>
        <w:t>的垃圾处理方式延长生活垃圾填埋场使用年限</w:t>
      </w:r>
      <w:r>
        <w:rPr>
          <w:rFonts w:hint="eastAsia"/>
          <w:bCs/>
        </w:rPr>
        <w:t>。规划新建生活垃圾填埋场用地，位于镇区北部约</w:t>
      </w:r>
      <w:r>
        <w:rPr>
          <w:rFonts w:ascii="仿宋_GB2312" w:hAnsi="仿宋_GB2312" w:cs="仿宋_GB2312"/>
          <w:bCs/>
        </w:rPr>
        <w:t>1</w:t>
      </w:r>
      <w:r>
        <w:rPr>
          <w:rFonts w:hint="eastAsia"/>
          <w:bCs/>
        </w:rPr>
        <w:t>公里处</w:t>
      </w:r>
      <w:r>
        <w:rPr>
          <w:bCs/>
        </w:rPr>
        <w:t>；</w:t>
      </w:r>
      <w:r>
        <w:rPr>
          <w:rFonts w:hint="eastAsia"/>
          <w:bCs/>
        </w:rPr>
        <w:t>预留垃圾填埋场扩建用地，合理预控填埋场扩建新增建设用地规模，强化环卫设施用地集约节约利用。</w:t>
      </w:r>
      <w:r>
        <w:rPr>
          <w:rFonts w:hint="eastAsia" w:ascii="仿宋_GB2312" w:hAnsi="仿宋_GB2312" w:cs="仿宋_GB2312"/>
          <w:szCs w:val="32"/>
        </w:rPr>
        <w:t>逐步普及农村卫生厕所；切实提高改厕质量；加强厕所粪污无害化处理与资源化利用。</w:t>
      </w:r>
    </w:p>
    <w:p w14:paraId="35E0453C">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新基建工程</w:t>
      </w:r>
    </w:p>
    <w:p w14:paraId="799070E0">
      <w:pPr>
        <w:pStyle w:val="7"/>
        <w:ind w:firstLine="640"/>
        <w:rPr>
          <w:rFonts w:ascii="仿宋_GB2312" w:hAnsi="仿宋_GB2312" w:cs="仿宋_GB2312"/>
          <w:szCs w:val="32"/>
        </w:rPr>
      </w:pPr>
      <w:r>
        <w:rPr>
          <w:rFonts w:hint="eastAsia" w:ascii="仿宋_GB2312" w:hAnsi="仿宋_GB2312" w:cs="仿宋_GB2312"/>
          <w:szCs w:val="32"/>
        </w:rPr>
        <w:t>加快推进5G基站建设，镇区宏基站设置密度为7个基站/平方千米，基站站间距400-450米；农村宏基站设置密度为2个基站/平方千米，基站站间距750-700米。依托清洁能源发电优势，重点推进高压输配电设施建设。因地制宜建设充电场、充电桩等新能源汽车充电设施，多途径推进新基建工程建设。</w:t>
      </w:r>
    </w:p>
    <w:p w14:paraId="3E0C5EF6">
      <w:pPr>
        <w:pStyle w:val="3"/>
        <w:numPr>
          <w:ilvl w:val="1"/>
          <w:numId w:val="12"/>
        </w:numPr>
        <w:spacing w:before="100" w:after="100" w:line="400" w:lineRule="exact"/>
        <w:ind w:firstLine="0"/>
        <w:jc w:val="center"/>
        <w:rPr>
          <w:rFonts w:ascii="Arial" w:hAnsi="Arial" w:eastAsia="黑体" w:cs="Times New Roman"/>
          <w:b w:val="0"/>
        </w:rPr>
      </w:pPr>
      <w:bookmarkStart w:id="71" w:name="_Toc29029"/>
      <w:r>
        <w:rPr>
          <w:rFonts w:hint="eastAsia" w:ascii="Arial" w:hAnsi="Arial" w:eastAsia="黑体" w:cs="Times New Roman"/>
          <w:b w:val="0"/>
        </w:rPr>
        <w:t>构建韧性安全的综合防灾体系</w:t>
      </w:r>
      <w:bookmarkEnd w:id="71"/>
    </w:p>
    <w:p w14:paraId="759BC06B">
      <w:pPr>
        <w:keepNext/>
        <w:keepLines/>
        <w:numPr>
          <w:ilvl w:val="0"/>
          <w:numId w:val="4"/>
        </w:numPr>
        <w:tabs>
          <w:tab w:val="left" w:pos="851"/>
        </w:tabs>
        <w:spacing w:before="300" w:line="420" w:lineRule="exact"/>
        <w:ind w:left="0" w:firstLine="640" w:firstLineChars="200"/>
        <w:jc w:val="left"/>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防震减灾工程</w:t>
      </w:r>
    </w:p>
    <w:p w14:paraId="1A7E9896">
      <w:pPr>
        <w:pStyle w:val="7"/>
        <w:ind w:firstLine="640"/>
        <w:rPr>
          <w:rFonts w:ascii="仿宋_GB2312" w:hAnsi="仿宋_GB2312" w:cs="仿宋_GB2312"/>
          <w:szCs w:val="32"/>
        </w:rPr>
      </w:pPr>
      <w:r>
        <w:rPr>
          <w:rFonts w:hint="eastAsia" w:ascii="仿宋_GB2312" w:hAnsi="仿宋_GB2312"/>
          <w:szCs w:val="32"/>
          <w:u w:val="none"/>
        </w:rPr>
        <w:t>龙羊峡镇地震动峰值加速度</w:t>
      </w:r>
      <w:r>
        <w:rPr>
          <w:rFonts w:ascii="仿宋_GB2312" w:hAnsi="仿宋_GB2312"/>
          <w:szCs w:val="32"/>
          <w:u w:val="none"/>
        </w:rPr>
        <w:t>0.15g，</w:t>
      </w:r>
      <w:r>
        <w:rPr>
          <w:rFonts w:ascii="仿宋_GB2312" w:hAnsi="仿宋_GB2312"/>
          <w:szCs w:val="32"/>
          <w:u w:val="single"/>
        </w:rPr>
        <w:t>抗震设防基本烈度7度</w:t>
      </w:r>
      <w:r>
        <w:rPr>
          <w:rFonts w:hint="eastAsia"/>
          <w:bCs/>
          <w:u w:val="single"/>
        </w:rPr>
        <w:t>。</w:t>
      </w:r>
      <w:r>
        <w:rPr>
          <w:rFonts w:hint="eastAsia"/>
          <w:bCs/>
        </w:rPr>
        <w:t>新建、改建、扩建工程应严格按照标准设防，重大工程和可能因地震产生严重次生灾害的建设工程，应当按照有关规定开展地震安全性评价，并</w:t>
      </w:r>
      <w:r>
        <w:rPr>
          <w:rFonts w:hint="eastAsia"/>
          <w:bCs/>
          <w:lang w:eastAsia="zh-CN"/>
        </w:rPr>
        <w:t>按照</w:t>
      </w:r>
      <w:r>
        <w:rPr>
          <w:rFonts w:hint="eastAsia"/>
          <w:bCs/>
        </w:rPr>
        <w:t>地震安全性评价结果所确定的抗震设防要求进行抗震设计。学校、医院、体育场馆、文化场馆等大型公共建筑和重要生命线工程应当适当提高地震动峰值加速度取值，在建设工程中采取有效措施，增强抗震能力。建设项目必须满足相应的抗震设防要求。落实</w:t>
      </w:r>
      <w:r>
        <w:rPr>
          <w:rFonts w:hint="eastAsia"/>
        </w:rPr>
        <w:t>海南州</w:t>
      </w:r>
      <w:r>
        <w:rPr>
          <w:rFonts w:hint="eastAsia"/>
          <w:bCs/>
        </w:rPr>
        <w:t>测震站网规划，完善地震监测设施布局，加强地震监测设施和地震观测环境的保护。</w:t>
      </w:r>
    </w:p>
    <w:p w14:paraId="470C0F1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地质灾害防治</w:t>
      </w:r>
    </w:p>
    <w:p w14:paraId="68ABE893">
      <w:pPr>
        <w:pStyle w:val="7"/>
        <w:ind w:firstLine="640"/>
        <w:rPr>
          <w:rFonts w:ascii="仿宋_GB2312" w:hAnsi="仿宋_GB2312" w:cs="仿宋_GB2312"/>
          <w:szCs w:val="32"/>
        </w:rPr>
      </w:pPr>
      <w:r>
        <w:rPr>
          <w:rFonts w:hint="eastAsia" w:ascii="仿宋_GB2312" w:hAnsi="仿宋_GB2312" w:cs="仿宋_GB2312"/>
          <w:szCs w:val="32"/>
        </w:rPr>
        <w:t>龙羊峡镇处于地质灾害易发区，对地质灾害隐患点进行分类管控，综合采用工程治理、排危除险、避让搬迁、专业监测和监测预警等多种措施，对镇域内地质灾害实施综合防治。</w:t>
      </w:r>
    </w:p>
    <w:p w14:paraId="5783A121">
      <w:pPr>
        <w:pStyle w:val="7"/>
        <w:ind w:firstLine="640"/>
        <w:rPr>
          <w:rFonts w:ascii="仿宋_GB2312" w:hAnsi="仿宋_GB2312" w:cs="仿宋_GB2312"/>
          <w:szCs w:val="32"/>
        </w:rPr>
      </w:pPr>
      <w:r>
        <w:rPr>
          <w:rFonts w:hint="eastAsia" w:ascii="仿宋_GB2312" w:hAnsi="仿宋_GB2312" w:cs="仿宋_GB2312"/>
          <w:szCs w:val="32"/>
        </w:rPr>
        <w:t>严格落实地质灾害安全管控要求，</w:t>
      </w:r>
      <w:r>
        <w:rPr>
          <w:rFonts w:hint="eastAsia" w:ascii="仿宋_GB2312" w:hAnsi="仿宋_GB2312" w:cs="仿宋_GB2312"/>
          <w:szCs w:val="32"/>
          <w:u w:val="single"/>
        </w:rPr>
        <w:t>地质灾害易发区内的开发建设，应当进行地质灾害危险性评估，并根据地质灾害危险性评估提出的预防治理措施，有序开展地质灾害工程治理或搬迁避让工作，对可能引发地质灾害的建设活动采取积极有效的防护治理措施，避免工程建设引发或遭受地质灾害的威胁。评估结果为不适宜的场地不得进行开发建设，地质灾害危险区内禁止从事容易诱发地质灾害的各种活动。</w:t>
      </w:r>
    </w:p>
    <w:p w14:paraId="7F3ED167">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防洪排涝工程</w:t>
      </w:r>
    </w:p>
    <w:p w14:paraId="30BDC27B">
      <w:pPr>
        <w:pStyle w:val="7"/>
        <w:ind w:firstLine="640"/>
        <w:rPr>
          <w:rFonts w:ascii="仿宋_GB2312" w:hAnsi="仿宋_GB2312" w:cs="仿宋_GB2312"/>
          <w:szCs w:val="32"/>
        </w:rPr>
      </w:pPr>
      <w:r>
        <w:rPr>
          <w:rFonts w:hint="eastAsia" w:ascii="楷体_GB2312" w:hAnsi="楷体_GB2312" w:eastAsia="楷体_GB2312" w:cs="楷体_GB2312"/>
          <w:szCs w:val="32"/>
        </w:rPr>
        <w:t>洪涝风险控制线。</w:t>
      </w:r>
      <w:r>
        <w:rPr>
          <w:rFonts w:hint="eastAsia" w:ascii="仿宋_GB2312" w:hAnsi="仿宋_GB2312" w:cs="仿宋_GB2312"/>
          <w:szCs w:val="32"/>
        </w:rPr>
        <w:t>以水利部门依法划定的河湖管理范围为基础，将主要行洪排涝通道、蓄洪水库、河湖湿地等洪涝水行泄、调蓄的自然空间划入洪涝风险控制线，保障防洪排涝系统完整性和通达性，洪涝风险控制线总面积</w:t>
      </w:r>
      <w:r>
        <w:rPr>
          <w:rFonts w:ascii="仿宋_GB2312" w:hAnsi="仿宋_GB2312" w:cs="仿宋_GB2312"/>
          <w:szCs w:val="32"/>
        </w:rPr>
        <w:t>4.42</w:t>
      </w:r>
      <w:r>
        <w:rPr>
          <w:rFonts w:hint="eastAsia" w:ascii="仿宋_GB2312" w:hAnsi="仿宋_GB2312" w:cs="仿宋_GB2312"/>
          <w:szCs w:val="32"/>
        </w:rPr>
        <w:t>平方千米。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580630BE">
      <w:pPr>
        <w:pStyle w:val="7"/>
        <w:ind w:firstLine="640"/>
        <w:rPr>
          <w:rFonts w:ascii="仿宋_GB2312" w:hAnsi="仿宋_GB2312" w:cs="仿宋_GB2312"/>
          <w:szCs w:val="32"/>
        </w:rPr>
      </w:pPr>
      <w:r>
        <w:rPr>
          <w:rFonts w:hint="eastAsia" w:ascii="楷体_GB2312" w:hAnsi="楷体_GB2312" w:eastAsia="楷体_GB2312" w:cs="楷体_GB2312"/>
          <w:szCs w:val="32"/>
        </w:rPr>
        <w:t>完善镇村防洪排涝体系。</w:t>
      </w:r>
      <w:r>
        <w:rPr>
          <w:rFonts w:hint="eastAsia" w:ascii="仿宋_GB2312" w:hAnsi="仿宋_GB2312" w:cs="仿宋_GB2312"/>
          <w:szCs w:val="32"/>
          <w:u w:val="single"/>
        </w:rPr>
        <w:t>镇区防洪标准达到20年一遇，农村10年一遇。</w:t>
      </w:r>
      <w:r>
        <w:rPr>
          <w:rFonts w:hint="eastAsia" w:ascii="仿宋_GB2312" w:hAnsi="仿宋_GB2312" w:cs="仿宋_GB2312"/>
          <w:szCs w:val="32"/>
        </w:rPr>
        <w:t>完善重要河流防洪治理工程建设，加快推进龙羊峡水库、黄河及其支流等重点河段防洪达标治理，全面推进中小河流治理工程。实施重点山洪沟防洪治理工程措施，巩固提升山洪防治非工程措施。保障防洪堤、排洪沟（渠）等水工设施用地需求。</w:t>
      </w:r>
    </w:p>
    <w:p w14:paraId="3490C7A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消防工程</w:t>
      </w:r>
    </w:p>
    <w:p w14:paraId="4E88C30B">
      <w:pPr>
        <w:pStyle w:val="7"/>
        <w:ind w:firstLine="640"/>
        <w:rPr>
          <w:rFonts w:ascii="仿宋_GB2312" w:hAnsi="仿宋_GB2312" w:cs="仿宋_GB2312"/>
          <w:szCs w:val="32"/>
        </w:rPr>
      </w:pPr>
      <w:r>
        <w:rPr>
          <w:rFonts w:hint="eastAsia" w:ascii="楷体_GB2312" w:hAnsi="楷体_GB2312" w:eastAsia="楷体_GB2312" w:cs="楷体_GB2312"/>
          <w:szCs w:val="32"/>
        </w:rPr>
        <w:t>完善消防力量建设。规划</w:t>
      </w:r>
      <w:r>
        <w:rPr>
          <w:rFonts w:hint="eastAsia" w:ascii="仿宋_GB2312" w:hAnsi="仿宋_GB2312" w:cs="仿宋_GB2312"/>
          <w:szCs w:val="32"/>
        </w:rPr>
        <w:t>形成以</w:t>
      </w:r>
      <w:r>
        <w:rPr>
          <w:rFonts w:hint="eastAsia" w:ascii="仿宋_GB2312" w:hAnsi="仿宋_GB2312" w:cs="仿宋_GB2312"/>
          <w:szCs w:val="32"/>
          <w:lang w:val="en-US" w:eastAsia="zh-CN"/>
        </w:rPr>
        <w:t>镇企合建消防站</w:t>
      </w:r>
      <w:r>
        <w:rPr>
          <w:rFonts w:hint="eastAsia" w:ascii="仿宋_GB2312" w:hAnsi="仿宋_GB2312" w:cs="仿宋_GB2312"/>
          <w:szCs w:val="32"/>
        </w:rPr>
        <w:t>为主要消防力量，</w:t>
      </w:r>
      <w:r>
        <w:rPr>
          <w:rFonts w:hint="eastAsia"/>
          <w:bCs/>
        </w:rPr>
        <w:t>以</w:t>
      </w:r>
      <w:r>
        <w:rPr>
          <w:bCs/>
        </w:rPr>
        <w:t>志愿消防队伍</w:t>
      </w:r>
      <w:r>
        <w:rPr>
          <w:rFonts w:hint="eastAsia"/>
          <w:bCs/>
        </w:rPr>
        <w:t>或</w:t>
      </w:r>
      <w:r>
        <w:rPr>
          <w:bCs/>
        </w:rPr>
        <w:t>企业兼职消防队伍</w:t>
      </w:r>
      <w:r>
        <w:rPr>
          <w:rFonts w:hint="eastAsia"/>
          <w:bCs/>
        </w:rPr>
        <w:t>为补充的消防体系，</w:t>
      </w:r>
      <w:r>
        <w:rPr>
          <w:rFonts w:hint="eastAsia" w:ascii="仿宋_GB2312" w:hAnsi="仿宋_GB2312" w:cs="仿宋_GB2312"/>
          <w:szCs w:val="32"/>
        </w:rPr>
        <w:t>农业牧区集中居民点内设置微型消防站，配备供紧急使用的灭火器材、前线救援器材和消防人员防护器材。规划</w:t>
      </w:r>
      <w:r>
        <w:rPr>
          <w:rFonts w:hint="eastAsia" w:ascii="仿宋_GB2312" w:hAnsi="仿宋_GB2312" w:cs="仿宋_GB2312"/>
          <w:szCs w:val="32"/>
          <w:lang w:val="en-US" w:eastAsia="zh-CN"/>
        </w:rPr>
        <w:t>保留</w:t>
      </w:r>
      <w:r>
        <w:rPr>
          <w:rFonts w:hint="eastAsia" w:ascii="仿宋_GB2312" w:hAnsi="仿宋_GB2312" w:cs="仿宋_GB2312"/>
          <w:szCs w:val="32"/>
        </w:rPr>
        <w:t>镇区</w:t>
      </w:r>
      <w:r>
        <w:rPr>
          <w:rFonts w:hint="eastAsia" w:ascii="仿宋_GB2312" w:hAnsi="仿宋_GB2312" w:cs="仿宋_GB2312"/>
          <w:szCs w:val="32"/>
          <w:lang w:val="en-US" w:eastAsia="zh-CN"/>
        </w:rPr>
        <w:t>范围内龙羊峡水电站</w:t>
      </w:r>
      <w:r>
        <w:rPr>
          <w:rFonts w:hint="eastAsia" w:ascii="仿宋_GB2312" w:hAnsi="仿宋_GB2312" w:cs="仿宋_GB2312"/>
          <w:szCs w:val="32"/>
        </w:rPr>
        <w:t>消防站，在各村结合实际情况建设消防水池，消防水池的建设应满足防寒抗冻的要求。</w:t>
      </w:r>
    </w:p>
    <w:p w14:paraId="7A8CBFDD">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气象灾害防治</w:t>
      </w:r>
    </w:p>
    <w:p w14:paraId="40BC291B">
      <w:pPr>
        <w:pStyle w:val="7"/>
        <w:ind w:firstLine="640"/>
        <w:rPr>
          <w:rFonts w:ascii="仿宋_GB2312" w:hAnsi="仿宋_GB2312" w:cs="仿宋_GB2312"/>
          <w:szCs w:val="32"/>
        </w:rPr>
      </w:pPr>
      <w:r>
        <w:rPr>
          <w:rFonts w:hint="eastAsia"/>
        </w:rPr>
        <w:t>坚持“预防为主、防抗结合、以人为本、科学应对”的气象灾害防治原则。龙羊峡镇政府牵头，建立健全气象灾害防治小组，与共和县气象部门构建专项预防体系，构建乡镇暴雨、暴雪、冰雹及雷暴等极端天气预警体系，完善对极端天气的应急能力；建筑设计应确保建筑结构荷载能够抵御暴雨、冰雹等恶劣天气；通信、电力等设施，应安装避雷、防雷设施。</w:t>
      </w:r>
    </w:p>
    <w:p w14:paraId="3BEC0309">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应急救援体系</w:t>
      </w:r>
    </w:p>
    <w:p w14:paraId="16768AEB">
      <w:pPr>
        <w:pStyle w:val="7"/>
        <w:ind w:firstLine="640"/>
      </w:pPr>
      <w:r>
        <w:rPr>
          <w:rFonts w:hint="eastAsia" w:ascii="楷体_GB2312" w:hAnsi="楷体_GB2312" w:eastAsia="楷体_GB2312" w:cs="楷体_GB2312"/>
        </w:rPr>
        <w:t>建立防灾减灾指挥机构。</w:t>
      </w:r>
      <w:r>
        <w:rPr>
          <w:rFonts w:hint="eastAsia"/>
        </w:rPr>
        <w:t>充分发挥政府防灾指挥职能，以镇政府作为应急指挥中心。建立涵盖全镇的灾害应急指挥系统和防灾减灾救灾工作站，构建多元立体的信息报送体系。</w:t>
      </w:r>
    </w:p>
    <w:p w14:paraId="045FFAD3">
      <w:pPr>
        <w:pStyle w:val="7"/>
        <w:ind w:firstLine="640"/>
      </w:pPr>
      <w:r>
        <w:rPr>
          <w:rFonts w:hint="eastAsia" w:ascii="楷体_GB2312" w:hAnsi="楷体_GB2312" w:eastAsia="楷体_GB2312" w:cs="楷体_GB2312"/>
        </w:rPr>
        <w:t>健全应急救援力量体系。</w:t>
      </w:r>
      <w:r>
        <w:rPr>
          <w:rFonts w:hint="eastAsia"/>
        </w:rPr>
        <w:t>构建以专业应急救援力量为主、以社会应急力量为</w:t>
      </w:r>
      <w:r>
        <w:rPr>
          <w:rFonts w:hint="eastAsia"/>
          <w:lang w:eastAsia="zh-CN"/>
        </w:rPr>
        <w:t>辅</w:t>
      </w:r>
      <w:r>
        <w:rPr>
          <w:rFonts w:hint="eastAsia"/>
        </w:rPr>
        <w:t>，基层救援力量有效覆盖的应急救援力量体系。专业应急救援队伍依托海南州消防救援支队，强化地震、地质灾害专业救援队伍和森林（草原）火灾专业扑救队伍建设，鼓励社会应急力量参与应急救援行动，结合县消防大队、乡镇专职消防队组建基层应急救援队。</w:t>
      </w:r>
    </w:p>
    <w:p w14:paraId="348420D3">
      <w:pPr>
        <w:pStyle w:val="7"/>
        <w:ind w:firstLine="640"/>
        <w:rPr>
          <w:bCs/>
        </w:rPr>
      </w:pPr>
      <w:r>
        <w:rPr>
          <w:rFonts w:hint="eastAsia" w:ascii="楷体_GB2312" w:hAnsi="楷体_GB2312" w:eastAsia="楷体_GB2312" w:cs="楷体_GB2312"/>
        </w:rPr>
        <w:t>完善应急避难疏散救援系统。</w:t>
      </w:r>
      <w:r>
        <w:rPr>
          <w:rFonts w:hint="eastAsia"/>
        </w:rPr>
        <w:t>以公园、广场、学校操场等开敞空间作为紧急避难场所，以高速公路为对外救援疏散通道，负责大范围的人员、物资调度和转移；以一级公路等干线公路为抗灾救灾干道，与对外救援疏散通道共同形成高效应急疏散网络体系；以省道、县道等公路及其他与对外救援疏散通道连接的主要道路为避难疏散主、次干道。在镇区</w:t>
      </w:r>
      <w:r>
        <w:rPr>
          <w:rFonts w:hint="eastAsia"/>
          <w:bCs/>
        </w:rPr>
        <w:t>建设救灾物资储备点，提高应急保障物资储备能力。</w:t>
      </w:r>
    </w:p>
    <w:p w14:paraId="774AC688">
      <w:pPr>
        <w:pStyle w:val="7"/>
        <w:ind w:firstLine="640"/>
        <w:rPr>
          <w:bCs/>
        </w:rPr>
      </w:pPr>
      <w:r>
        <w:rPr>
          <w:rFonts w:hint="eastAsia" w:ascii="楷体_GB2312" w:hAnsi="楷体_GB2312" w:eastAsia="楷体_GB2312" w:cs="楷体_GB2312"/>
          <w:bCs/>
        </w:rPr>
        <w:t>建设“平急两用”公共基础设施。</w:t>
      </w:r>
      <w:r>
        <w:rPr>
          <w:bCs/>
        </w:rPr>
        <w:t>建设完善城镇空间布局合理、资源统筹共享、功能设施完备、平急（疫/战）综合利用的防灾设施体系。推进城镇公共设施及空间资源的功能复合利用，将防灾防疫</w:t>
      </w:r>
      <w:r>
        <w:rPr>
          <w:rFonts w:hint="eastAsia"/>
          <w:bCs/>
          <w:lang w:eastAsia="zh-CN"/>
        </w:rPr>
        <w:t>防控</w:t>
      </w:r>
      <w:r>
        <w:rPr>
          <w:bCs/>
        </w:rPr>
        <w:t>与公共文化、教育、体育、旅游和城乡基础设施等融合共建共用。完善集隔离、应急医疗和物资保障为一体的“平急两用”重要应急保障设施，做好应急避难、疫情防控等功能转换，改善交通、市政等生命线工程接入条件，提高城镇公共空间韧性，预留应急避难、医疗空间。</w:t>
      </w:r>
    </w:p>
    <w:p w14:paraId="470E9E8B">
      <w:pPr>
        <w:pStyle w:val="3"/>
        <w:numPr>
          <w:ilvl w:val="1"/>
          <w:numId w:val="12"/>
        </w:numPr>
        <w:spacing w:before="100" w:after="100" w:line="400" w:lineRule="exact"/>
        <w:ind w:firstLine="0"/>
        <w:jc w:val="center"/>
        <w:rPr>
          <w:rFonts w:ascii="Arial" w:hAnsi="Arial" w:eastAsia="黑体" w:cs="Times New Roman"/>
          <w:b w:val="0"/>
        </w:rPr>
      </w:pPr>
      <w:bookmarkStart w:id="72" w:name="_Toc4957"/>
      <w:r>
        <w:rPr>
          <w:rFonts w:hint="eastAsia" w:ascii="Arial" w:hAnsi="Arial" w:eastAsia="黑体" w:cs="Times New Roman"/>
          <w:b w:val="0"/>
        </w:rPr>
        <w:t>保障基础设施用地</w:t>
      </w:r>
      <w:bookmarkEnd w:id="72"/>
    </w:p>
    <w:p w14:paraId="4B2F351F">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统筹协调与落实基础设施布局</w:t>
      </w:r>
    </w:p>
    <w:p w14:paraId="46E72C11">
      <w:pPr>
        <w:pStyle w:val="7"/>
        <w:ind w:firstLine="640"/>
        <w:rPr>
          <w:rFonts w:ascii="仿宋_GB2312" w:hAnsi="仿宋_GB2312" w:cs="仿宋_GB2312"/>
          <w:bCs/>
        </w:rPr>
      </w:pPr>
      <w:r>
        <w:rPr>
          <w:rFonts w:hint="eastAsia" w:ascii="楷体_GB2312" w:hAnsi="楷体_GB2312" w:eastAsia="楷体_GB2312" w:cs="楷体_GB2312"/>
          <w:bCs/>
        </w:rPr>
        <w:t>统筹协调与落实各类基础设施布局。</w:t>
      </w:r>
      <w:r>
        <w:rPr>
          <w:rFonts w:hint="eastAsia" w:ascii="仿宋_GB2312" w:hAnsi="仿宋_GB2312" w:cs="仿宋_GB2312"/>
          <w:bCs/>
        </w:rPr>
        <w:t>加强县级国土空间规划、相关专项规划与乡镇国土空间规划的衔接，严格按照“三区三线”等国土空间规划管控要求，在国土空间规划“一张图”上统筹落实各类设施项目的空间需求，协调项目选址、布局和空间规模，确保各类项目的空间布局不冲突。线性基础设施在满足安全要求的基础上尽量共用廊道，提高复合利用水平，减少对国土空间的分割和过度占用。</w:t>
      </w:r>
    </w:p>
    <w:p w14:paraId="2BF9353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基础设施用地集约化利用</w:t>
      </w:r>
    </w:p>
    <w:p w14:paraId="386C1923">
      <w:pPr>
        <w:pStyle w:val="7"/>
        <w:ind w:firstLine="640"/>
        <w:rPr>
          <w:rFonts w:ascii="仿宋_GB2312" w:hAnsi="仿宋_GB2312" w:cs="仿宋_GB2312"/>
          <w:bCs/>
        </w:rPr>
      </w:pPr>
      <w:r>
        <w:rPr>
          <w:rFonts w:hint="eastAsia" w:ascii="楷体_GB2312" w:hAnsi="楷体_GB2312" w:eastAsia="楷体_GB2312" w:cs="楷体_GB2312"/>
          <w:bCs/>
        </w:rPr>
        <w:t>引导各类基础设施集约用地。</w:t>
      </w:r>
      <w:r>
        <w:rPr>
          <w:rFonts w:hint="eastAsia" w:ascii="仿宋_GB2312" w:hAnsi="仿宋_GB2312" w:cs="仿宋_GB2312"/>
          <w:bCs/>
        </w:rPr>
        <w:t>加强各类基础设施用地规模控制，严格执行各类项目建设用地标准，严格节约集约用地评价，积极推广节地技术。协调好清洁能源基地、基础设施建设与耕地保护、生态保护的关系。各类基础设施用地要合理避让耕地和永久基本农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p>
    <w:p w14:paraId="5C990444">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保障基础设施用地</w:t>
      </w:r>
    </w:p>
    <w:p w14:paraId="545C8A1A">
      <w:pPr>
        <w:pStyle w:val="7"/>
        <w:ind w:firstLine="640"/>
        <w:rPr>
          <w:rFonts w:ascii="仿宋_GB2312" w:hAnsi="仿宋_GB2312" w:cs="仿宋_GB2312"/>
          <w:bCs/>
        </w:rPr>
      </w:pPr>
      <w:r>
        <w:rPr>
          <w:rFonts w:hint="eastAsia" w:ascii="楷体_GB2312" w:hAnsi="楷体_GB2312" w:eastAsia="楷体_GB2312" w:cs="楷体_GB2312"/>
          <w:bCs/>
        </w:rPr>
        <w:t>加大重大基础设施建设用地保障力度，</w:t>
      </w:r>
      <w:r>
        <w:rPr>
          <w:rFonts w:hint="eastAsia" w:ascii="仿宋_GB2312" w:hAnsi="仿宋_GB2312" w:cs="仿宋_GB2312"/>
          <w:bCs/>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2A3441AF">
      <w:pPr>
        <w:pStyle w:val="7"/>
        <w:ind w:firstLine="640"/>
        <w:rPr>
          <w:rFonts w:ascii="仿宋_GB2312" w:hAnsi="仿宋_GB2312" w:cs="仿宋_GB2312"/>
          <w:bCs/>
        </w:rPr>
      </w:pPr>
      <w:r>
        <w:rPr>
          <w:rFonts w:hint="eastAsia" w:ascii="楷体_GB2312" w:hAnsi="楷体_GB2312" w:eastAsia="楷体_GB2312" w:cs="楷体_GB2312"/>
          <w:bCs/>
        </w:rPr>
        <w:t>保障重大交通设施用地。</w:t>
      </w:r>
      <w:r>
        <w:rPr>
          <w:rFonts w:hint="eastAsia" w:ascii="仿宋_GB2312" w:hAnsi="仿宋_GB2312" w:cs="仿宋_GB2312"/>
          <w:bCs/>
        </w:rPr>
        <w:t>完善国家高速公路及国省干线公路网络，落实农村公路提档升级改造项目建设用地，带动城镇建设，形成新的经济增长板块和产业带。保障各燃气输配设施用地。保障农村公交客运站场建设用地，完善区域公交运输体系。保障物流中心建设用地，提高区域货运配送及保障能力。</w:t>
      </w:r>
    </w:p>
    <w:p w14:paraId="5BF33C98">
      <w:pPr>
        <w:pStyle w:val="7"/>
        <w:ind w:firstLine="640"/>
        <w:rPr>
          <w:rFonts w:ascii="仿宋_GB2312" w:hAnsi="仿宋_GB2312" w:cs="仿宋_GB2312"/>
          <w:bCs/>
        </w:rPr>
      </w:pPr>
      <w:r>
        <w:rPr>
          <w:rFonts w:hint="eastAsia" w:ascii="楷体_GB2312" w:hAnsi="楷体_GB2312" w:eastAsia="楷体_GB2312" w:cs="楷体_GB2312"/>
          <w:bCs/>
        </w:rPr>
        <w:t>水利设施建设用地。</w:t>
      </w:r>
      <w:r>
        <w:rPr>
          <w:rFonts w:hint="eastAsia" w:ascii="仿宋_GB2312" w:hAnsi="仿宋_GB2312" w:cs="仿宋_GB2312"/>
          <w:bCs/>
        </w:rPr>
        <w:t>支撑农村供水保障工程建设；保障重要河流防洪治理工程建设用地，提高城乡防灾减灾能力，推进黄河及其支流等重点河段防洪达标治理工程;实施中小河流及农村河道治理工程；保</w:t>
      </w:r>
      <w:r>
        <w:rPr>
          <w:rFonts w:hint="eastAsia" w:ascii="仿宋_GB2312" w:hAnsi="仿宋_GB2312" w:cs="仿宋_GB2312"/>
          <w:bCs/>
          <w:lang w:eastAsia="zh-CN"/>
        </w:rPr>
        <w:t>障中</w:t>
      </w:r>
      <w:r>
        <w:rPr>
          <w:rFonts w:hint="eastAsia" w:ascii="仿宋_GB2312" w:hAnsi="仿宋_GB2312" w:cs="仿宋_GB2312"/>
          <w:bCs/>
        </w:rPr>
        <w:t>小流域生态治理综合工程项目建设用地。</w:t>
      </w:r>
    </w:p>
    <w:p w14:paraId="6E1D661A">
      <w:pPr>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br w:type="page"/>
      </w:r>
    </w:p>
    <w:p w14:paraId="69D39485">
      <w:pPr>
        <w:pStyle w:val="2"/>
        <w:numPr>
          <w:ilvl w:val="0"/>
          <w:numId w:val="2"/>
        </w:numPr>
        <w:spacing w:before="312" w:beforeLines="100" w:after="312" w:afterLines="100" w:line="520" w:lineRule="exact"/>
        <w:ind w:firstLine="0"/>
        <w:jc w:val="center"/>
        <w:rPr>
          <w:rFonts w:ascii="Times New Roman" w:hAnsi="Times New Roman" w:eastAsia="方正小标宋简体" w:cs="Times New Roman"/>
          <w:b w:val="0"/>
          <w:bCs w:val="0"/>
          <w:sz w:val="36"/>
          <w:szCs w:val="36"/>
        </w:rPr>
      </w:pPr>
      <w:bookmarkStart w:id="73" w:name="_Toc24045"/>
      <w:r>
        <w:rPr>
          <w:rFonts w:hint="eastAsia" w:ascii="Times New Roman" w:hAnsi="Times New Roman" w:eastAsia="方正小标宋简体" w:cs="Times New Roman"/>
          <w:b w:val="0"/>
          <w:bCs w:val="0"/>
          <w:sz w:val="36"/>
          <w:szCs w:val="36"/>
        </w:rPr>
        <w:t>完善体制机制，高质量做好规划实施保障</w:t>
      </w:r>
      <w:bookmarkEnd w:id="73"/>
    </w:p>
    <w:p w14:paraId="002FD912">
      <w:pPr>
        <w:pStyle w:val="3"/>
        <w:numPr>
          <w:ilvl w:val="1"/>
          <w:numId w:val="13"/>
        </w:numPr>
        <w:spacing w:before="100" w:after="100" w:line="400" w:lineRule="exact"/>
        <w:ind w:firstLine="0"/>
        <w:jc w:val="center"/>
        <w:rPr>
          <w:rFonts w:ascii="Arial" w:hAnsi="Arial" w:eastAsia="黑体" w:cs="Times New Roman"/>
          <w:b w:val="0"/>
        </w:rPr>
      </w:pPr>
      <w:bookmarkStart w:id="74" w:name="_Toc6278"/>
      <w:r>
        <w:rPr>
          <w:rFonts w:hint="eastAsia" w:ascii="Arial" w:hAnsi="Arial" w:eastAsia="黑体" w:cs="Times New Roman"/>
          <w:b w:val="0"/>
        </w:rPr>
        <w:t>加强党的领导</w:t>
      </w:r>
      <w:bookmarkEnd w:id="74"/>
    </w:p>
    <w:p w14:paraId="4D7CAC5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加强党的领导</w:t>
      </w:r>
    </w:p>
    <w:p w14:paraId="15805A21">
      <w:pPr>
        <w:pStyle w:val="7"/>
        <w:ind w:firstLine="640"/>
      </w:pPr>
      <w:r>
        <w:rPr>
          <w:rFonts w:hint="eastAsia"/>
        </w:rPr>
        <w:t>坚持以习近平新时代中国特色社会主义思想为指导，全面贯彻落实党的二十大精神，深入领会“两个确立”的决定性意义，</w:t>
      </w:r>
      <w:r>
        <w:rPr>
          <w:rFonts w:hint="eastAsia"/>
          <w:lang w:eastAsia="zh-CN"/>
        </w:rPr>
        <w:t>增强“四个意识”、坚定“四个自信”、做到“两个维护”</w:t>
      </w:r>
      <w:r>
        <w:rPr>
          <w:rFonts w:hint="eastAsia"/>
        </w:rPr>
        <w:t>，充分发挥党总揽全局、协调各方的领导核心作用，把党的领导贯彻落实到国土空间规划实施与管理的各领域各环节。</w:t>
      </w:r>
    </w:p>
    <w:p w14:paraId="377290E9">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落实各级党委和国土空间规划管理主体责任</w:t>
      </w:r>
    </w:p>
    <w:p w14:paraId="72195F6E">
      <w:pPr>
        <w:pStyle w:val="7"/>
        <w:ind w:firstLine="640"/>
      </w:pPr>
      <w:r>
        <w:rPr>
          <w:rFonts w:hint="eastAsia"/>
        </w:rPr>
        <w:t>坚持“多规合一”，不在国土空间规划体系之外另设其他空间规划。强化规划严肃性，规划一经批准，任何部门和个人不得随意修改、违规变更。</w:t>
      </w:r>
    </w:p>
    <w:p w14:paraId="4BB5DF93">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健全国土空间规划委员会制度</w:t>
      </w:r>
    </w:p>
    <w:p w14:paraId="4E626094">
      <w:pPr>
        <w:pStyle w:val="7"/>
        <w:ind w:firstLine="640"/>
      </w:pPr>
      <w:r>
        <w:t>建立</w:t>
      </w:r>
      <w:r>
        <w:rPr>
          <w:rFonts w:hint="eastAsia"/>
        </w:rPr>
        <w:t>乡镇</w:t>
      </w:r>
      <w:r>
        <w:t>级国土空间规划委员会，加强部门和</w:t>
      </w:r>
      <w:r>
        <w:rPr>
          <w:rFonts w:hint="eastAsia"/>
        </w:rPr>
        <w:t>乡镇</w:t>
      </w:r>
      <w: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rPr>
        <w:t>、县级</w:t>
      </w:r>
      <w:r>
        <w:t>重大决策部署落实到位。</w:t>
      </w:r>
    </w:p>
    <w:p w14:paraId="4E59161E">
      <w:pPr>
        <w:pStyle w:val="3"/>
        <w:numPr>
          <w:ilvl w:val="1"/>
          <w:numId w:val="13"/>
        </w:numPr>
        <w:spacing w:before="100" w:after="100" w:line="400" w:lineRule="exact"/>
        <w:ind w:firstLine="0"/>
        <w:jc w:val="center"/>
        <w:rPr>
          <w:rFonts w:ascii="Arial" w:hAnsi="Arial" w:eastAsia="黑体" w:cs="Times New Roman"/>
          <w:b w:val="0"/>
        </w:rPr>
      </w:pPr>
      <w:bookmarkStart w:id="75" w:name="_Toc22221"/>
      <w:r>
        <w:rPr>
          <w:rFonts w:hint="eastAsia" w:ascii="Arial" w:hAnsi="Arial" w:eastAsia="黑体" w:cs="Times New Roman"/>
          <w:b w:val="0"/>
        </w:rPr>
        <w:t>健全配套政策</w:t>
      </w:r>
      <w:bookmarkEnd w:id="75"/>
    </w:p>
    <w:p w14:paraId="54E56351">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健全国土空间规划法规政策和标准体系</w:t>
      </w:r>
    </w:p>
    <w:p w14:paraId="48198907">
      <w:pPr>
        <w:pStyle w:val="7"/>
        <w:ind w:firstLine="640"/>
      </w:pPr>
      <w:r>
        <w:rPr>
          <w:rFonts w:hint="eastAsia"/>
        </w:rPr>
        <w:t>严格落实</w:t>
      </w:r>
      <w:r>
        <w:t>国土空间规划编制、审批与实施管理的相关法规政策，落实国家统一的技术标准，落实青海省或海南州地方规划标准和技术管理规定，支撑规划实施。</w:t>
      </w:r>
    </w:p>
    <w:p w14:paraId="2935434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完善规划实施的配套制度</w:t>
      </w:r>
    </w:p>
    <w:p w14:paraId="20F0C4ED">
      <w:pPr>
        <w:pStyle w:val="7"/>
        <w:ind w:firstLine="640"/>
      </w:pPr>
      <w:r>
        <w:rPr>
          <w:rFonts w:hint="eastAsia"/>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48DDE546">
      <w:pPr>
        <w:pStyle w:val="3"/>
        <w:numPr>
          <w:ilvl w:val="1"/>
          <w:numId w:val="13"/>
        </w:numPr>
        <w:spacing w:before="100" w:after="100" w:line="400" w:lineRule="exact"/>
        <w:ind w:firstLine="0"/>
        <w:jc w:val="center"/>
        <w:rPr>
          <w:rFonts w:ascii="Arial" w:hAnsi="Arial" w:eastAsia="黑体" w:cs="Times New Roman"/>
          <w:b w:val="0"/>
        </w:rPr>
      </w:pPr>
      <w:bookmarkStart w:id="76" w:name="_Toc23285"/>
      <w:r>
        <w:rPr>
          <w:rFonts w:hint="eastAsia" w:ascii="Arial" w:hAnsi="Arial" w:eastAsia="黑体" w:cs="Times New Roman"/>
          <w:b w:val="0"/>
        </w:rPr>
        <w:t>强化规划传导与用途管制</w:t>
      </w:r>
      <w:bookmarkEnd w:id="76"/>
    </w:p>
    <w:p w14:paraId="2283C555">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严格落实县级国土空间总体规划</w:t>
      </w:r>
    </w:p>
    <w:p w14:paraId="22A8BF85">
      <w:pPr>
        <w:pStyle w:val="7"/>
        <w:ind w:firstLine="640"/>
      </w:pPr>
      <w:r>
        <w:rPr>
          <w:rFonts w:hint="eastAsia"/>
        </w:rPr>
        <w:t>落实县级总规确定的开发保护目标定位、城镇体系、空间策略、城镇特色指引等宏观定性内容。严格落实生态保护红线、耕地和永久基本农田保护线、城镇开发边界、洪涝风险控制线、清洁能源用地引导线、重要历史文化保护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ascii="仿宋_GB2312" w:hAnsi="仿宋_GB2312"/>
          <w:szCs w:val="32"/>
        </w:rPr>
        <w:t>严格落实县级国土空间总体规划提出的战略性矿产保障区名录、自然保护地名录、历史文化资源保护名录、重点建设项目名录、生态修复项目名录、过渡区承诺纳入项目名录、村庄分类引导名录等要求。</w:t>
      </w:r>
    </w:p>
    <w:p w14:paraId="50CE34CB">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详细规划传导</w:t>
      </w:r>
    </w:p>
    <w:p w14:paraId="57F7423A">
      <w:pPr>
        <w:pStyle w:val="7"/>
        <w:ind w:firstLine="640"/>
      </w:pPr>
      <w:r>
        <w:rPr>
          <w:rFonts w:hint="eastAsia" w:ascii="楷体_GB2312" w:hAnsi="楷体_GB2312" w:eastAsia="楷体_GB2312" w:cs="楷体_GB2312"/>
          <w:szCs w:val="32"/>
        </w:rPr>
        <w:t>健全国土空间规划体系，加强详细规划传导</w:t>
      </w:r>
      <w:r>
        <w:rPr>
          <w:rFonts w:hint="eastAsia" w:ascii="楷体_GB2312" w:hAnsi="楷体_GB2312" w:eastAsia="楷体_GB2312" w:cs="楷体_GB2312"/>
        </w:rPr>
        <w:t>。</w:t>
      </w:r>
      <w:r>
        <w:rPr>
          <w:rFonts w:hint="eastAsia" w:ascii="仿宋_GB2312" w:hAnsi="仿宋_GB2312" w:cs="仿宋_GB2312"/>
        </w:rPr>
        <w:t>镇区划分为1个详细规划编制单元，</w:t>
      </w:r>
      <w:r>
        <w:rPr>
          <w:rFonts w:hint="eastAsia"/>
        </w:rPr>
        <w:t>明确龙羊峡镇村庄规划编制单元和村庄规划编制数量。对各村庄的等级类型、发展方向等提出规划引导，划定村庄建设用地边界。</w:t>
      </w:r>
    </w:p>
    <w:p w14:paraId="5D7A186F">
      <w:pPr>
        <w:pStyle w:val="7"/>
        <w:ind w:firstLine="640"/>
        <w:rPr>
          <w:rFonts w:hint="eastAsia"/>
        </w:rPr>
      </w:pPr>
      <w:r>
        <w:rPr>
          <w:rFonts w:hint="eastAsia"/>
        </w:rPr>
        <w:t>将生态保护红线、耕地和永久基本农田保护线、城镇开发边界、洪涝风险控制线、清洁能源用地引导线、重要历史文化保护线等空间管控线的指标规模和空间布局传导至各村庄。</w:t>
      </w:r>
    </w:p>
    <w:p w14:paraId="4B83898F">
      <w:pPr>
        <w:pStyle w:val="7"/>
        <w:ind w:firstLine="640"/>
      </w:pPr>
      <w:r>
        <w:rPr>
          <w:rFonts w:hint="eastAsia"/>
        </w:rPr>
        <w:t>镇区详细规划编制需要，进一步划分各类功能分区内部用途分区，确定用地比例结构控制的相关要求。应根据上层次规划的国土空间利用主导功能和结构控制要求，确定不同地块划分、地块的使用性质以及相关控制指标，作为实施用地规划许可和规划管理的依据。通过划定镇区“五线”，明确基础设施、公共服务设施和综合防灾设施布局。</w:t>
      </w:r>
    </w:p>
    <w:p w14:paraId="15412496">
      <w:pPr>
        <w:pStyle w:val="3"/>
        <w:numPr>
          <w:ilvl w:val="1"/>
          <w:numId w:val="13"/>
        </w:numPr>
        <w:spacing w:before="100" w:after="100" w:line="400" w:lineRule="exact"/>
        <w:ind w:firstLine="0"/>
        <w:jc w:val="center"/>
        <w:rPr>
          <w:rFonts w:ascii="Arial" w:hAnsi="Arial" w:eastAsia="黑体" w:cs="Times New Roman"/>
          <w:b w:val="0"/>
        </w:rPr>
      </w:pPr>
      <w:bookmarkStart w:id="77" w:name="_Toc13811"/>
      <w:r>
        <w:rPr>
          <w:rFonts w:hint="eastAsia" w:ascii="Arial" w:hAnsi="Arial" w:eastAsia="黑体" w:cs="Times New Roman"/>
          <w:b w:val="0"/>
        </w:rPr>
        <w:t>近期安排</w:t>
      </w:r>
      <w:bookmarkEnd w:id="77"/>
    </w:p>
    <w:p w14:paraId="029F914E">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近期规划目标</w:t>
      </w:r>
    </w:p>
    <w:p w14:paraId="044B66A4">
      <w:pPr>
        <w:pStyle w:val="7"/>
        <w:ind w:firstLine="640"/>
        <w:rPr>
          <w:rFonts w:ascii="仿宋_GB2312" w:hAnsi="仿宋_GB2312" w:cs="仿宋_GB2312"/>
        </w:rPr>
      </w:pPr>
      <w:r>
        <w:rPr>
          <w:rFonts w:hint="eastAsia" w:ascii="仿宋_GB2312" w:hAnsi="仿宋_GB2312" w:cs="仿宋_GB2312"/>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259810CA">
      <w:pPr>
        <w:pStyle w:val="7"/>
        <w:ind w:firstLine="640"/>
        <w:rPr>
          <w:rFonts w:ascii="仿宋_GB2312" w:hAnsi="仿宋_GB2312" w:cs="仿宋_GB2312"/>
        </w:rPr>
      </w:pPr>
      <w:r>
        <w:rPr>
          <w:rFonts w:hint="eastAsia" w:ascii="仿宋_GB2312" w:hAnsi="仿宋_GB2312" w:cs="仿宋_GB2312"/>
        </w:rPr>
        <w:t>到2025年，</w:t>
      </w:r>
      <w:r>
        <w:rPr>
          <w:rFonts w:hint="eastAsia"/>
        </w:rPr>
        <w:t>镇区服务功能进一步完善，功能服务多样化，生活质量提升，镇区有机更新稳步推进；道路系统和基础设施建设更加完善，镇区环境质量更加优化，人居环境更加美好。</w:t>
      </w:r>
    </w:p>
    <w:p w14:paraId="6755098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保障近期重点项目空间</w:t>
      </w:r>
    </w:p>
    <w:p w14:paraId="3CE3D5BE">
      <w:pPr>
        <w:pStyle w:val="7"/>
        <w:ind w:firstLine="640"/>
        <w:rPr>
          <w:rFonts w:ascii="仿宋_GB2312" w:hAnsi="仿宋_GB2312" w:cs="仿宋_GB2312"/>
        </w:rPr>
      </w:pPr>
      <w:r>
        <w:rPr>
          <w:rFonts w:hint="eastAsia" w:ascii="仿宋_GB2312" w:hAnsi="仿宋_GB2312" w:cs="仿宋_GB2312"/>
        </w:rPr>
        <w:t>重点做好国家、省、州、县“十四五”交通、水利、能源等重大基础设施项目用地保障，落实省、州、县重大创新载体、重大产业项目、重大生态环保、重大民生工程和重大基础设施用地需求，持续优化国土空间格局和用地结构，提升生态屏障功能，促进生态保护和高质量发展协同并进。</w:t>
      </w:r>
    </w:p>
    <w:p w14:paraId="2FB185DA">
      <w:pPr>
        <w:keepNext/>
        <w:keepLines/>
        <w:numPr>
          <w:ilvl w:val="0"/>
          <w:numId w:val="4"/>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统筹推进生态修复重大工程</w:t>
      </w:r>
    </w:p>
    <w:p w14:paraId="2463D16F">
      <w:pPr>
        <w:pStyle w:val="7"/>
        <w:ind w:firstLine="640"/>
        <w:rPr>
          <w:rFonts w:hint="eastAsia" w:ascii="仿宋_GB2312" w:hAnsi="仿宋_GB2312" w:eastAsia="仿宋_GB2312" w:cs="仿宋_GB2312"/>
        </w:rPr>
      </w:pPr>
      <w:r>
        <w:rPr>
          <w:rFonts w:hint="eastAsia" w:ascii="仿宋_GB2312" w:hAnsi="仿宋_GB2312" w:cs="仿宋_GB2312"/>
        </w:rPr>
        <w:t>坚持自然恢复与工程措施相结合，深入贯彻“山水林田湖草沙是一个生命共同体”的理念，统筹山水林田湖草沙系统治理，以大项工程、专项工程全面提升全域生态功能。重点推进青海湖流域生态保护与环境综合治理工程、森林生态系统修复工程、荒漠生态系统重大修复工程、湿地生态系统重大修复工程、重点水源涵养地保护工程、城镇周边绿化生态造林屏障建设工程等大项生态修复工程。</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3BFF552-96F7-48F4-8017-09A5A2415AB9}"/>
  </w:font>
  <w:font w:name="黑体">
    <w:panose1 w:val="02010609060101010101"/>
    <w:charset w:val="86"/>
    <w:family w:val="auto"/>
    <w:pitch w:val="default"/>
    <w:sig w:usb0="800002BF" w:usb1="38CF7CFA" w:usb2="00000016" w:usb3="00000000" w:csb0="00040001" w:csb1="00000000"/>
    <w:embedRegular r:id="rId2" w:fontKey="{2787E97A-E6B9-46D9-8863-29D89D4FE3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78551132-518A-44C4-8E70-83D04971E027}"/>
  </w:font>
  <w:font w:name="仿宋_GB2312">
    <w:panose1 w:val="02010609030101010101"/>
    <w:charset w:val="86"/>
    <w:family w:val="modern"/>
    <w:pitch w:val="default"/>
    <w:sig w:usb0="00000001" w:usb1="080E0000" w:usb2="00000000" w:usb3="00000000" w:csb0="00040000" w:csb1="00000000"/>
    <w:embedRegular r:id="rId4" w:fontKey="{23210F6C-4501-4EC5-B39E-8C2FB8AAEFFD}"/>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5" w:fontKey="{6F85B9C0-49B4-4E6D-B9A6-B260C79ECACD}"/>
  </w:font>
  <w:font w:name="楷体_GB2312">
    <w:panose1 w:val="02010609030101010101"/>
    <w:charset w:val="86"/>
    <w:family w:val="modern"/>
    <w:pitch w:val="default"/>
    <w:sig w:usb0="00000001" w:usb1="080E0000" w:usb2="00000000" w:usb3="00000000" w:csb0="00040000" w:csb1="00000000"/>
    <w:embedRegular r:id="rId6" w:fontKey="{4F4215F7-9B9A-4488-AD45-CD4099F004C4}"/>
  </w:font>
  <w:font w:name="方正小标宋_GBK">
    <w:panose1 w:val="02000000000000000000"/>
    <w:charset w:val="86"/>
    <w:family w:val="script"/>
    <w:pitch w:val="default"/>
    <w:sig w:usb0="A00002BF" w:usb1="38CF7CFA" w:usb2="00082016" w:usb3="00000000" w:csb0="00040001" w:csb1="00000000"/>
    <w:embedRegular r:id="rId7" w:fontKey="{A016BF95-F483-44B9-BE3B-B2E0CEB8944A}"/>
  </w:font>
  <w:font w:name="微软雅黑">
    <w:panose1 w:val="020B0503020204020204"/>
    <w:charset w:val="86"/>
    <w:family w:val="swiss"/>
    <w:pitch w:val="default"/>
    <w:sig w:usb0="80000287" w:usb1="2ACF3C50" w:usb2="00000016" w:usb3="00000000" w:csb0="0004001F" w:csb1="00000000"/>
    <w:embedRegular r:id="rId8" w:fontKey="{4B723383-4B25-4DAF-938C-6083AE61E19C}"/>
  </w:font>
  <w:font w:name="楷体">
    <w:panose1 w:val="02010609060101010101"/>
    <w:charset w:val="86"/>
    <w:family w:val="modern"/>
    <w:pitch w:val="default"/>
    <w:sig w:usb0="800002BF" w:usb1="38CF7CFA" w:usb2="00000016" w:usb3="00000000" w:csb0="00040001" w:csb1="00000000"/>
    <w:embedRegular r:id="rId9" w:fontKey="{F8178C62-5AC0-4262-8783-60EE8334D3E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6B2C7">
    <w:pPr>
      <w:pStyle w:val="9"/>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C4DB1">
    <w:pPr>
      <w:pStyle w:val="9"/>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64C41"/>
    <w:multiLevelType w:val="multilevel"/>
    <w:tmpl w:val="A2E64C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B36193A0"/>
    <w:multiLevelType w:val="multilevel"/>
    <w:tmpl w:val="B36193A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FE4FFF15"/>
    <w:multiLevelType w:val="multilevel"/>
    <w:tmpl w:val="FE4FFF1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FFE625A3"/>
    <w:multiLevelType w:val="multilevel"/>
    <w:tmpl w:val="FFE625A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5">
    <w:nsid w:val="21A7378D"/>
    <w:multiLevelType w:val="multilevel"/>
    <w:tmpl w:val="21A7378D"/>
    <w:lvl w:ilvl="0" w:tentative="0">
      <w:start w:val="1"/>
      <w:numFmt w:val="japaneseCounting"/>
      <w:pStyle w:val="25"/>
      <w:lvlText w:val="（%1）"/>
      <w:lvlJc w:val="left"/>
      <w:pPr>
        <w:ind w:left="1640" w:hanging="108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6">
    <w:nsid w:val="30CF119B"/>
    <w:multiLevelType w:val="multilevel"/>
    <w:tmpl w:val="30CF11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7">
    <w:nsid w:val="35A2F500"/>
    <w:multiLevelType w:val="multilevel"/>
    <w:tmpl w:val="35A2F50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8">
    <w:nsid w:val="38EF649B"/>
    <w:multiLevelType w:val="multilevel"/>
    <w:tmpl w:val="38EF64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9">
    <w:nsid w:val="56A3B412"/>
    <w:multiLevelType w:val="multilevel"/>
    <w:tmpl w:val="56A3B412"/>
    <w:lvl w:ilvl="0" w:tentative="0">
      <w:start w:val="1"/>
      <w:numFmt w:val="chineseCounting"/>
      <w:suff w:val="nothing"/>
      <w:lvlText w:val="第%1章 "/>
      <w:lvlJc w:val="left"/>
      <w:pPr>
        <w:ind w:left="0" w:firstLine="402"/>
      </w:pPr>
      <w:rPr>
        <w:rFonts w:hint="eastAsia" w:ascii="方正小标宋简体" w:hAnsi="方正小标宋简体" w:eastAsia="方正小标宋简体" w:cs="方正小标宋简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5F76B54D"/>
    <w:multiLevelType w:val="multilevel"/>
    <w:tmpl w:val="5F76B54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1">
    <w:nsid w:val="62BA49CC"/>
    <w:multiLevelType w:val="multilevel"/>
    <w:tmpl w:val="62BA49CC"/>
    <w:lvl w:ilvl="0" w:tentative="0">
      <w:start w:val="1"/>
      <w:numFmt w:val="decimal"/>
      <w:lvlText w:val="第%1条 "/>
      <w:lvlJc w:val="left"/>
      <w:pPr>
        <w:ind w:left="1552" w:hanging="984"/>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3F281A7"/>
    <w:multiLevelType w:val="multilevel"/>
    <w:tmpl w:val="63F281A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5"/>
  </w:num>
  <w:num w:numId="2">
    <w:abstractNumId w:val="9"/>
  </w:num>
  <w:num w:numId="3">
    <w:abstractNumId w:val="2"/>
  </w:num>
  <w:num w:numId="4">
    <w:abstractNumId w:val="11"/>
  </w:num>
  <w:num w:numId="5">
    <w:abstractNumId w:val="0"/>
  </w:num>
  <w:num w:numId="6">
    <w:abstractNumId w:val="6"/>
  </w:num>
  <w:num w:numId="7">
    <w:abstractNumId w:val="8"/>
  </w:num>
  <w:num w:numId="8">
    <w:abstractNumId w:val="10"/>
  </w:num>
  <w:num w:numId="9">
    <w:abstractNumId w:val="1"/>
  </w:num>
  <w:num w:numId="10">
    <w:abstractNumId w:val="7"/>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MDc1YTVkYTZiMWRhZjUyNzg0N2I4MjlmZTlkODcifQ=="/>
  </w:docVars>
  <w:rsids>
    <w:rsidRoot w:val="00B34DBA"/>
    <w:rsid w:val="00016611"/>
    <w:rsid w:val="000530EE"/>
    <w:rsid w:val="000613C2"/>
    <w:rsid w:val="0008169B"/>
    <w:rsid w:val="000D4262"/>
    <w:rsid w:val="00183859"/>
    <w:rsid w:val="00192FDC"/>
    <w:rsid w:val="001A5990"/>
    <w:rsid w:val="00206494"/>
    <w:rsid w:val="00224550"/>
    <w:rsid w:val="0024137F"/>
    <w:rsid w:val="002C539B"/>
    <w:rsid w:val="00315BAD"/>
    <w:rsid w:val="00333F6A"/>
    <w:rsid w:val="00386078"/>
    <w:rsid w:val="00390B3A"/>
    <w:rsid w:val="003E5364"/>
    <w:rsid w:val="00436F67"/>
    <w:rsid w:val="00451465"/>
    <w:rsid w:val="004A7559"/>
    <w:rsid w:val="004C5DD9"/>
    <w:rsid w:val="004C65A5"/>
    <w:rsid w:val="004C6B38"/>
    <w:rsid w:val="004D0FFE"/>
    <w:rsid w:val="004E6163"/>
    <w:rsid w:val="0053579C"/>
    <w:rsid w:val="005A0506"/>
    <w:rsid w:val="005C2F9F"/>
    <w:rsid w:val="00602F31"/>
    <w:rsid w:val="00606846"/>
    <w:rsid w:val="006958B6"/>
    <w:rsid w:val="006B2237"/>
    <w:rsid w:val="006B7DB8"/>
    <w:rsid w:val="007030DC"/>
    <w:rsid w:val="007143E3"/>
    <w:rsid w:val="0074755F"/>
    <w:rsid w:val="007568C0"/>
    <w:rsid w:val="007733BA"/>
    <w:rsid w:val="007A2E88"/>
    <w:rsid w:val="007F6D38"/>
    <w:rsid w:val="00826F29"/>
    <w:rsid w:val="00847627"/>
    <w:rsid w:val="00850E8A"/>
    <w:rsid w:val="008601E8"/>
    <w:rsid w:val="00860C79"/>
    <w:rsid w:val="008F3F3F"/>
    <w:rsid w:val="0090326F"/>
    <w:rsid w:val="009643E6"/>
    <w:rsid w:val="009A3CA6"/>
    <w:rsid w:val="009B367E"/>
    <w:rsid w:val="00A07D80"/>
    <w:rsid w:val="00A6597A"/>
    <w:rsid w:val="00B117B6"/>
    <w:rsid w:val="00B34DBA"/>
    <w:rsid w:val="00B37715"/>
    <w:rsid w:val="00B572FE"/>
    <w:rsid w:val="00B578F1"/>
    <w:rsid w:val="00BA2526"/>
    <w:rsid w:val="00BF3A62"/>
    <w:rsid w:val="00C91056"/>
    <w:rsid w:val="00CA1A78"/>
    <w:rsid w:val="00CB63FC"/>
    <w:rsid w:val="00CD3927"/>
    <w:rsid w:val="00CF38C9"/>
    <w:rsid w:val="00D46831"/>
    <w:rsid w:val="00D46D94"/>
    <w:rsid w:val="00D6174F"/>
    <w:rsid w:val="00D91936"/>
    <w:rsid w:val="00DF5326"/>
    <w:rsid w:val="00E10BA5"/>
    <w:rsid w:val="00E70D6F"/>
    <w:rsid w:val="00EB485D"/>
    <w:rsid w:val="00F065B7"/>
    <w:rsid w:val="00F103A4"/>
    <w:rsid w:val="00F238C1"/>
    <w:rsid w:val="00F81859"/>
    <w:rsid w:val="00FA0908"/>
    <w:rsid w:val="00FA784D"/>
    <w:rsid w:val="00FB2E6B"/>
    <w:rsid w:val="00FD1DD7"/>
    <w:rsid w:val="00FE5400"/>
    <w:rsid w:val="02760F19"/>
    <w:rsid w:val="03052895"/>
    <w:rsid w:val="06FB653B"/>
    <w:rsid w:val="07073C20"/>
    <w:rsid w:val="07217F77"/>
    <w:rsid w:val="07F4724E"/>
    <w:rsid w:val="0AA655E2"/>
    <w:rsid w:val="0B2A5972"/>
    <w:rsid w:val="0B6F6B59"/>
    <w:rsid w:val="0BBE6FCF"/>
    <w:rsid w:val="119651CC"/>
    <w:rsid w:val="14254286"/>
    <w:rsid w:val="144C6DFF"/>
    <w:rsid w:val="19461623"/>
    <w:rsid w:val="1A2608F3"/>
    <w:rsid w:val="1AC437A4"/>
    <w:rsid w:val="1B9E3CC0"/>
    <w:rsid w:val="1BA21C53"/>
    <w:rsid w:val="21E958FE"/>
    <w:rsid w:val="22520CC1"/>
    <w:rsid w:val="22B73482"/>
    <w:rsid w:val="24AA31E9"/>
    <w:rsid w:val="251D41DD"/>
    <w:rsid w:val="25EC268B"/>
    <w:rsid w:val="26766764"/>
    <w:rsid w:val="27885954"/>
    <w:rsid w:val="295222DB"/>
    <w:rsid w:val="2A4A41FE"/>
    <w:rsid w:val="2AD362CC"/>
    <w:rsid w:val="2D106E30"/>
    <w:rsid w:val="2DE02080"/>
    <w:rsid w:val="306A6B17"/>
    <w:rsid w:val="31371952"/>
    <w:rsid w:val="322D5536"/>
    <w:rsid w:val="34AB35B3"/>
    <w:rsid w:val="34E61F8E"/>
    <w:rsid w:val="35905BB4"/>
    <w:rsid w:val="35DC5DD2"/>
    <w:rsid w:val="383065ED"/>
    <w:rsid w:val="38ED3A1D"/>
    <w:rsid w:val="39DF4C7B"/>
    <w:rsid w:val="3A374711"/>
    <w:rsid w:val="3A9C574C"/>
    <w:rsid w:val="3CA620E5"/>
    <w:rsid w:val="3CE22CCE"/>
    <w:rsid w:val="3D125A93"/>
    <w:rsid w:val="3E094962"/>
    <w:rsid w:val="3FC748BC"/>
    <w:rsid w:val="411E0E78"/>
    <w:rsid w:val="422E729E"/>
    <w:rsid w:val="45EA380F"/>
    <w:rsid w:val="467D3377"/>
    <w:rsid w:val="48750E49"/>
    <w:rsid w:val="4961652D"/>
    <w:rsid w:val="4A46348A"/>
    <w:rsid w:val="4B0E5569"/>
    <w:rsid w:val="4BE90A43"/>
    <w:rsid w:val="4FB1665D"/>
    <w:rsid w:val="512614A0"/>
    <w:rsid w:val="51B002D6"/>
    <w:rsid w:val="52DE294E"/>
    <w:rsid w:val="53B4545D"/>
    <w:rsid w:val="5436105D"/>
    <w:rsid w:val="5554358C"/>
    <w:rsid w:val="56137B9B"/>
    <w:rsid w:val="56BB7FA0"/>
    <w:rsid w:val="577B4363"/>
    <w:rsid w:val="5A04713E"/>
    <w:rsid w:val="5BCC1777"/>
    <w:rsid w:val="5C662A50"/>
    <w:rsid w:val="5D403218"/>
    <w:rsid w:val="5EC5783C"/>
    <w:rsid w:val="60150C86"/>
    <w:rsid w:val="605610C0"/>
    <w:rsid w:val="60C01654"/>
    <w:rsid w:val="659E378D"/>
    <w:rsid w:val="66794E53"/>
    <w:rsid w:val="66826378"/>
    <w:rsid w:val="67D8124B"/>
    <w:rsid w:val="69B93063"/>
    <w:rsid w:val="6A747E2F"/>
    <w:rsid w:val="6ADB0925"/>
    <w:rsid w:val="6AED777A"/>
    <w:rsid w:val="6AF43814"/>
    <w:rsid w:val="6C1618EB"/>
    <w:rsid w:val="6D930760"/>
    <w:rsid w:val="6E0077C5"/>
    <w:rsid w:val="6E245A12"/>
    <w:rsid w:val="6E40711C"/>
    <w:rsid w:val="71266672"/>
    <w:rsid w:val="722F0008"/>
    <w:rsid w:val="72C01474"/>
    <w:rsid w:val="73BB4FDD"/>
    <w:rsid w:val="75E040B2"/>
    <w:rsid w:val="75E949D7"/>
    <w:rsid w:val="77145730"/>
    <w:rsid w:val="77E62CFA"/>
    <w:rsid w:val="793D4465"/>
    <w:rsid w:val="7A0E2D85"/>
    <w:rsid w:val="7BC14A14"/>
    <w:rsid w:val="7C5B3F75"/>
    <w:rsid w:val="7C7E65A6"/>
    <w:rsid w:val="7F264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spacing w:line="360" w:lineRule="auto"/>
      <w:ind w:firstLine="420"/>
    </w:pPr>
    <w:rPr>
      <w:rFonts w:ascii="宋体" w:hAnsi="宋体"/>
      <w:szCs w:val="20"/>
    </w:rPr>
  </w:style>
  <w:style w:type="paragraph" w:styleId="6">
    <w:name w:val="caption"/>
    <w:basedOn w:val="1"/>
    <w:next w:val="1"/>
    <w:qFormat/>
    <w:uiPriority w:val="0"/>
    <w:rPr>
      <w:rFonts w:ascii="Arial" w:hAnsi="Arial" w:eastAsia="黑体" w:cs="Arial"/>
      <w:szCs w:val="20"/>
    </w:rPr>
  </w:style>
  <w:style w:type="paragraph" w:styleId="7">
    <w:name w:val="Body Text"/>
    <w:basedOn w:val="1"/>
    <w:qFormat/>
    <w:uiPriority w:val="0"/>
    <w:pPr>
      <w:spacing w:after="120" w:line="600" w:lineRule="exact"/>
    </w:pPr>
    <w:rPr>
      <w:rFonts w:eastAsia="仿宋_GB2312"/>
      <w:sz w:val="32"/>
    </w:rPr>
  </w:style>
  <w:style w:type="paragraph" w:styleId="8">
    <w:name w:val="Date"/>
    <w:basedOn w:val="1"/>
    <w:next w:val="1"/>
    <w:link w:val="18"/>
    <w:semiHidden/>
    <w:unhideWhenUsed/>
    <w:qFormat/>
    <w:uiPriority w:val="99"/>
    <w:pPr>
      <w:ind w:left="100" w:leftChars="2500"/>
    </w:pPr>
  </w:style>
  <w:style w:type="paragraph" w:styleId="9">
    <w:name w:val="footer"/>
    <w:basedOn w:val="1"/>
    <w:semiHidden/>
    <w:unhideWhenUsed/>
    <w:qFormat/>
    <w:uiPriority w:val="99"/>
    <w:pPr>
      <w:tabs>
        <w:tab w:val="center" w:pos="4153"/>
        <w:tab w:val="right" w:pos="8306"/>
      </w:tabs>
      <w:snapToGrid w:val="0"/>
      <w:jc w:val="left"/>
    </w:pPr>
    <w:rPr>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unhideWhenUsed/>
    <w:qFormat/>
    <w:uiPriority w:val="39"/>
    <w:pPr>
      <w:tabs>
        <w:tab w:val="right" w:leader="dot" w:pos="8306"/>
      </w:tabs>
    </w:pPr>
    <w:rPr>
      <w:rFonts w:ascii="黑体" w:hAnsi="黑体" w:eastAsia="黑体" w:cs="黑体"/>
      <w:smallCaps/>
      <w:sz w:val="32"/>
      <w:szCs w:val="32"/>
    </w:rPr>
  </w:style>
  <w:style w:type="paragraph" w:styleId="12">
    <w:name w:val="toc 2"/>
    <w:basedOn w:val="11"/>
    <w:next w:val="1"/>
    <w:unhideWhenUsed/>
    <w:qFormat/>
    <w:uiPriority w:val="39"/>
    <w:pPr>
      <w:spacing w:line="600" w:lineRule="exact"/>
      <w:ind w:firstLine="640" w:firstLineChars="200"/>
      <w:jc w:val="left"/>
    </w:pPr>
    <w:rPr>
      <w:rFonts w:ascii="仿宋_GB2312" w:hAnsi="仿宋_GB2312" w:eastAsia="仿宋_GB2312" w:cs="仿宋_GB2312"/>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rPr>
  </w:style>
  <w:style w:type="table" w:styleId="15">
    <w:name w:val="Table Grid"/>
    <w:basedOn w:val="14"/>
    <w:qFormat/>
    <w:uiPriority w:val="39"/>
    <w:pPr>
      <w:widowControl w:val="0"/>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日期 Char"/>
    <w:basedOn w:val="16"/>
    <w:link w:val="8"/>
    <w:semiHidden/>
    <w:qFormat/>
    <w:uiPriority w:val="99"/>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eastAsiaTheme="majorEastAsia" w:cstheme="majorBidi"/>
      <w:b/>
      <w:bCs/>
      <w:sz w:val="32"/>
      <w:szCs w:val="32"/>
    </w:rPr>
  </w:style>
  <w:style w:type="paragraph" w:styleId="21">
    <w:name w:val="List Paragraph"/>
    <w:basedOn w:val="1"/>
    <w:qFormat/>
    <w:uiPriority w:val="34"/>
    <w:pPr>
      <w:ind w:firstLine="420" w:firstLineChars="200"/>
    </w:pPr>
  </w:style>
  <w:style w:type="character" w:customStyle="1" w:styleId="22">
    <w:name w:val="标题 3 Char"/>
    <w:basedOn w:val="16"/>
    <w:link w:val="4"/>
    <w:qFormat/>
    <w:uiPriority w:val="9"/>
    <w:rPr>
      <w:b/>
      <w:bCs/>
      <w:sz w:val="32"/>
      <w:szCs w:val="32"/>
    </w:rPr>
  </w:style>
  <w:style w:type="paragraph" w:customStyle="1" w:styleId="23">
    <w:name w:val="0-表格正文"/>
    <w:basedOn w:val="1"/>
    <w:qFormat/>
    <w:uiPriority w:val="0"/>
    <w:pPr>
      <w:widowControl/>
      <w:spacing w:line="500" w:lineRule="exact"/>
      <w:jc w:val="center"/>
    </w:pPr>
    <w:rPr>
      <w:rFonts w:eastAsia="仿宋_GB2312"/>
      <w:kern w:val="0"/>
      <w:szCs w:val="20"/>
    </w:rPr>
  </w:style>
  <w:style w:type="paragraph" w:customStyle="1" w:styleId="24">
    <w:name w:val="0-专栏标题"/>
    <w:basedOn w:val="1"/>
    <w:qFormat/>
    <w:uiPriority w:val="99"/>
    <w:pPr>
      <w:spacing w:line="420" w:lineRule="exact"/>
      <w:jc w:val="center"/>
    </w:pPr>
    <w:rPr>
      <w:rFonts w:eastAsia="黑体"/>
      <w:sz w:val="30"/>
    </w:rPr>
  </w:style>
  <w:style w:type="paragraph" w:customStyle="1" w:styleId="25">
    <w:name w:val="四级"/>
    <w:basedOn w:val="1"/>
    <w:next w:val="1"/>
    <w:autoRedefine/>
    <w:qFormat/>
    <w:uiPriority w:val="0"/>
    <w:pPr>
      <w:numPr>
        <w:ilvl w:val="0"/>
        <w:numId w:val="1"/>
      </w:numPr>
      <w:adjustRightInd w:val="0"/>
      <w:snapToGrid w:val="0"/>
      <w:spacing w:before="100" w:beforeLines="100" w:after="100" w:afterLines="100"/>
      <w:ind w:firstLine="0"/>
      <w:jc w:val="left"/>
      <w:outlineLvl w:val="3"/>
    </w:pPr>
    <w:rPr>
      <w:rFonts w:eastAsia="仿宋_GB2312"/>
      <w:b/>
      <w:bCs/>
      <w:sz w:val="30"/>
      <w:szCs w:val="28"/>
    </w:rPr>
  </w:style>
  <w:style w:type="paragraph" w:customStyle="1" w:styleId="26">
    <w:name w:val="文本四级"/>
    <w:basedOn w:val="25"/>
    <w:next w:val="1"/>
    <w:autoRedefine/>
    <w:qFormat/>
    <w:uiPriority w:val="0"/>
    <w:pPr>
      <w:ind w:hanging="1080"/>
    </w:pPr>
  </w:style>
  <w:style w:type="paragraph" w:customStyle="1" w:styleId="27">
    <w:name w:val="表格表头"/>
    <w:basedOn w:val="6"/>
    <w:autoRedefine/>
    <w:qFormat/>
    <w:uiPriority w:val="0"/>
    <w:pPr>
      <w:ind w:firstLine="360"/>
      <w:jc w:val="center"/>
    </w:pPr>
  </w:style>
  <w:style w:type="paragraph" w:customStyle="1" w:styleId="28">
    <w:name w:val="表格"/>
    <w:basedOn w:val="1"/>
    <w:autoRedefine/>
    <w:qFormat/>
    <w:uiPriority w:val="0"/>
    <w:pPr>
      <w:jc w:val="center"/>
    </w:pPr>
    <w:rPr>
      <w:kern w:val="0"/>
      <w:sz w:val="18"/>
      <w:szCs w:val="18"/>
    </w:rPr>
  </w:style>
  <w:style w:type="character" w:customStyle="1" w:styleId="29">
    <w:name w:val="font11"/>
    <w:basedOn w:val="16"/>
    <w:qFormat/>
    <w:uiPriority w:val="0"/>
    <w:rPr>
      <w:rFonts w:hint="eastAsia" w:ascii="宋体" w:hAnsi="宋体" w:eastAsia="宋体" w:cs="宋体"/>
      <w:color w:val="000000"/>
      <w:sz w:val="22"/>
      <w:szCs w:val="22"/>
      <w:u w:val="none"/>
    </w:rPr>
  </w:style>
  <w:style w:type="character" w:customStyle="1" w:styleId="30">
    <w:name w:val="font01"/>
    <w:basedOn w:val="16"/>
    <w:qFormat/>
    <w:uiPriority w:val="0"/>
    <w:rPr>
      <w:rFonts w:hint="default" w:ascii="Arial" w:hAnsi="Arial" w:cs="Arial"/>
      <w:color w:val="000000"/>
      <w:sz w:val="22"/>
      <w:szCs w:val="22"/>
      <w:u w:val="none"/>
    </w:rPr>
  </w:style>
  <w:style w:type="paragraph" w:customStyle="1" w:styleId="31">
    <w:name w:val="图名标题"/>
    <w:basedOn w:val="1"/>
    <w:qFormat/>
    <w:uiPriority w:val="0"/>
    <w:pPr>
      <w:spacing w:line="600" w:lineRule="exact"/>
    </w:pPr>
    <w:rPr>
      <w:rFonts w:ascii="仿宋" w:hAnsi="仿宋" w:eastAsia="仿宋_GB2312" w:cs="仿宋"/>
      <w:sz w:val="32"/>
      <w:szCs w:val="3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87</Pages>
  <Words>6327</Words>
  <Characters>6581</Characters>
  <Lines>406</Lines>
  <Paragraphs>114</Paragraphs>
  <TotalTime>29</TotalTime>
  <ScaleCrop>false</ScaleCrop>
  <LinksUpToDate>false</LinksUpToDate>
  <CharactersWithSpaces>6742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2024-08-16T09:30:00Z</dcterms:created>
  <dc:creator>dell</dc:creator>
  <cp:lastModifiedBy>第八号当铺</cp:lastModifiedBy>
  <dcterms:modified xsi:type="dcterms:W3CDTF">2025-09-19T04:28:30Z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F92E79B10ACF48C9BB486DCA0CE02345_13</vt:lpwstr>
  </property>
  <property fmtid="{D5CDD505-2E9C-101B-9397-08002B2CF9AE}" pid="4" name="KSOTemplateDocerSaveRecord">
    <vt:lpwstr>eyJoZGlkIjoiOTY1MDc1YTVkYTZiMWRhZjUyNzg0N2I4MjlmZTlkODciLCJ1c2VySWQiOiIxMzEzNjY3MDIwIn0=</vt:lpwstr>
  </property>
</Properties>
</file>