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方正小标宋_GBK" w:hAnsi="方正小标宋_GBK" w:eastAsia="方正小标宋_GBK" w:cs="方正小标宋_GBK"/>
          <w:kern w:val="2"/>
          <w:sz w:val="36"/>
          <w:szCs w:val="36"/>
          <w:lang w:val="en-US" w:eastAsia="zh-CN" w:bidi="ar-SA"/>
        </w:rPr>
        <w:id w:val="147475266"/>
        <w15:color w:val="DBDBDB"/>
        <w:docPartObj>
          <w:docPartGallery w:val="Table of Contents"/>
          <w:docPartUnique/>
        </w:docPartObj>
      </w:sdtPr>
      <w:sdtEndPr>
        <w:rPr>
          <w:rFonts w:hint="eastAsia" w:ascii="方正小标宋_GBK" w:hAnsi="方正小标宋_GBK" w:eastAsia="方正小标宋_GBK" w:cs="方正小标宋_GBK"/>
          <w:kern w:val="2"/>
          <w:sz w:val="36"/>
          <w:szCs w:val="36"/>
          <w:lang w:val="en-US" w:eastAsia="zh-CN" w:bidi="ar-SA"/>
        </w:rPr>
      </w:sdtEndPr>
      <w:sdtContent>
        <w:p w14:paraId="4056F5A1">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36"/>
              <w:szCs w:val="36"/>
            </w:rPr>
          </w:pPr>
          <w:bookmarkStart w:id="0" w:name="_Toc15100"/>
          <w:bookmarkStart w:id="1" w:name="_Toc198237492"/>
          <w:bookmarkStart w:id="2" w:name="_Toc198237275"/>
          <w:r>
            <w:rPr>
              <w:rFonts w:hint="eastAsia" w:ascii="方正小标宋_GBK" w:hAnsi="方正小标宋_GBK" w:eastAsia="方正小标宋_GBK" w:cs="方正小标宋_GBK"/>
              <w:sz w:val="36"/>
              <w:szCs w:val="36"/>
            </w:rPr>
            <w:t>目录</w:t>
          </w:r>
        </w:p>
        <w:p w14:paraId="39932C31">
          <w:pPr>
            <w:pStyle w:val="25"/>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rPr>
          </w:pPr>
          <w:r>
            <w:fldChar w:fldCharType="begin"/>
          </w:r>
          <w:r>
            <w:instrText xml:space="preserve">TOC \o "1-2" \h \u </w:instrText>
          </w:r>
          <w:r>
            <w:fldChar w:fldCharType="separate"/>
          </w: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HYPERLINK \l _Toc2613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前 言</w:t>
          </w:r>
          <w:r>
            <w:rPr>
              <w:rFonts w:hint="eastAsia" w:ascii="黑体" w:hAnsi="黑体" w:eastAsia="黑体" w:cs="黑体"/>
              <w:b w:val="0"/>
              <w:bCs w:val="0"/>
              <w:caps/>
              <w:sz w:val="30"/>
              <w:szCs w:val="30"/>
            </w:rPr>
            <w:tab/>
          </w: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PAGEREF _Toc2613 \h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1</w:t>
          </w:r>
          <w:r>
            <w:rPr>
              <w:rFonts w:hint="eastAsia" w:ascii="黑体" w:hAnsi="黑体" w:eastAsia="黑体" w:cs="黑体"/>
              <w:b w:val="0"/>
              <w:bCs w:val="0"/>
              <w:caps/>
              <w:sz w:val="30"/>
              <w:szCs w:val="30"/>
            </w:rPr>
            <w:fldChar w:fldCharType="end"/>
          </w:r>
          <w:r>
            <w:rPr>
              <w:rFonts w:hint="eastAsia" w:ascii="黑体" w:hAnsi="黑体" w:eastAsia="黑体" w:cs="黑体"/>
              <w:b w:val="0"/>
              <w:bCs w:val="0"/>
              <w:caps/>
              <w:sz w:val="30"/>
              <w:szCs w:val="30"/>
            </w:rPr>
            <w:fldChar w:fldCharType="end"/>
          </w:r>
        </w:p>
        <w:p w14:paraId="3AE07501">
          <w:pPr>
            <w:pStyle w:val="25"/>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rPr>
          </w:pP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HYPERLINK \l _Toc28371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第一章 规划背景</w:t>
          </w:r>
          <w:r>
            <w:rPr>
              <w:rFonts w:hint="eastAsia" w:ascii="黑体" w:hAnsi="黑体" w:eastAsia="黑体" w:cs="黑体"/>
              <w:b w:val="0"/>
              <w:bCs w:val="0"/>
              <w:caps/>
              <w:sz w:val="30"/>
              <w:szCs w:val="30"/>
            </w:rPr>
            <w:tab/>
          </w: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PAGEREF _Toc28371 \h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3</w:t>
          </w:r>
          <w:r>
            <w:rPr>
              <w:rFonts w:hint="eastAsia" w:ascii="黑体" w:hAnsi="黑体" w:eastAsia="黑体" w:cs="黑体"/>
              <w:b w:val="0"/>
              <w:bCs w:val="0"/>
              <w:caps/>
              <w:sz w:val="30"/>
              <w:szCs w:val="30"/>
            </w:rPr>
            <w:fldChar w:fldCharType="end"/>
          </w:r>
          <w:r>
            <w:rPr>
              <w:rFonts w:hint="eastAsia" w:ascii="黑体" w:hAnsi="黑体" w:eastAsia="黑体" w:cs="黑体"/>
              <w:b w:val="0"/>
              <w:bCs w:val="0"/>
              <w:caps/>
              <w:sz w:val="30"/>
              <w:szCs w:val="30"/>
            </w:rPr>
            <w:fldChar w:fldCharType="end"/>
          </w:r>
        </w:p>
        <w:p w14:paraId="10EBEFE0">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_Toc11766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第一节 禀赋与条件</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_Toc11766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3</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591CE6CD">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_Toc1223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第二节 现状与问题</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_Toc1223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5</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707BC352">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_Toc29209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第三节 发展机遇与挑战</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_Toc29209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7</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2E682EFF">
          <w:pPr>
            <w:pStyle w:val="25"/>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rPr>
          </w:pP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HYPERLINK \l _Toc2434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第二章 指导思想与目标战略</w:t>
          </w:r>
          <w:r>
            <w:rPr>
              <w:rFonts w:hint="eastAsia" w:ascii="黑体" w:hAnsi="黑体" w:eastAsia="黑体" w:cs="黑体"/>
              <w:b w:val="0"/>
              <w:bCs w:val="0"/>
              <w:caps/>
              <w:sz w:val="30"/>
              <w:szCs w:val="30"/>
            </w:rPr>
            <w:tab/>
          </w: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PAGEREF _Toc2434 \h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10</w:t>
          </w:r>
          <w:r>
            <w:rPr>
              <w:rFonts w:hint="eastAsia" w:ascii="黑体" w:hAnsi="黑体" w:eastAsia="黑体" w:cs="黑体"/>
              <w:b w:val="0"/>
              <w:bCs w:val="0"/>
              <w:caps/>
              <w:sz w:val="30"/>
              <w:szCs w:val="30"/>
            </w:rPr>
            <w:fldChar w:fldCharType="end"/>
          </w:r>
          <w:r>
            <w:rPr>
              <w:rFonts w:hint="eastAsia" w:ascii="黑体" w:hAnsi="黑体" w:eastAsia="黑体" w:cs="黑体"/>
              <w:b w:val="0"/>
              <w:bCs w:val="0"/>
              <w:caps/>
              <w:sz w:val="30"/>
              <w:szCs w:val="30"/>
            </w:rPr>
            <w:fldChar w:fldCharType="end"/>
          </w:r>
        </w:p>
        <w:p w14:paraId="2D18268F">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_Toc18202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第一节 指导思想</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_Toc18202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10</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37A80E96">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_Toc23823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第二节 总体定位</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_Toc23823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11</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5E1D22ED">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_Toc24677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第三节 开发保护目标与战略</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_Toc24677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12</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4B7E8F32">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_Toc12909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第四节 区域协同</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_Toc12909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17</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08F1E1D7">
          <w:pPr>
            <w:pStyle w:val="25"/>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rPr>
          </w:pP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HYPERLINK \l _Toc25894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第三章 构建国土空间开发保护新格局</w:t>
          </w:r>
          <w:r>
            <w:rPr>
              <w:rFonts w:hint="eastAsia" w:ascii="黑体" w:hAnsi="黑体" w:eastAsia="黑体" w:cs="黑体"/>
              <w:b w:val="0"/>
              <w:bCs w:val="0"/>
              <w:caps/>
              <w:sz w:val="30"/>
              <w:szCs w:val="30"/>
            </w:rPr>
            <w:tab/>
          </w: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PAGEREF _Toc25894 \h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19</w:t>
          </w:r>
          <w:r>
            <w:rPr>
              <w:rFonts w:hint="eastAsia" w:ascii="黑体" w:hAnsi="黑体" w:eastAsia="黑体" w:cs="黑体"/>
              <w:b w:val="0"/>
              <w:bCs w:val="0"/>
              <w:caps/>
              <w:sz w:val="30"/>
              <w:szCs w:val="30"/>
            </w:rPr>
            <w:fldChar w:fldCharType="end"/>
          </w:r>
          <w:r>
            <w:rPr>
              <w:rFonts w:hint="eastAsia" w:ascii="黑体" w:hAnsi="黑体" w:eastAsia="黑体" w:cs="黑体"/>
              <w:b w:val="0"/>
              <w:bCs w:val="0"/>
              <w:caps/>
              <w:sz w:val="30"/>
              <w:szCs w:val="30"/>
            </w:rPr>
            <w:fldChar w:fldCharType="end"/>
          </w:r>
        </w:p>
        <w:p w14:paraId="7FFCD09A">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_Toc23483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第一节 筑牢安全发展的空间基础</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_Toc23483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19</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1CBFE6ED">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_Toc28721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第二节 严格落实主体功能区布局</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_Toc28721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26</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094D1351">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_Toc7391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第三节 构建国土空间开发保护新格局</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_Toc7391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27</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0009BC75">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_Toc8338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第四节 国土空间规划分区与用途管制</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_Toc8338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28</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7E0C9E58">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_Toc24692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第五节 用途结构调整</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_Toc24692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29</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416E3BA5">
          <w:pPr>
            <w:pStyle w:val="25"/>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rPr>
          </w:pP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HYPERLINK \l _Toc18252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第四章 优化生态空间格局，筑牢</w:t>
          </w:r>
          <w:r>
            <w:rPr>
              <w:rFonts w:hint="eastAsia" w:ascii="黑体" w:hAnsi="黑体" w:eastAsia="黑体" w:cs="黑体"/>
              <w:b w:val="0"/>
              <w:bCs w:val="0"/>
              <w:caps/>
              <w:sz w:val="30"/>
              <w:szCs w:val="30"/>
              <w:lang w:val="en-US" w:eastAsia="zh-CN"/>
            </w:rPr>
            <w:t>环湖</w:t>
          </w:r>
          <w:r>
            <w:rPr>
              <w:rFonts w:hint="eastAsia" w:ascii="黑体" w:hAnsi="黑体" w:eastAsia="黑体" w:cs="黑体"/>
              <w:b w:val="0"/>
              <w:bCs w:val="0"/>
              <w:caps/>
              <w:sz w:val="30"/>
              <w:szCs w:val="30"/>
            </w:rPr>
            <w:t>生态屏障</w:t>
          </w:r>
          <w:r>
            <w:rPr>
              <w:rFonts w:hint="eastAsia" w:ascii="黑体" w:hAnsi="黑体" w:eastAsia="黑体" w:cs="黑体"/>
              <w:b w:val="0"/>
              <w:bCs w:val="0"/>
              <w:caps/>
              <w:sz w:val="30"/>
              <w:szCs w:val="30"/>
            </w:rPr>
            <w:tab/>
          </w: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PAGEREF _Toc18252 \h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31</w:t>
          </w:r>
          <w:r>
            <w:rPr>
              <w:rFonts w:hint="eastAsia" w:ascii="黑体" w:hAnsi="黑体" w:eastAsia="黑体" w:cs="黑体"/>
              <w:b w:val="0"/>
              <w:bCs w:val="0"/>
              <w:caps/>
              <w:sz w:val="30"/>
              <w:szCs w:val="30"/>
            </w:rPr>
            <w:fldChar w:fldCharType="end"/>
          </w:r>
          <w:r>
            <w:rPr>
              <w:rFonts w:hint="eastAsia" w:ascii="黑体" w:hAnsi="黑体" w:eastAsia="黑体" w:cs="黑体"/>
              <w:b w:val="0"/>
              <w:bCs w:val="0"/>
              <w:caps/>
              <w:sz w:val="30"/>
              <w:szCs w:val="30"/>
            </w:rPr>
            <w:fldChar w:fldCharType="end"/>
          </w:r>
        </w:p>
        <w:p w14:paraId="77CA43E8">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_Toc18681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第一节 保护生态空间，构建山清水秀的良好生态景观</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_Toc18681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31</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05323F8D">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_Toc25670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第二节 建设生物多样性保护网络</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_Toc25670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32</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7DC663D4">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_Toc10387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第三节 增强水资源刚性约束和管控</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_Toc10387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33</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16E8CADC">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_Toc29568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第四节 加强生态资源保护与利用</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_Toc29568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34</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61FAEB0E">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_Toc31724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第五节 实施山水林田湖草沙一体化保护和系统治理</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_Toc31724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35</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4A2015D0">
          <w:pPr>
            <w:pStyle w:val="25"/>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rPr>
          </w:pP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HYPERLINK \l _Toc21759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 xml:space="preserve">第五章 </w:t>
          </w:r>
          <w:r>
            <w:rPr>
              <w:rFonts w:hint="eastAsia" w:ascii="黑体" w:hAnsi="黑体" w:eastAsia="黑体" w:cs="黑体"/>
              <w:b w:val="0"/>
              <w:bCs w:val="0"/>
              <w:caps/>
              <w:sz w:val="30"/>
              <w:szCs w:val="30"/>
              <w:lang w:val="en-US" w:eastAsia="zh-CN"/>
            </w:rPr>
            <w:t>严格落实耕地保护，提标升级农业空间</w:t>
          </w:r>
          <w:r>
            <w:rPr>
              <w:rFonts w:hint="eastAsia" w:ascii="黑体" w:hAnsi="黑体" w:eastAsia="黑体" w:cs="黑体"/>
              <w:b w:val="0"/>
              <w:bCs w:val="0"/>
              <w:caps/>
              <w:sz w:val="30"/>
              <w:szCs w:val="30"/>
            </w:rPr>
            <w:tab/>
          </w: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PAGEREF _Toc21759 \h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39</w:t>
          </w:r>
          <w:r>
            <w:rPr>
              <w:rFonts w:hint="eastAsia" w:ascii="黑体" w:hAnsi="黑体" w:eastAsia="黑体" w:cs="黑体"/>
              <w:b w:val="0"/>
              <w:bCs w:val="0"/>
              <w:caps/>
              <w:sz w:val="30"/>
              <w:szCs w:val="30"/>
            </w:rPr>
            <w:fldChar w:fldCharType="end"/>
          </w:r>
          <w:r>
            <w:rPr>
              <w:rFonts w:hint="eastAsia" w:ascii="黑体" w:hAnsi="黑体" w:eastAsia="黑体" w:cs="黑体"/>
              <w:b w:val="0"/>
              <w:bCs w:val="0"/>
              <w:caps/>
              <w:sz w:val="30"/>
              <w:szCs w:val="30"/>
            </w:rPr>
            <w:fldChar w:fldCharType="end"/>
          </w:r>
        </w:p>
        <w:p w14:paraId="2F57030D">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_Toc10479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第一节 实施耕地数量、质量、生态“三位一体”保护</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_Toc10479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39</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1E4D15ED">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_Toc11543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第二节 重点拓展农畜产品生产空间</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_Toc11543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40</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076C28F8">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_Toc2156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第三节 强化草地资源保护利用</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_Toc2156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41</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6017AE53">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_Toc18421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第四节 有序实施农用地综合整治</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_Toc18421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43</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149541A5">
          <w:pPr>
            <w:pStyle w:val="25"/>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rPr>
          </w:pP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HYPERLINK \l _Toc14834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 xml:space="preserve">第六章 </w:t>
          </w:r>
          <w:r>
            <w:rPr>
              <w:rFonts w:hint="eastAsia" w:ascii="黑体" w:hAnsi="黑体" w:eastAsia="黑体" w:cs="黑体"/>
              <w:b w:val="0"/>
              <w:bCs w:val="0"/>
              <w:caps/>
              <w:sz w:val="30"/>
              <w:szCs w:val="30"/>
              <w:lang w:val="en-US" w:eastAsia="zh-CN"/>
            </w:rPr>
            <w:t>统筹</w:t>
          </w:r>
          <w:r>
            <w:rPr>
              <w:rFonts w:hint="eastAsia" w:ascii="黑体" w:hAnsi="黑体" w:eastAsia="黑体" w:cs="黑体"/>
              <w:b w:val="0"/>
              <w:bCs w:val="0"/>
              <w:caps/>
              <w:sz w:val="30"/>
              <w:szCs w:val="30"/>
            </w:rPr>
            <w:t>优化</w:t>
          </w:r>
          <w:r>
            <w:rPr>
              <w:rFonts w:hint="eastAsia" w:ascii="黑体" w:hAnsi="黑体" w:eastAsia="黑体" w:cs="黑体"/>
              <w:b w:val="0"/>
              <w:bCs w:val="0"/>
              <w:caps/>
              <w:sz w:val="30"/>
              <w:szCs w:val="30"/>
              <w:lang w:val="en-US" w:eastAsia="zh-CN"/>
            </w:rPr>
            <w:t>镇村</w:t>
          </w:r>
          <w:r>
            <w:rPr>
              <w:rFonts w:hint="eastAsia" w:ascii="黑体" w:hAnsi="黑体" w:eastAsia="黑体" w:cs="黑体"/>
              <w:b w:val="0"/>
              <w:bCs w:val="0"/>
              <w:caps/>
              <w:sz w:val="30"/>
              <w:szCs w:val="30"/>
            </w:rPr>
            <w:t>空间</w:t>
          </w:r>
          <w:r>
            <w:rPr>
              <w:rFonts w:hint="eastAsia" w:ascii="黑体" w:hAnsi="黑体" w:eastAsia="黑体" w:cs="黑体"/>
              <w:b w:val="0"/>
              <w:bCs w:val="0"/>
              <w:caps/>
              <w:sz w:val="30"/>
              <w:szCs w:val="30"/>
              <w:lang w:eastAsia="zh-CN"/>
            </w:rPr>
            <w:t>，</w:t>
          </w:r>
          <w:r>
            <w:rPr>
              <w:rFonts w:hint="eastAsia" w:ascii="黑体" w:hAnsi="黑体" w:eastAsia="黑体" w:cs="黑体"/>
              <w:b w:val="0"/>
              <w:bCs w:val="0"/>
              <w:caps/>
              <w:sz w:val="30"/>
              <w:szCs w:val="30"/>
              <w:lang w:val="en-US" w:eastAsia="zh-CN"/>
            </w:rPr>
            <w:t>全面推动乡村振兴</w:t>
          </w:r>
          <w:r>
            <w:rPr>
              <w:rFonts w:hint="eastAsia" w:ascii="黑体" w:hAnsi="黑体" w:eastAsia="黑体" w:cs="黑体"/>
              <w:b w:val="0"/>
              <w:bCs w:val="0"/>
              <w:caps/>
              <w:sz w:val="30"/>
              <w:szCs w:val="30"/>
            </w:rPr>
            <w:tab/>
          </w: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PAGEREF _Toc14834 \h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44</w:t>
          </w:r>
          <w:r>
            <w:rPr>
              <w:rFonts w:hint="eastAsia" w:ascii="黑体" w:hAnsi="黑体" w:eastAsia="黑体" w:cs="黑体"/>
              <w:b w:val="0"/>
              <w:bCs w:val="0"/>
              <w:caps/>
              <w:sz w:val="30"/>
              <w:szCs w:val="30"/>
            </w:rPr>
            <w:fldChar w:fldCharType="end"/>
          </w:r>
          <w:r>
            <w:rPr>
              <w:rFonts w:hint="eastAsia" w:ascii="黑体" w:hAnsi="黑体" w:eastAsia="黑体" w:cs="黑体"/>
              <w:b w:val="0"/>
              <w:bCs w:val="0"/>
              <w:caps/>
              <w:sz w:val="30"/>
              <w:szCs w:val="30"/>
            </w:rPr>
            <w:fldChar w:fldCharType="end"/>
          </w:r>
        </w:p>
        <w:p w14:paraId="15A09C79">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_Toc8861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第一节 优化镇村空间体系</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_Toc8861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44</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0BA00C7A">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_Toc31585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第二节 优化乡村空间布局</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_Toc31585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45</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23F4B7AE">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_Toc3259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第三节 引导产业空间布局</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_Toc3259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49</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1C4A7422">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_Toc18931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第四节 完善公共服务设施布局</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_Toc18931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53</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518804B9">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_Toc12776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第五节 促进城乡建设用地节约集约</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_Toc12776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54</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5A7EAAE2">
          <w:pPr>
            <w:pStyle w:val="25"/>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rPr>
          </w:pP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HYPERLINK \l _Toc223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 xml:space="preserve">第七章 </w:t>
          </w:r>
          <w:r>
            <w:rPr>
              <w:rFonts w:hint="eastAsia" w:ascii="黑体" w:hAnsi="黑体" w:eastAsia="黑体" w:cs="黑体"/>
              <w:b w:val="0"/>
              <w:bCs w:val="0"/>
              <w:caps/>
              <w:sz w:val="30"/>
              <w:szCs w:val="30"/>
              <w:lang w:val="en-US" w:eastAsia="zh-CN"/>
            </w:rPr>
            <w:t>塑造宜居</w:t>
          </w:r>
          <w:r>
            <w:rPr>
              <w:rFonts w:hint="eastAsia" w:ascii="黑体" w:hAnsi="黑体" w:eastAsia="黑体" w:cs="黑体"/>
              <w:b w:val="0"/>
              <w:bCs w:val="0"/>
              <w:caps/>
              <w:sz w:val="30"/>
              <w:szCs w:val="30"/>
            </w:rPr>
            <w:t>镇区</w:t>
          </w:r>
          <w:r>
            <w:rPr>
              <w:rFonts w:hint="eastAsia" w:ascii="黑体" w:hAnsi="黑体" w:eastAsia="黑体" w:cs="黑体"/>
              <w:b w:val="0"/>
              <w:bCs w:val="0"/>
              <w:caps/>
              <w:sz w:val="30"/>
              <w:szCs w:val="30"/>
              <w:lang w:val="en-US" w:eastAsia="zh-CN"/>
            </w:rPr>
            <w:t>空间</w:t>
          </w:r>
          <w:r>
            <w:rPr>
              <w:rFonts w:hint="eastAsia" w:ascii="黑体" w:hAnsi="黑体" w:eastAsia="黑体" w:cs="黑体"/>
              <w:b w:val="0"/>
              <w:bCs w:val="0"/>
              <w:caps/>
              <w:sz w:val="30"/>
              <w:szCs w:val="30"/>
            </w:rPr>
            <w:tab/>
          </w: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PAGEREF _Toc223 \h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56</w:t>
          </w:r>
          <w:r>
            <w:rPr>
              <w:rFonts w:hint="eastAsia" w:ascii="黑体" w:hAnsi="黑体" w:eastAsia="黑体" w:cs="黑体"/>
              <w:b w:val="0"/>
              <w:bCs w:val="0"/>
              <w:caps/>
              <w:sz w:val="30"/>
              <w:szCs w:val="30"/>
            </w:rPr>
            <w:fldChar w:fldCharType="end"/>
          </w:r>
          <w:r>
            <w:rPr>
              <w:rFonts w:hint="eastAsia" w:ascii="黑体" w:hAnsi="黑体" w:eastAsia="黑体" w:cs="黑体"/>
              <w:b w:val="0"/>
              <w:bCs w:val="0"/>
              <w:caps/>
              <w:sz w:val="30"/>
              <w:szCs w:val="30"/>
            </w:rPr>
            <w:fldChar w:fldCharType="end"/>
          </w:r>
        </w:p>
        <w:p w14:paraId="5BCA7315">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_Toc3686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第一节 空间结构</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_Toc3686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56</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77DA592E">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_Toc2495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第二节 功能与用地布局</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_Toc2495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56</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438AD790">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_Toc12886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第三节 居住与住房保障</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_Toc12886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57</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7542B652">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_Toc5464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第四节 公共服务设施布局</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_Toc5464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58</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1AFFD502">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_Toc4081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第五节 绿地和开敞空间</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_Toc4081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59</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4D5B1DFE">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_Toc18297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第六节 综合交通体系</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_Toc18297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59</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690C2A0C">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_Toc13398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第七节 市政基础设施布局</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_Toc13398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61</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01325512">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_Toc22288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第八节 综合防灾减灾</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_Toc22288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64</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034AA7A3">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_Toc2016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第九节 城镇风貌引导与管控</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_Toc2016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68</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630E0A11">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_Toc27557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第十节 五线管控</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_Toc27557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69</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426BA619">
          <w:pPr>
            <w:pStyle w:val="25"/>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rPr>
          </w:pP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HYPERLINK \l _Toc23082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第八章 历史文化保护与景观风貌引导</w:t>
          </w:r>
          <w:r>
            <w:rPr>
              <w:rFonts w:hint="eastAsia" w:ascii="黑体" w:hAnsi="黑体" w:eastAsia="黑体" w:cs="黑体"/>
              <w:b w:val="0"/>
              <w:bCs w:val="0"/>
              <w:caps/>
              <w:sz w:val="30"/>
              <w:szCs w:val="30"/>
            </w:rPr>
            <w:tab/>
          </w: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PAGEREF _Toc23082 \h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71</w:t>
          </w:r>
          <w:r>
            <w:rPr>
              <w:rFonts w:hint="eastAsia" w:ascii="黑体" w:hAnsi="黑体" w:eastAsia="黑体" w:cs="黑体"/>
              <w:b w:val="0"/>
              <w:bCs w:val="0"/>
              <w:caps/>
              <w:sz w:val="30"/>
              <w:szCs w:val="30"/>
            </w:rPr>
            <w:fldChar w:fldCharType="end"/>
          </w:r>
          <w:r>
            <w:rPr>
              <w:rFonts w:hint="eastAsia" w:ascii="黑体" w:hAnsi="黑体" w:eastAsia="黑体" w:cs="黑体"/>
              <w:b w:val="0"/>
              <w:bCs w:val="0"/>
              <w:caps/>
              <w:sz w:val="30"/>
              <w:szCs w:val="30"/>
            </w:rPr>
            <w:fldChar w:fldCharType="end"/>
          </w:r>
        </w:p>
        <w:p w14:paraId="2E0E677F">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_Toc3026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第一节 整体保护文化遗产，传承历史文化价值</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_Toc3026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71</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56020D5C">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_Toc24356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第二节 美丽城镇建设与风貌引导</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_Toc24356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72</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4975DE71">
          <w:pPr>
            <w:pStyle w:val="25"/>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rPr>
          </w:pP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HYPERLINK \l _Toc19583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第九章 强化空间统筹，保障重大基础设施建设</w:t>
          </w:r>
          <w:r>
            <w:rPr>
              <w:rFonts w:hint="eastAsia" w:ascii="黑体" w:hAnsi="黑体" w:eastAsia="黑体" w:cs="黑体"/>
              <w:b w:val="0"/>
              <w:bCs w:val="0"/>
              <w:caps/>
              <w:sz w:val="30"/>
              <w:szCs w:val="30"/>
            </w:rPr>
            <w:tab/>
          </w: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PAGEREF _Toc19583 \h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74</w:t>
          </w:r>
          <w:r>
            <w:rPr>
              <w:rFonts w:hint="eastAsia" w:ascii="黑体" w:hAnsi="黑体" w:eastAsia="黑体" w:cs="黑体"/>
              <w:b w:val="0"/>
              <w:bCs w:val="0"/>
              <w:caps/>
              <w:sz w:val="30"/>
              <w:szCs w:val="30"/>
            </w:rPr>
            <w:fldChar w:fldCharType="end"/>
          </w:r>
          <w:r>
            <w:rPr>
              <w:rFonts w:hint="eastAsia" w:ascii="黑体" w:hAnsi="黑体" w:eastAsia="黑体" w:cs="黑体"/>
              <w:b w:val="0"/>
              <w:bCs w:val="0"/>
              <w:caps/>
              <w:sz w:val="30"/>
              <w:szCs w:val="30"/>
            </w:rPr>
            <w:fldChar w:fldCharType="end"/>
          </w:r>
        </w:p>
        <w:p w14:paraId="527EBBC7">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_Toc11755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第一节 优化综合交通和物流网络布局</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_Toc11755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74</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62F445ED">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_Toc12002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第二节 构建安全可靠水利基础设施网络</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_Toc12002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77</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1989F44F">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_Toc5951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第三节 保障国家清洁能源产业高地建设</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_Toc5951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78</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73BA76F1">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_Toc19345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第四节 推进绿色矿业建设</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_Toc19345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79</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7C84966E">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_Toc6349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第五节 系统布局新型基础设施</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_Toc6349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80</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5A6D8E84">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_Toc6962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第六节 构建韧性安全的综合防灾体系</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_Toc6962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83</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000B9F5E">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_Toc7080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第七节 保障基础设施用地</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_Toc7080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88</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48F5D3AD">
          <w:pPr>
            <w:pStyle w:val="25"/>
            <w:keepNext w:val="0"/>
            <w:keepLines w:val="0"/>
            <w:pageBreakBefore w:val="0"/>
            <w:widowControl w:val="0"/>
            <w:tabs>
              <w:tab w:val="right" w:leader="dot" w:pos="8296"/>
            </w:tabs>
            <w:kinsoku/>
            <w:wordWrap/>
            <w:overflowPunct/>
            <w:topLinePunct w:val="0"/>
            <w:autoSpaceDE/>
            <w:autoSpaceDN/>
            <w:bidi w:val="0"/>
            <w:adjustRightInd/>
            <w:snapToGrid/>
            <w:spacing w:before="0" w:after="0" w:line="240" w:lineRule="auto"/>
            <w:ind w:firstLine="0" w:firstLineChars="0"/>
            <w:jc w:val="both"/>
            <w:textAlignment w:val="auto"/>
            <w:rPr>
              <w:rFonts w:hint="eastAsia" w:ascii="黑体" w:hAnsi="黑体" w:eastAsia="黑体" w:cs="黑体"/>
              <w:b w:val="0"/>
              <w:bCs w:val="0"/>
              <w:caps/>
              <w:sz w:val="30"/>
              <w:szCs w:val="30"/>
            </w:rPr>
          </w:pP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HYPERLINK \l _Toc29060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第十章 完善体制机制，高质量做好规划实施保障</w:t>
          </w:r>
          <w:r>
            <w:rPr>
              <w:rFonts w:hint="eastAsia" w:ascii="黑体" w:hAnsi="黑体" w:eastAsia="黑体" w:cs="黑体"/>
              <w:b w:val="0"/>
              <w:bCs w:val="0"/>
              <w:caps/>
              <w:sz w:val="30"/>
              <w:szCs w:val="30"/>
            </w:rPr>
            <w:tab/>
          </w:r>
          <w:r>
            <w:rPr>
              <w:rFonts w:hint="eastAsia" w:ascii="黑体" w:hAnsi="黑体" w:eastAsia="黑体" w:cs="黑体"/>
              <w:b w:val="0"/>
              <w:bCs w:val="0"/>
              <w:caps/>
              <w:sz w:val="30"/>
              <w:szCs w:val="30"/>
            </w:rPr>
            <w:fldChar w:fldCharType="begin"/>
          </w:r>
          <w:r>
            <w:rPr>
              <w:rFonts w:hint="eastAsia" w:ascii="黑体" w:hAnsi="黑体" w:eastAsia="黑体" w:cs="黑体"/>
              <w:b w:val="0"/>
              <w:bCs w:val="0"/>
              <w:caps/>
              <w:sz w:val="30"/>
              <w:szCs w:val="30"/>
            </w:rPr>
            <w:instrText xml:space="preserve"> PAGEREF _Toc29060 \h </w:instrText>
          </w:r>
          <w:r>
            <w:rPr>
              <w:rFonts w:hint="eastAsia" w:ascii="黑体" w:hAnsi="黑体" w:eastAsia="黑体" w:cs="黑体"/>
              <w:b w:val="0"/>
              <w:bCs w:val="0"/>
              <w:caps/>
              <w:sz w:val="30"/>
              <w:szCs w:val="30"/>
            </w:rPr>
            <w:fldChar w:fldCharType="separate"/>
          </w:r>
          <w:r>
            <w:rPr>
              <w:rFonts w:hint="eastAsia" w:ascii="黑体" w:hAnsi="黑体" w:eastAsia="黑体" w:cs="黑体"/>
              <w:b w:val="0"/>
              <w:bCs w:val="0"/>
              <w:caps/>
              <w:sz w:val="30"/>
              <w:szCs w:val="30"/>
            </w:rPr>
            <w:t>90</w:t>
          </w:r>
          <w:r>
            <w:rPr>
              <w:rFonts w:hint="eastAsia" w:ascii="黑体" w:hAnsi="黑体" w:eastAsia="黑体" w:cs="黑体"/>
              <w:b w:val="0"/>
              <w:bCs w:val="0"/>
              <w:caps/>
              <w:sz w:val="30"/>
              <w:szCs w:val="30"/>
            </w:rPr>
            <w:fldChar w:fldCharType="end"/>
          </w:r>
          <w:r>
            <w:rPr>
              <w:rFonts w:hint="eastAsia" w:ascii="黑体" w:hAnsi="黑体" w:eastAsia="黑体" w:cs="黑体"/>
              <w:b w:val="0"/>
              <w:bCs w:val="0"/>
              <w:caps/>
              <w:sz w:val="30"/>
              <w:szCs w:val="30"/>
            </w:rPr>
            <w:fldChar w:fldCharType="end"/>
          </w:r>
        </w:p>
        <w:p w14:paraId="0A8F5E93">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_Toc24484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第一节 加强党的领导</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_Toc24484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90</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7D7EFAAB">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_Toc9688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第二节 健全配套政策</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_Toc9688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90</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1D68355B">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_Toc17009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第三节 强化规划传导与用途管制</w:t>
          </w:r>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_Toc17009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91</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6426B778">
          <w:pPr>
            <w:pStyle w:val="30"/>
            <w:keepNext w:val="0"/>
            <w:keepLines w:val="0"/>
            <w:pageBreakBefore w:val="0"/>
            <w:widowControl w:val="0"/>
            <w:tabs>
              <w:tab w:val="right" w:leader="dot" w:pos="8296"/>
            </w:tabs>
            <w:kinsoku/>
            <w:wordWrap/>
            <w:overflowPunct/>
            <w:topLinePunct w:val="0"/>
            <w:autoSpaceDE/>
            <w:autoSpaceDN/>
            <w:bidi w:val="0"/>
            <w:adjustRightInd/>
            <w:snapToGrid/>
            <w:spacing w:line="500" w:lineRule="exact"/>
            <w:ind w:left="420" w:leftChars="200" w:firstLine="0" w:firstLineChars="0"/>
            <w:jc w:val="both"/>
            <w:textAlignment w:val="auto"/>
            <w:rPr>
              <w:rFonts w:hint="eastAsia" w:ascii="仿宋_GB2312" w:hAnsi="仿宋_GB2312" w:eastAsia="仿宋_GB2312" w:cs="仿宋_GB2312"/>
              <w:smallCaps/>
              <w:sz w:val="30"/>
              <w:szCs w:val="30"/>
            </w:rPr>
          </w:pP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HYPERLINK \l _Toc31799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lang w:val="zh-CN"/>
            </w:rPr>
            <w:t>第四节 近期安排</w:t>
          </w:r>
          <w:bookmarkStart w:id="462" w:name="_GoBack"/>
          <w:bookmarkEnd w:id="462"/>
          <w:r>
            <w:rPr>
              <w:rFonts w:hint="eastAsia" w:ascii="仿宋_GB2312" w:hAnsi="仿宋_GB2312" w:eastAsia="仿宋_GB2312" w:cs="仿宋_GB2312"/>
              <w:smallCaps/>
              <w:sz w:val="30"/>
              <w:szCs w:val="30"/>
            </w:rPr>
            <w:tab/>
          </w:r>
          <w:r>
            <w:rPr>
              <w:rFonts w:hint="eastAsia" w:ascii="仿宋_GB2312" w:hAnsi="仿宋_GB2312" w:eastAsia="仿宋_GB2312" w:cs="仿宋_GB2312"/>
              <w:smallCaps/>
              <w:sz w:val="30"/>
              <w:szCs w:val="30"/>
            </w:rPr>
            <w:fldChar w:fldCharType="begin"/>
          </w:r>
          <w:r>
            <w:rPr>
              <w:rFonts w:hint="eastAsia" w:ascii="仿宋_GB2312" w:hAnsi="仿宋_GB2312" w:eastAsia="仿宋_GB2312" w:cs="仿宋_GB2312"/>
              <w:smallCaps/>
              <w:sz w:val="30"/>
              <w:szCs w:val="30"/>
            </w:rPr>
            <w:instrText xml:space="preserve"> PAGEREF _Toc31799 \h </w:instrText>
          </w:r>
          <w:r>
            <w:rPr>
              <w:rFonts w:hint="eastAsia" w:ascii="仿宋_GB2312" w:hAnsi="仿宋_GB2312" w:eastAsia="仿宋_GB2312" w:cs="仿宋_GB2312"/>
              <w:smallCaps/>
              <w:sz w:val="30"/>
              <w:szCs w:val="30"/>
            </w:rPr>
            <w:fldChar w:fldCharType="separate"/>
          </w:r>
          <w:r>
            <w:rPr>
              <w:rFonts w:hint="eastAsia" w:ascii="仿宋_GB2312" w:hAnsi="仿宋_GB2312" w:eastAsia="仿宋_GB2312" w:cs="仿宋_GB2312"/>
              <w:smallCaps/>
              <w:sz w:val="30"/>
              <w:szCs w:val="30"/>
            </w:rPr>
            <w:t>92</w:t>
          </w:r>
          <w:r>
            <w:rPr>
              <w:rFonts w:hint="eastAsia" w:ascii="仿宋_GB2312" w:hAnsi="仿宋_GB2312" w:eastAsia="仿宋_GB2312" w:cs="仿宋_GB2312"/>
              <w:smallCaps/>
              <w:sz w:val="30"/>
              <w:szCs w:val="30"/>
            </w:rPr>
            <w:fldChar w:fldCharType="end"/>
          </w:r>
          <w:r>
            <w:rPr>
              <w:rFonts w:hint="eastAsia" w:ascii="仿宋_GB2312" w:hAnsi="仿宋_GB2312" w:eastAsia="仿宋_GB2312" w:cs="仿宋_GB2312"/>
              <w:smallCaps/>
              <w:sz w:val="30"/>
              <w:szCs w:val="30"/>
            </w:rPr>
            <w:fldChar w:fldCharType="end"/>
          </w:r>
        </w:p>
        <w:p w14:paraId="222ABD2E">
          <w:r>
            <w:fldChar w:fldCharType="end"/>
          </w:r>
        </w:p>
      </w:sdtContent>
    </w:sdt>
    <w:p w14:paraId="091E0230">
      <w:pPr>
        <w:tabs>
          <w:tab w:val="left" w:pos="353"/>
        </w:tabs>
        <w:spacing w:before="381" w:beforeLines="100" w:after="381" w:afterLines="100" w:line="520" w:lineRule="exact"/>
        <w:jc w:val="center"/>
        <w:outlineLvl w:val="0"/>
        <w:rPr>
          <w:rFonts w:hint="eastAsia" w:ascii="方正小标宋_GBK" w:hAnsi="黑体" w:eastAsia="方正小标宋_GBK" w:cs="Times New Roman"/>
          <w:sz w:val="36"/>
          <w:szCs w:val="36"/>
          <w:highlight w:val="none"/>
        </w:rPr>
        <w:sectPr>
          <w:headerReference r:id="rId3" w:type="default"/>
          <w:footerReference r:id="rId4" w:type="default"/>
          <w:pgSz w:w="11906" w:h="16838"/>
          <w:pgMar w:top="1440" w:right="1800" w:bottom="1440" w:left="1800" w:header="851" w:footer="992" w:gutter="0"/>
          <w:pgNumType w:start="1"/>
          <w:cols w:space="425" w:num="1"/>
          <w:docGrid w:type="lines" w:linePitch="381" w:charSpace="0"/>
        </w:sectPr>
      </w:pPr>
    </w:p>
    <w:p w14:paraId="39FFFD27">
      <w:pPr>
        <w:tabs>
          <w:tab w:val="left" w:pos="353"/>
        </w:tabs>
        <w:spacing w:before="381" w:beforeLines="100" w:after="381" w:afterLines="100" w:line="520" w:lineRule="exact"/>
        <w:jc w:val="center"/>
        <w:outlineLvl w:val="0"/>
        <w:rPr>
          <w:rFonts w:ascii="方正小标宋_GBK" w:hAnsi="黑体" w:eastAsia="方正小标宋_GBK" w:cs="Times New Roman"/>
          <w:sz w:val="36"/>
          <w:szCs w:val="36"/>
          <w:highlight w:val="none"/>
        </w:rPr>
      </w:pPr>
      <w:bookmarkStart w:id="3" w:name="_Toc2613"/>
      <w:r>
        <w:rPr>
          <w:rFonts w:hint="eastAsia" w:ascii="方正小标宋_GBK" w:hAnsi="黑体" w:eastAsia="方正小标宋_GBK" w:cs="Times New Roman"/>
          <w:sz w:val="36"/>
          <w:szCs w:val="36"/>
          <w:highlight w:val="none"/>
        </w:rPr>
        <w:t>前 言</w:t>
      </w:r>
      <w:bookmarkEnd w:id="0"/>
      <w:bookmarkEnd w:id="1"/>
      <w:bookmarkEnd w:id="2"/>
      <w:bookmarkEnd w:id="3"/>
    </w:p>
    <w:p w14:paraId="0F6F0187">
      <w:pPr>
        <w:pStyle w:val="15"/>
        <w:ind w:firstLine="640"/>
        <w:rPr>
          <w:highlight w:val="none"/>
          <w:lang w:bidi="ar"/>
        </w:rPr>
      </w:pPr>
      <w:r>
        <w:rPr>
          <w:rFonts w:hint="eastAsia"/>
          <w:highlight w:val="none"/>
          <w:lang w:bidi="ar"/>
        </w:rPr>
        <w:t>江西沟镇地处共和县北部，青海湖南岸，东边与倒淌河镇相邻；</w:t>
      </w:r>
      <w:r>
        <w:rPr>
          <w:highlight w:val="none"/>
          <w:lang w:bidi="ar"/>
        </w:rPr>
        <w:t>南面接壤廿地乡；西南和西面与塘格木镇相连</w:t>
      </w:r>
      <w:r>
        <w:rPr>
          <w:rFonts w:hint="eastAsia"/>
          <w:highlight w:val="none"/>
          <w:lang w:bidi="ar"/>
        </w:rPr>
        <w:t>。江西沟镇不仅地理位置独特，紧邻中国最大的咸水湖青海湖，而且还是一个具有丰富历史文化遗产的地方，以其独特的民族文化、自然风光而闻名，是旅游和摄影爱好者的热门目的地之一。</w:t>
      </w:r>
    </w:p>
    <w:p w14:paraId="309A4886">
      <w:pPr>
        <w:pStyle w:val="15"/>
        <w:ind w:firstLine="640"/>
        <w:rPr>
          <w:highlight w:val="none"/>
          <w:lang w:bidi="ar"/>
        </w:rPr>
      </w:pPr>
      <w:r>
        <w:rPr>
          <w:rFonts w:hint="eastAsia"/>
          <w:highlight w:val="none"/>
          <w:lang w:bidi="ar"/>
        </w:rPr>
        <w:t>以习近平新时代中国特色社会主义思想为指导，立足青海“三个最大”省情定位、“三个更加重要”战略地位，推进“三个先行区”建设，科学把握新发展阶段、深入贯彻新发展理念、加快构建新发展格局，推进青藏高原生态保护和高质量发展，落实全省建设“六个现代化新青海”奋斗目标、着力打造生态文明高地、着力构建产业“四地”的要求，围绕建设国家可持续发展议程创新示范区、打造泛共和盆地绿色发展新增长极、紧抓区域发展重大战略机遇，守护好“碧波荡漾青海湖”。按照《中共中央 国务院关于建立国土空间规划体系并监督实施的若干意见》（中发〔2019〕18 号）、《自然资源部关于全面开展国土空间规划工作的通知》（自然资发〔2019〕87 号）以及青海省《关于建立全省国土空间规划体系并监督实施的意见》（青办发〔2020〕13 号）等相关政策，构建共和县“两级三类”国土空间规划体系，特编制《共和县江西沟镇国土空间总体规划（2021-2035 年）》（以下简称《规划》）。</w:t>
      </w:r>
    </w:p>
    <w:p w14:paraId="29DD042A">
      <w:pPr>
        <w:pStyle w:val="15"/>
        <w:ind w:firstLine="640"/>
        <w:rPr>
          <w:highlight w:val="none"/>
          <w:lang w:bidi="ar"/>
        </w:rPr>
      </w:pPr>
      <w:r>
        <w:rPr>
          <w:rFonts w:hint="eastAsia"/>
          <w:highlight w:val="none"/>
          <w:lang w:bidi="ar"/>
        </w:rPr>
        <w:t>《规划》是对县级国土空间总体规划及相关专项规划的细化落实，是对全镇国土空间保护、开发、利用、修复作出的具体安排和部署，是编制乡镇详细规划、相关专项规划和开展各类开发保护建设活动、实施国土空间用途管制的基本依据。</w:t>
      </w:r>
    </w:p>
    <w:p w14:paraId="1EF57DAD">
      <w:pPr>
        <w:pStyle w:val="15"/>
        <w:ind w:firstLine="640"/>
        <w:rPr>
          <w:highlight w:val="none"/>
          <w:lang w:bidi="ar"/>
        </w:rPr>
      </w:pPr>
      <w:r>
        <w:rPr>
          <w:rFonts w:hint="eastAsia"/>
          <w:highlight w:val="none"/>
          <w:lang w:bidi="ar"/>
        </w:rPr>
        <w:t>本次规划范围包括江西沟镇行政辖区全域，涉及镇域和镇区两个层次。镇域统筹全域全要素规划管理，侧重国土空间开发保护的战略部署和总体格局；镇区范围内细化土地使用和空间布局，侧重功能完善和结构优化，面积48.36公顷。镇域与镇区要落实重要管控要素的系统传导和衔接。</w:t>
      </w:r>
    </w:p>
    <w:p w14:paraId="4AE31516">
      <w:pPr>
        <w:pStyle w:val="15"/>
        <w:ind w:firstLine="640"/>
        <w:rPr>
          <w:highlight w:val="none"/>
          <w:lang w:bidi="ar"/>
        </w:rPr>
      </w:pPr>
      <w:r>
        <w:rPr>
          <w:rFonts w:hint="eastAsia"/>
          <w:highlight w:val="none"/>
          <w:lang w:bidi="ar"/>
        </w:rPr>
        <w:t>规划基期为2020年，规划期限为2021-2035年，近期到2025年，远景展望到20</w:t>
      </w:r>
      <w:r>
        <w:rPr>
          <w:highlight w:val="none"/>
          <w:lang w:bidi="ar"/>
        </w:rPr>
        <w:t>35</w:t>
      </w:r>
      <w:r>
        <w:rPr>
          <w:rFonts w:hint="eastAsia"/>
          <w:highlight w:val="none"/>
          <w:lang w:bidi="ar"/>
        </w:rPr>
        <w:t>年。</w:t>
      </w:r>
    </w:p>
    <w:p w14:paraId="04ACD286">
      <w:pPr>
        <w:pStyle w:val="15"/>
        <w:ind w:firstLine="640"/>
        <w:rPr>
          <w:rFonts w:hint="eastAsia" w:eastAsia="仿宋_GB2312"/>
          <w:highlight w:val="none"/>
          <w:lang w:val="en-US" w:eastAsia="zh-CN" w:bidi="ar"/>
        </w:rPr>
        <w:sectPr>
          <w:footerReference r:id="rId5" w:type="default"/>
          <w:pgSz w:w="11906" w:h="16838"/>
          <w:pgMar w:top="1440" w:right="1800" w:bottom="1440" w:left="1800" w:header="851" w:footer="992" w:gutter="0"/>
          <w:pgNumType w:start="1"/>
          <w:cols w:space="425" w:num="1"/>
          <w:docGrid w:type="lines" w:linePitch="381" w:charSpace="0"/>
        </w:sectPr>
      </w:pPr>
      <w:r>
        <w:rPr>
          <w:rFonts w:hint="eastAsia"/>
          <w:highlight w:val="none"/>
          <w:lang w:bidi="ar"/>
        </w:rPr>
        <w:t>文本中加</w:t>
      </w:r>
      <w:r>
        <w:rPr>
          <w:rFonts w:hint="eastAsia"/>
          <w:highlight w:val="none"/>
          <w:u w:val="single"/>
          <w:lang w:bidi="ar"/>
        </w:rPr>
        <w:t>下划线</w:t>
      </w:r>
      <w:r>
        <w:rPr>
          <w:rFonts w:hint="eastAsia"/>
          <w:highlight w:val="none"/>
          <w:lang w:bidi="ar"/>
        </w:rPr>
        <w:t>内容以及附表中约束性指标为规划强制性内容。本规划自海南州人民政府批复之日起生效，由江西沟镇人民政府组织实施，任何单位、个人不得违反和擅自修改。因国家重大战略调整、重大项目建设或者行政区划调整等确需修改本规划的，须按照法定程序进行修</w:t>
      </w:r>
      <w:r>
        <w:rPr>
          <w:rFonts w:hint="eastAsia"/>
          <w:highlight w:val="none"/>
          <w:lang w:val="en-US" w:eastAsia="zh-CN" w:bidi="ar"/>
        </w:rPr>
        <w:t>改。</w:t>
      </w:r>
    </w:p>
    <w:p w14:paraId="018D7F53">
      <w:pPr>
        <w:pStyle w:val="2"/>
        <w:ind w:left="0" w:firstLine="0"/>
        <w:rPr>
          <w:highlight w:val="none"/>
        </w:rPr>
      </w:pPr>
      <w:bookmarkStart w:id="4" w:name="_Toc28371"/>
      <w:bookmarkStart w:id="5" w:name="_Toc198237276"/>
      <w:bookmarkStart w:id="6" w:name="_Toc198237493"/>
      <w:r>
        <w:rPr>
          <w:rFonts w:hint="eastAsia"/>
          <w:highlight w:val="none"/>
        </w:rPr>
        <w:t>规划背景</w:t>
      </w:r>
      <w:bookmarkEnd w:id="4"/>
      <w:bookmarkEnd w:id="5"/>
      <w:bookmarkEnd w:id="6"/>
    </w:p>
    <w:p w14:paraId="6FABC4B0">
      <w:pPr>
        <w:pStyle w:val="3"/>
        <w:rPr>
          <w:highlight w:val="none"/>
          <w:lang w:val="zh-CN"/>
        </w:rPr>
      </w:pPr>
      <w:bookmarkStart w:id="7" w:name="_Toc198237494"/>
      <w:bookmarkStart w:id="8" w:name="_Toc198237277"/>
      <w:bookmarkStart w:id="9" w:name="_Toc11766"/>
      <w:r>
        <w:rPr>
          <w:rFonts w:hint="eastAsia"/>
          <w:highlight w:val="none"/>
          <w:lang w:val="zh-CN"/>
        </w:rPr>
        <w:t>禀赋与条件</w:t>
      </w:r>
      <w:bookmarkEnd w:id="7"/>
      <w:bookmarkEnd w:id="8"/>
      <w:bookmarkEnd w:id="9"/>
    </w:p>
    <w:p w14:paraId="633C4C2C">
      <w:pPr>
        <w:pStyle w:val="60"/>
        <w:ind w:left="0" w:firstLine="640" w:firstLineChars="200"/>
        <w:rPr>
          <w:highlight w:val="none"/>
        </w:rPr>
      </w:pPr>
      <w:bookmarkStart w:id="10" w:name="_Toc198237278"/>
      <w:r>
        <w:rPr>
          <w:rFonts w:hint="eastAsia"/>
          <w:highlight w:val="none"/>
        </w:rPr>
        <w:t>基础分析</w:t>
      </w:r>
      <w:bookmarkEnd w:id="10"/>
    </w:p>
    <w:p w14:paraId="3865BDA3">
      <w:pPr>
        <w:pStyle w:val="15"/>
        <w:ind w:firstLine="640"/>
        <w:rPr>
          <w:highlight w:val="none"/>
          <w:lang w:bidi="ar"/>
        </w:rPr>
      </w:pPr>
      <w:r>
        <w:rPr>
          <w:rFonts w:hint="eastAsia" w:ascii="楷体_GB2312" w:hAnsi="楷体_GB2312" w:eastAsia="楷体_GB2312" w:cs="楷体_GB2312"/>
          <w:szCs w:val="32"/>
          <w:highlight w:val="none"/>
        </w:rPr>
        <w:t>地形地貌特点鲜明。</w:t>
      </w:r>
      <w:r>
        <w:rPr>
          <w:rFonts w:hint="eastAsia"/>
          <w:highlight w:val="none"/>
          <w:lang w:bidi="ar"/>
        </w:rPr>
        <w:t>江西沟镇位于青海湖南岸，境内最高点海拔达到4049米，最低点海拔为3200米。有着独特的高原草甸、湖泊和山脉景观，这种独特的地形特点，使得该地区的山水格局呈现出一种高原特有的壮丽和辽阔。是高原地区自然风光的典型代表。</w:t>
      </w:r>
    </w:p>
    <w:p w14:paraId="3228ED48">
      <w:pPr>
        <w:pStyle w:val="15"/>
        <w:ind w:firstLine="640"/>
        <w:rPr>
          <w:highlight w:val="none"/>
          <w:lang w:bidi="ar"/>
        </w:rPr>
      </w:pPr>
      <w:r>
        <w:rPr>
          <w:rFonts w:hint="eastAsia" w:ascii="楷体_GB2312" w:hAnsi="楷体_GB2312" w:eastAsia="楷体_GB2312" w:cs="楷体_GB2312"/>
          <w:szCs w:val="32"/>
          <w:highlight w:val="none"/>
        </w:rPr>
        <w:t>人与自然和谐共生。</w:t>
      </w:r>
      <w:r>
        <w:rPr>
          <w:rFonts w:hint="eastAsia"/>
          <w:highlight w:val="none"/>
          <w:lang w:bidi="ar"/>
        </w:rPr>
        <w:t>江西沟镇拥有丰富的自然资源，包括广袤的草原、清澈的河湖以及多样的野生动植物。这些资源为当地的生态系统提供了坚实的基础，也为江西沟镇的可持续发展提供了重要的物质基础。</w:t>
      </w:r>
    </w:p>
    <w:p w14:paraId="6723BF8A">
      <w:pPr>
        <w:pStyle w:val="15"/>
        <w:ind w:firstLine="640"/>
        <w:rPr>
          <w:highlight w:val="none"/>
          <w:lang w:bidi="ar"/>
        </w:rPr>
      </w:pPr>
      <w:r>
        <w:rPr>
          <w:rFonts w:hint="eastAsia" w:ascii="楷体_GB2312" w:hAnsi="楷体_GB2312" w:eastAsia="楷体_GB2312" w:cs="楷体_GB2312"/>
          <w:szCs w:val="32"/>
          <w:highlight w:val="none"/>
        </w:rPr>
        <w:t>历史文化交相辉映。</w:t>
      </w:r>
      <w:r>
        <w:rPr>
          <w:rFonts w:hint="eastAsia"/>
          <w:highlight w:val="none"/>
          <w:lang w:bidi="ar"/>
        </w:rPr>
        <w:t>江西沟镇遗址是青藏高原目前发现最早的人类活动遗迹之一，距今15000年，是一个多民族聚居的地方，这里的民族文化丰富多彩，融合了各民族的传统习俗、风土人情和文化传统。</w:t>
      </w:r>
    </w:p>
    <w:p w14:paraId="61780FE9">
      <w:pPr>
        <w:pStyle w:val="15"/>
        <w:ind w:firstLine="640"/>
        <w:rPr>
          <w:highlight w:val="none"/>
          <w:lang w:bidi="ar"/>
        </w:rPr>
      </w:pPr>
      <w:r>
        <w:rPr>
          <w:rFonts w:hint="eastAsia" w:ascii="楷体_GB2312" w:hAnsi="楷体_GB2312" w:eastAsia="楷体_GB2312" w:cs="楷体_GB2312"/>
          <w:szCs w:val="32"/>
          <w:highlight w:val="none"/>
        </w:rPr>
        <w:t>区位交通优势显著。</w:t>
      </w:r>
      <w:r>
        <w:rPr>
          <w:rFonts w:hint="eastAsia"/>
          <w:highlight w:val="none"/>
          <w:lang w:bidi="ar"/>
        </w:rPr>
        <w:t>镇域北侧为青海湖旅游专线公路穿过镇区，东西横穿江西沟镇，这条公路承担着近70%进藏物资和人员的输送任务，是通往青海西部要地及西藏的重要驿站；南北方向</w:t>
      </w:r>
      <w:r>
        <w:rPr>
          <w:highlight w:val="none"/>
          <w:lang w:bidi="ar"/>
        </w:rPr>
        <w:t>恰卜恰至江西沟（二郎剑景区）的</w:t>
      </w:r>
      <w:r>
        <w:rPr>
          <w:rFonts w:hint="eastAsia"/>
          <w:highlight w:val="none"/>
          <w:lang w:bidi="ar"/>
        </w:rPr>
        <w:t>恰江</w:t>
      </w:r>
      <w:r>
        <w:rPr>
          <w:highlight w:val="none"/>
          <w:lang w:bidi="ar"/>
        </w:rPr>
        <w:t>公路</w:t>
      </w:r>
      <w:r>
        <w:rPr>
          <w:rFonts w:hint="eastAsia"/>
          <w:highlight w:val="none"/>
          <w:lang w:bidi="ar"/>
        </w:rPr>
        <w:t>到达共和县，同时也是江西沟镇对外联系的主要交通。</w:t>
      </w:r>
    </w:p>
    <w:p w14:paraId="10D0E173">
      <w:pPr>
        <w:pStyle w:val="15"/>
        <w:ind w:firstLine="640"/>
        <w:rPr>
          <w:highlight w:val="none"/>
        </w:rPr>
      </w:pPr>
    </w:p>
    <w:p w14:paraId="4674CD70">
      <w:pPr>
        <w:pStyle w:val="15"/>
        <w:ind w:firstLine="640"/>
        <w:rPr>
          <w:highlight w:val="none"/>
        </w:rPr>
      </w:pP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891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522" w:type="dxa"/>
            <w:tcBorders>
              <w:top w:val="single" w:color="auto" w:sz="4" w:space="0"/>
              <w:left w:val="single" w:color="auto" w:sz="4" w:space="0"/>
              <w:bottom w:val="single" w:color="auto" w:sz="4" w:space="0"/>
              <w:right w:val="single" w:color="auto" w:sz="4" w:space="0"/>
            </w:tcBorders>
          </w:tcPr>
          <w:p w14:paraId="585D2642">
            <w:pPr>
              <w:pStyle w:val="56"/>
              <w:rPr>
                <w:highlight w:val="none"/>
              </w:rPr>
            </w:pPr>
            <w:r>
              <w:rPr>
                <w:rFonts w:hint="eastAsia"/>
                <w:highlight w:val="none"/>
              </w:rPr>
              <w:t>专栏</w:t>
            </w:r>
            <w:r>
              <w:rPr>
                <w:highlight w:val="none"/>
              </w:rPr>
              <w:t xml:space="preserve">1 </w:t>
            </w:r>
            <w:r>
              <w:rPr>
                <w:rFonts w:hint="eastAsia"/>
                <w:highlight w:val="none"/>
              </w:rPr>
              <w:t>主要自然资源总体状况</w:t>
            </w:r>
          </w:p>
        </w:tc>
      </w:tr>
      <w:tr w14:paraId="299D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522" w:type="dxa"/>
            <w:tcBorders>
              <w:top w:val="single" w:color="auto" w:sz="4" w:space="0"/>
              <w:left w:val="single" w:color="auto" w:sz="4" w:space="0"/>
              <w:bottom w:val="single" w:color="auto" w:sz="4" w:space="0"/>
              <w:right w:val="single" w:color="auto" w:sz="4" w:space="0"/>
            </w:tcBorders>
          </w:tcPr>
          <w:p w14:paraId="3153D788">
            <w:pPr>
              <w:pStyle w:val="53"/>
              <w:ind w:firstLine="480"/>
              <w:rPr>
                <w:rFonts w:ascii="楷体_GB2312" w:hAnsi="仿宋_GB2312" w:eastAsia="楷体_GB2312" w:cs="Times New Roman"/>
                <w:szCs w:val="24"/>
                <w:highlight w:val="none"/>
              </w:rPr>
            </w:pPr>
            <w:r>
              <w:rPr>
                <w:rFonts w:ascii="楷体_GB2312" w:hAnsi="仿宋_GB2312" w:eastAsia="楷体_GB2312" w:cs="Times New Roman"/>
                <w:szCs w:val="24"/>
                <w:highlight w:val="none"/>
              </w:rPr>
              <w:t>土地资源。江西沟镇</w:t>
            </w:r>
            <w:r>
              <w:rPr>
                <w:rFonts w:hint="eastAsia" w:ascii="楷体_GB2312" w:hAnsi="仿宋_GB2312" w:eastAsia="楷体_GB2312" w:cs="Times New Roman"/>
                <w:szCs w:val="24"/>
                <w:highlight w:val="none"/>
                <w:lang w:val="en-US" w:eastAsia="zh-CN"/>
              </w:rPr>
              <w:t>现状</w:t>
            </w:r>
            <w:r>
              <w:rPr>
                <w:rFonts w:ascii="楷体_GB2312" w:hAnsi="仿宋_GB2312" w:eastAsia="楷体_GB2312" w:cs="Times New Roman"/>
                <w:szCs w:val="24"/>
                <w:highlight w:val="none"/>
              </w:rPr>
              <w:t>耕地面积69.41平方千米；林地面积44.96平方千米；草地面积512.85平方千米；湿地面积14.20平方千米；农业设施建设用地面积3.37平方千米；城乡建设用地面积2.</w:t>
            </w:r>
            <w:r>
              <w:rPr>
                <w:rFonts w:hint="eastAsia" w:ascii="楷体_GB2312" w:hAnsi="仿宋_GB2312" w:eastAsia="楷体_GB2312" w:cs="Times New Roman"/>
                <w:szCs w:val="24"/>
                <w:highlight w:val="none"/>
                <w:lang w:val="en-US" w:eastAsia="zh-CN"/>
              </w:rPr>
              <w:t>37</w:t>
            </w:r>
            <w:r>
              <w:rPr>
                <w:rFonts w:ascii="楷体_GB2312" w:hAnsi="仿宋_GB2312" w:eastAsia="楷体_GB2312" w:cs="Times New Roman"/>
                <w:szCs w:val="24"/>
                <w:highlight w:val="none"/>
              </w:rPr>
              <w:t>平方千米，其中，城镇用地面积0.39平方千米，村庄用地面积1.9</w:t>
            </w:r>
            <w:r>
              <w:rPr>
                <w:rFonts w:hint="eastAsia" w:ascii="楷体_GB2312" w:hAnsi="仿宋_GB2312" w:eastAsia="楷体_GB2312" w:cs="Times New Roman"/>
                <w:szCs w:val="24"/>
                <w:highlight w:val="none"/>
                <w:lang w:val="en-US" w:eastAsia="zh-CN"/>
              </w:rPr>
              <w:t>8</w:t>
            </w:r>
            <w:r>
              <w:rPr>
                <w:rFonts w:ascii="楷体_GB2312" w:hAnsi="仿宋_GB2312" w:eastAsia="楷体_GB2312" w:cs="Times New Roman"/>
                <w:szCs w:val="24"/>
                <w:highlight w:val="none"/>
              </w:rPr>
              <w:t>平方千米%；区域基础设施用地面积1.2</w:t>
            </w:r>
            <w:r>
              <w:rPr>
                <w:rFonts w:hint="eastAsia" w:ascii="楷体_GB2312" w:hAnsi="仿宋_GB2312" w:eastAsia="楷体_GB2312" w:cs="Times New Roman"/>
                <w:szCs w:val="24"/>
                <w:highlight w:val="none"/>
                <w:lang w:val="en-US" w:eastAsia="zh-CN"/>
              </w:rPr>
              <w:t>5</w:t>
            </w:r>
            <w:r>
              <w:rPr>
                <w:rFonts w:ascii="楷体_GB2312" w:hAnsi="仿宋_GB2312" w:eastAsia="楷体_GB2312" w:cs="Times New Roman"/>
                <w:szCs w:val="24"/>
                <w:highlight w:val="none"/>
              </w:rPr>
              <w:t>平方千米；其他建设用地面积0.5</w:t>
            </w:r>
            <w:r>
              <w:rPr>
                <w:rFonts w:hint="eastAsia" w:ascii="楷体_GB2312" w:hAnsi="仿宋_GB2312" w:eastAsia="楷体_GB2312" w:cs="Times New Roman"/>
                <w:szCs w:val="24"/>
                <w:highlight w:val="none"/>
                <w:lang w:val="en-US" w:eastAsia="zh-CN"/>
              </w:rPr>
              <w:t>3</w:t>
            </w:r>
            <w:r>
              <w:rPr>
                <w:rFonts w:ascii="楷体_GB2312" w:hAnsi="仿宋_GB2312" w:eastAsia="楷体_GB2312" w:cs="Times New Roman"/>
                <w:szCs w:val="24"/>
                <w:highlight w:val="none"/>
              </w:rPr>
              <w:t>平方千米；陆地水域面积16.85平方千米。</w:t>
            </w:r>
          </w:p>
          <w:p w14:paraId="78804C80">
            <w:pPr>
              <w:pStyle w:val="53"/>
              <w:ind w:firstLine="480"/>
              <w:rPr>
                <w:rFonts w:ascii="楷体_GB2312" w:hAnsi="仿宋_GB2312" w:eastAsia="楷体_GB2312" w:cs="Times New Roman"/>
                <w:szCs w:val="24"/>
                <w:highlight w:val="none"/>
              </w:rPr>
            </w:pPr>
            <w:r>
              <w:rPr>
                <w:rFonts w:ascii="楷体_GB2312" w:hAnsi="仿宋_GB2312" w:eastAsia="楷体_GB2312" w:cs="Times New Roman"/>
                <w:szCs w:val="24"/>
                <w:highlight w:val="none"/>
              </w:rPr>
              <w:t>水资源。江西沟镇水生态系统构成主要由坑塘、河流、湖泊组成，陆地水域总面积为16.85平方千米，占全域面积的2.53%；地表水系较为丰富，以自然水体（98.64%）为主，人工坑塘为辅，</w:t>
            </w:r>
            <w:r>
              <w:rPr>
                <w:rFonts w:hint="eastAsia" w:ascii="楷体_GB2312" w:hAnsi="仿宋_GB2312" w:eastAsia="楷体_GB2312" w:cs="Times New Roman"/>
                <w:szCs w:val="24"/>
                <w:highlight w:val="none"/>
                <w:lang w:eastAsia="zh-CN"/>
              </w:rPr>
              <w:t>主要</w:t>
            </w:r>
            <w:r>
              <w:rPr>
                <w:rFonts w:ascii="楷体_GB2312" w:hAnsi="仿宋_GB2312" w:eastAsia="楷体_GB2312" w:cs="Times New Roman"/>
                <w:szCs w:val="24"/>
                <w:highlight w:val="none"/>
              </w:rPr>
              <w:t>分布于青海湖流域水系。</w:t>
            </w:r>
          </w:p>
          <w:p w14:paraId="6D03D15E">
            <w:pPr>
              <w:pStyle w:val="53"/>
              <w:ind w:firstLine="480"/>
              <w:rPr>
                <w:rFonts w:ascii="楷体_GB2312" w:hAnsi="仿宋_GB2312" w:eastAsia="楷体_GB2312" w:cs="Times New Roman"/>
                <w:szCs w:val="24"/>
                <w:highlight w:val="none"/>
              </w:rPr>
            </w:pPr>
            <w:r>
              <w:rPr>
                <w:rFonts w:ascii="楷体_GB2312" w:hAnsi="仿宋_GB2312" w:eastAsia="楷体_GB2312" w:cs="Times New Roman"/>
                <w:szCs w:val="24"/>
                <w:highlight w:val="none"/>
              </w:rPr>
              <w:t>生物资源。江西沟位于青海湖南岸区域，青海湖流域在中国植物区系分区上属泛北极植物区内青藏植物亚区的唐古特区，是青藏高原生物多样性的重要区域。青海湖流域内现有种子植物52科，174属，445种。其中，国家二级保护植物13种。青海湖流域的动物区系组成，以典型青藏高原野生动物成分为</w:t>
            </w:r>
            <w:r>
              <w:rPr>
                <w:rFonts w:hint="eastAsia" w:ascii="楷体_GB2312" w:hAnsi="仿宋_GB2312" w:eastAsia="楷体_GB2312" w:cs="Times New Roman"/>
                <w:szCs w:val="24"/>
                <w:highlight w:val="none"/>
                <w:lang w:eastAsia="zh-CN"/>
              </w:rPr>
              <w:t>主体</w:t>
            </w:r>
            <w:r>
              <w:rPr>
                <w:rFonts w:ascii="楷体_GB2312" w:hAnsi="仿宋_GB2312" w:eastAsia="楷体_GB2312" w:cs="Times New Roman"/>
                <w:szCs w:val="24"/>
                <w:highlight w:val="none"/>
              </w:rPr>
              <w:t>，兽类以啮齿目、食肉目、偶蹄目种类较多，鸟类以雁形目、鸥形目数量居多，雀形目种类较多。青海湖流域共有兽类6目16科42种，鸟类16目42科289种，两栖爬行类8种，鱼类8种。其中，国家一级保护动物包括普氏原羚、黑颈鹤等15种；国家二级保护动物包括藏原羚、鹅喉羚、岩羊、血雉、大天鹅等31种；特有种共9种，其中，中国特有种包括斑尾榛鸡、黑颈鹤、青海沙蜥等，青海湖特有种包括普氏原羚、青海湖裸鲤。</w:t>
            </w:r>
          </w:p>
          <w:p w14:paraId="79EA3918">
            <w:pPr>
              <w:pStyle w:val="53"/>
              <w:ind w:firstLine="480"/>
              <w:rPr>
                <w:rFonts w:ascii="仿宋_GB2312" w:hAnsi="仿宋_GB2312" w:cs="Times New Roman"/>
                <w:szCs w:val="24"/>
                <w:highlight w:val="none"/>
              </w:rPr>
            </w:pPr>
            <w:r>
              <w:rPr>
                <w:rFonts w:ascii="楷体_GB2312" w:hAnsi="仿宋_GB2312" w:eastAsia="楷体_GB2312" w:cs="Times New Roman"/>
                <w:szCs w:val="24"/>
                <w:highlight w:val="none"/>
              </w:rPr>
              <w:t>旅游资源。二郎剑景区（151基地）：以其蜿蜒深入青海湖中的特殊地理位置，以草原、沙滩、动物为主的生态自然资源，以民间文化活动为内容，成为</w:t>
            </w:r>
            <w:r>
              <w:rPr>
                <w:highlight w:val="none"/>
              </w:rPr>
              <w:fldChar w:fldCharType="begin"/>
            </w:r>
            <w:r>
              <w:rPr>
                <w:highlight w:val="none"/>
              </w:rPr>
              <w:instrText xml:space="preserve"> HYPERLINK "https://baike.baidu.com/item/%E9%9D%92%E6%B5%B7%E6%B9%96/113605?fromModule=lemma_inlink" \t "_blank" </w:instrText>
            </w:r>
            <w:r>
              <w:rPr>
                <w:highlight w:val="none"/>
              </w:rPr>
              <w:fldChar w:fldCharType="separate"/>
            </w:r>
            <w:r>
              <w:rPr>
                <w:rFonts w:ascii="楷体_GB2312" w:hAnsi="仿宋_GB2312" w:eastAsia="楷体_GB2312" w:cs="Times New Roman"/>
                <w:szCs w:val="24"/>
                <w:highlight w:val="none"/>
              </w:rPr>
              <w:t>青海湖</w:t>
            </w:r>
            <w:r>
              <w:rPr>
                <w:rFonts w:ascii="楷体_GB2312" w:hAnsi="仿宋_GB2312" w:eastAsia="楷体_GB2312" w:cs="Times New Roman"/>
                <w:szCs w:val="24"/>
                <w:highlight w:val="none"/>
              </w:rPr>
              <w:fldChar w:fldCharType="end"/>
            </w:r>
            <w:r>
              <w:rPr>
                <w:rFonts w:ascii="楷体_GB2312" w:hAnsi="仿宋_GB2312" w:eastAsia="楷体_GB2312" w:cs="Times New Roman"/>
                <w:szCs w:val="24"/>
                <w:highlight w:val="none"/>
              </w:rPr>
              <w:t>旅游区一颗耀眼的明珠。因距离</w:t>
            </w:r>
            <w:r>
              <w:rPr>
                <w:highlight w:val="none"/>
              </w:rPr>
              <w:fldChar w:fldCharType="begin"/>
            </w:r>
            <w:r>
              <w:rPr>
                <w:highlight w:val="none"/>
              </w:rPr>
              <w:instrText xml:space="preserve"> HYPERLINK "https://baike.baidu.com/item/%E8%A5%BF%E5%AE%81/37036?fromModule=lemma_inlink" \t "_blank" </w:instrText>
            </w:r>
            <w:r>
              <w:rPr>
                <w:highlight w:val="none"/>
              </w:rPr>
              <w:fldChar w:fldCharType="separate"/>
            </w:r>
            <w:r>
              <w:rPr>
                <w:rFonts w:ascii="楷体_GB2312" w:hAnsi="仿宋_GB2312" w:eastAsia="楷体_GB2312" w:cs="Times New Roman"/>
                <w:szCs w:val="24"/>
                <w:highlight w:val="none"/>
              </w:rPr>
              <w:t>西宁</w:t>
            </w:r>
            <w:r>
              <w:rPr>
                <w:rFonts w:ascii="楷体_GB2312" w:hAnsi="仿宋_GB2312" w:eastAsia="楷体_GB2312" w:cs="Times New Roman"/>
                <w:szCs w:val="24"/>
                <w:highlight w:val="none"/>
              </w:rPr>
              <w:fldChar w:fldCharType="end"/>
            </w:r>
            <w:r>
              <w:rPr>
                <w:rFonts w:ascii="楷体_GB2312" w:hAnsi="仿宋_GB2312" w:eastAsia="楷体_GB2312" w:cs="Times New Roman"/>
                <w:szCs w:val="24"/>
                <w:highlight w:val="none"/>
              </w:rPr>
              <w:t>151km，这里又被称为151基地，景区大门位于109国道边，现在已成为青海湖最重要的景点之一。一郎剑景区：青海湖一郎剑位于江西沟范围内，水源由江根沟等潜流或洪水补给，水质与青海湖同，景色优美。地热资源：在江西沟镇范围内存在一定的地热资源，可开发一些温泉疗养项目。吉祥八宝谷：位于莫热村牧民的牧场中，是未被开发的原生态山谷。地域民族文化资源：江西沟镇拥有深厚的藏族文化底蕴。藏族文化是藏族人民在漫长的自然斗争和社会实践活动中形成的物质文明和精神文明的总和，是一种以原始信仰为指导，吸收其他民族文化，在青藏高原特殊人文地理环境中形成具有民族特质的文化。</w:t>
            </w:r>
          </w:p>
        </w:tc>
      </w:tr>
    </w:tbl>
    <w:p w14:paraId="126FD7B3">
      <w:pPr>
        <w:pStyle w:val="3"/>
        <w:ind w:left="0" w:firstLine="0"/>
        <w:rPr>
          <w:highlight w:val="none"/>
          <w:lang w:val="zh-CN"/>
        </w:rPr>
      </w:pPr>
      <w:bookmarkStart w:id="11" w:name="_Toc1223"/>
      <w:bookmarkStart w:id="12" w:name="_Toc198237495"/>
      <w:bookmarkStart w:id="13" w:name="_Toc198237279"/>
      <w:r>
        <w:rPr>
          <w:rFonts w:hint="eastAsia"/>
          <w:highlight w:val="none"/>
          <w:lang w:val="zh-CN"/>
        </w:rPr>
        <w:t>现状与问题</w:t>
      </w:r>
      <w:bookmarkEnd w:id="11"/>
      <w:bookmarkEnd w:id="12"/>
      <w:bookmarkEnd w:id="13"/>
    </w:p>
    <w:p w14:paraId="67B2A46C">
      <w:pPr>
        <w:pStyle w:val="60"/>
        <w:ind w:left="0" w:firstLine="640" w:firstLineChars="200"/>
        <w:rPr>
          <w:highlight w:val="none"/>
        </w:rPr>
      </w:pPr>
      <w:bookmarkStart w:id="14" w:name="_Toc198237280"/>
      <w:r>
        <w:rPr>
          <w:rFonts w:hint="eastAsia"/>
          <w:highlight w:val="none"/>
        </w:rPr>
        <w:t>现状成效</w:t>
      </w:r>
      <w:bookmarkEnd w:id="14"/>
    </w:p>
    <w:p w14:paraId="36838209">
      <w:pPr>
        <w:pStyle w:val="15"/>
        <w:ind w:firstLine="640"/>
        <w:rPr>
          <w:highlight w:val="none"/>
          <w:lang w:bidi="ar"/>
        </w:rPr>
      </w:pPr>
      <w:r>
        <w:rPr>
          <w:rFonts w:hint="eastAsia" w:ascii="楷体_GB2312" w:hAnsi="楷体_GB2312" w:eastAsia="楷体_GB2312" w:cs="楷体_GB2312"/>
          <w:szCs w:val="32"/>
          <w:highlight w:val="none"/>
        </w:rPr>
        <w:t>生态修复成果显著。</w:t>
      </w:r>
      <w:r>
        <w:rPr>
          <w:rFonts w:hint="eastAsia"/>
          <w:highlight w:val="none"/>
          <w:lang w:bidi="ar"/>
        </w:rPr>
        <w:t>江西沟镇严格执行《共和县天然草原禁牧和草畜平衡目标责任书》，对全镇禁牧草原用网围栏实现全面禁牧；开展种草复绿行动，采用适合当地高原气候的草种进行播种，因过度放牧等出现退化迹象的草原地带植被良好恢复；通过设置沙障、客土改良等措施，土地沙化等生态问题治理成果显著；对流入青海湖的河流，在上游和中游区域设置水质监测站点，实时对水质变化情况进行监控</w:t>
      </w:r>
      <w:r>
        <w:rPr>
          <w:rFonts w:hint="eastAsia"/>
          <w:highlight w:val="none"/>
          <w:lang w:eastAsia="zh-CN" w:bidi="ar"/>
        </w:rPr>
        <w:t>；对</w:t>
      </w:r>
      <w:r>
        <w:rPr>
          <w:rFonts w:hint="eastAsia"/>
          <w:highlight w:val="none"/>
          <w:lang w:bidi="ar"/>
        </w:rPr>
        <w:t>青海湖畔、河道两旁、村内主要道路、村民房前屋后等区域的垃圾杂物清理，全镇环境卫生整治无死角、全覆盖。</w:t>
      </w:r>
    </w:p>
    <w:p w14:paraId="6E2058BA">
      <w:pPr>
        <w:pStyle w:val="15"/>
        <w:ind w:firstLine="640"/>
        <w:rPr>
          <w:highlight w:val="none"/>
          <w:lang w:bidi="ar"/>
        </w:rPr>
      </w:pPr>
      <w:r>
        <w:rPr>
          <w:rFonts w:hint="eastAsia" w:ascii="楷体_GB2312" w:hAnsi="楷体_GB2312" w:eastAsia="楷体_GB2312" w:cs="楷体_GB2312"/>
          <w:szCs w:val="32"/>
          <w:highlight w:val="none"/>
        </w:rPr>
        <w:t>农业空间质量与效益显著跃升。</w:t>
      </w:r>
      <w:r>
        <w:rPr>
          <w:rFonts w:hint="eastAsia"/>
          <w:highlight w:val="none"/>
          <w:lang w:bidi="ar"/>
        </w:rPr>
        <w:t>江西沟镇全面完成耕地和永久基本农田保护任务，耕地得到有效保护。积极推进高标准农田建设工程，提高耕地利用价值。草地资源丰富，植被类型包括温性草原、高寒草原、高寒草甸、盐生草甸等，全镇牧草地面积占国土总面积的77.01% 。种植业上，通过推广青稞、油菜等优良品种，以及科学种植技术，农作物单产稳步提高。采用先进的种植技术后，青稞亩产量提高了 10% - 15%。畜牧业方面，规模化养殖趋势明显，引入优质牦牛、藏羊品种，结合科学养殖管理，畜产品产量和质量双提升。</w:t>
      </w:r>
    </w:p>
    <w:p w14:paraId="2EE09E14">
      <w:pPr>
        <w:pStyle w:val="15"/>
        <w:ind w:firstLine="640"/>
        <w:rPr>
          <w:highlight w:val="none"/>
          <w:lang w:bidi="ar"/>
        </w:rPr>
      </w:pPr>
      <w:r>
        <w:rPr>
          <w:rFonts w:hint="eastAsia" w:ascii="楷体_GB2312" w:hAnsi="楷体_GB2312" w:eastAsia="楷体_GB2312" w:cs="楷体_GB2312"/>
          <w:szCs w:val="32"/>
          <w:highlight w:val="none"/>
        </w:rPr>
        <w:t>城镇空间筑牢发展根基。</w:t>
      </w:r>
      <w:r>
        <w:rPr>
          <w:rFonts w:hint="eastAsia"/>
          <w:highlight w:val="none"/>
          <w:lang w:bidi="ar"/>
        </w:rPr>
        <w:t>全镇建设用地总量230.44公顷，占土地总面积比例仅0.35%。近十年空间拓展较快，尤其旅游业的发展带动了产业类用地迅速增加，环湖地区村庄旅游服务用地有效支撑了旅游业的发展。由于生态保护红线的控制，镇区向南有序拓展，镇村两级公共服务设施基本高标准建成，城镇空间框架进一步拉开。环湖地区重点旅游服务项目空间保障有力。</w:t>
      </w:r>
    </w:p>
    <w:p w14:paraId="3345DF7B">
      <w:pPr>
        <w:pStyle w:val="60"/>
        <w:ind w:left="0" w:firstLine="640" w:firstLineChars="200"/>
        <w:rPr>
          <w:highlight w:val="none"/>
        </w:rPr>
      </w:pPr>
      <w:bookmarkStart w:id="15" w:name="_Toc198237281"/>
      <w:r>
        <w:rPr>
          <w:rFonts w:hint="eastAsia"/>
          <w:highlight w:val="none"/>
        </w:rPr>
        <w:t>主要问题</w:t>
      </w:r>
      <w:bookmarkEnd w:id="15"/>
    </w:p>
    <w:p w14:paraId="2C961316">
      <w:pPr>
        <w:pStyle w:val="15"/>
        <w:ind w:firstLine="640"/>
        <w:rPr>
          <w:highlight w:val="none"/>
        </w:rPr>
      </w:pPr>
      <w:bookmarkStart w:id="16" w:name="_Toc148432197"/>
      <w:bookmarkStart w:id="17" w:name="_Hlk163648870"/>
      <w:r>
        <w:rPr>
          <w:rFonts w:hint="eastAsia" w:ascii="楷体_GB2312" w:hAnsi="楷体_GB2312" w:eastAsia="楷体_GB2312" w:cs="楷体_GB2312"/>
          <w:highlight w:val="none"/>
        </w:rPr>
        <w:t>生态环境脆弱，保护压力趋重</w:t>
      </w:r>
      <w:bookmarkEnd w:id="16"/>
      <w:r>
        <w:rPr>
          <w:rFonts w:hint="eastAsia" w:ascii="楷体_GB2312" w:hAnsi="楷体_GB2312" w:eastAsia="楷体_GB2312" w:cs="楷体_GB2312"/>
          <w:highlight w:val="none"/>
        </w:rPr>
        <w:t>。</w:t>
      </w:r>
      <w:r>
        <w:rPr>
          <w:rFonts w:hint="eastAsia"/>
          <w:highlight w:val="none"/>
        </w:rPr>
        <w:t>江西沟镇生态格局优越，由青海湖、河流、山体、草原湿地等要素构成天然的自然生态景观基底。受超载放牧、滥垦滥伐和鼠害影响，江西沟镇存在一定程度草场退化、水土流失情况，同时呈现一定程度的耕地抛荒现象。城镇发展对土地资源的需求也日益增大，生态环境保护和可持续发展已成为江西沟镇面临的最重要、最艰巨的任务之一。</w:t>
      </w:r>
      <w:bookmarkStart w:id="18" w:name="_Toc148432198"/>
    </w:p>
    <w:p w14:paraId="1466F84E">
      <w:pPr>
        <w:pStyle w:val="15"/>
        <w:ind w:firstLine="640"/>
        <w:rPr>
          <w:highlight w:val="none"/>
        </w:rPr>
      </w:pPr>
      <w:r>
        <w:rPr>
          <w:rFonts w:hint="eastAsia" w:ascii="楷体_GB2312" w:hAnsi="楷体_GB2312" w:eastAsia="楷体_GB2312" w:cs="楷体_GB2312"/>
          <w:highlight w:val="none"/>
        </w:rPr>
        <w:t>自然灾害多发，防范基础薄弱</w:t>
      </w:r>
      <w:bookmarkEnd w:id="18"/>
      <w:r>
        <w:rPr>
          <w:rFonts w:hint="eastAsia" w:ascii="楷体_GB2312" w:hAnsi="楷体_GB2312" w:eastAsia="楷体_GB2312" w:cs="楷体_GB2312"/>
          <w:highlight w:val="none"/>
        </w:rPr>
        <w:t>。</w:t>
      </w:r>
      <w:r>
        <w:rPr>
          <w:rFonts w:hint="eastAsia"/>
          <w:highlight w:val="none"/>
        </w:rPr>
        <w:t>江西沟镇为全县自然灾害多发区，也是防灾减灾救灾的薄弱区。防灾意识相对较低，救援硬件建设欠缺，农村低设防现象仍然普遍存在。主要的灾害类型有：干旱、风沙、冰雹、山洪、霜冻、雪灾、鼠虫害等，这些对全镇畜牧业经济的发展有着严重的制约作用。</w:t>
      </w:r>
    </w:p>
    <w:p w14:paraId="4D507C7C">
      <w:pPr>
        <w:pStyle w:val="15"/>
        <w:ind w:firstLine="640"/>
        <w:rPr>
          <w:highlight w:val="none"/>
        </w:rPr>
      </w:pPr>
      <w:r>
        <w:rPr>
          <w:rFonts w:hint="eastAsia" w:ascii="楷体_GB2312" w:hAnsi="楷体_GB2312" w:eastAsia="楷体_GB2312" w:cs="楷体_GB2312"/>
          <w:highlight w:val="none"/>
        </w:rPr>
        <w:t>产业发展滞后，承载空间不足。</w:t>
      </w:r>
      <w:r>
        <w:rPr>
          <w:rFonts w:hint="eastAsia"/>
          <w:highlight w:val="none"/>
        </w:rPr>
        <w:t>江西沟镇紧邻青海湖，第一产业以农牧业为主，产业融合发展呈现出二三产业相对滞后，农业内部结构失衡的特点。第二产业发展受限，在乡村产业发展中存在引领农户增收能力受限的问题，主要表现为农业产业链短，产品转化能力不足。第三产业发展存在管理水平不足、基础设施薄弱等问题。</w:t>
      </w:r>
    </w:p>
    <w:p w14:paraId="23C48B13">
      <w:pPr>
        <w:pStyle w:val="15"/>
        <w:ind w:firstLine="640"/>
        <w:rPr>
          <w:highlight w:val="none"/>
        </w:rPr>
      </w:pPr>
      <w:bookmarkStart w:id="19" w:name="_Toc148432200"/>
      <w:r>
        <w:rPr>
          <w:rFonts w:hint="eastAsia" w:ascii="楷体_GB2312" w:hAnsi="楷体_GB2312" w:eastAsia="楷体_GB2312" w:cs="楷体_GB2312"/>
          <w:highlight w:val="none"/>
        </w:rPr>
        <w:t>公共基础不足，短板有待补齐</w:t>
      </w:r>
      <w:bookmarkEnd w:id="19"/>
      <w:r>
        <w:rPr>
          <w:rFonts w:hint="eastAsia" w:ascii="楷体_GB2312" w:hAnsi="楷体_GB2312" w:eastAsia="楷体_GB2312" w:cs="楷体_GB2312"/>
          <w:highlight w:val="none"/>
        </w:rPr>
        <w:t>。</w:t>
      </w:r>
      <w:r>
        <w:rPr>
          <w:rFonts w:hint="eastAsia"/>
          <w:highlight w:val="none"/>
        </w:rPr>
        <w:t>江西沟镇边远区域网络设施建设水平有待提升；智慧交通、能源、水利等基础设施建设需加强；智慧教育、文旅、医疗等公共服务领域基础设施建设需完善；需要加强江西沟镇生态环境监测设施的智能化改造。</w:t>
      </w:r>
    </w:p>
    <w:p w14:paraId="4281DAD1">
      <w:pPr>
        <w:pStyle w:val="15"/>
        <w:ind w:firstLine="640"/>
        <w:rPr>
          <w:highlight w:val="none"/>
        </w:rPr>
      </w:pPr>
      <w:bookmarkStart w:id="20" w:name="_Toc148432201"/>
      <w:r>
        <w:rPr>
          <w:rFonts w:hint="eastAsia" w:ascii="楷体_GB2312" w:hAnsi="楷体_GB2312" w:eastAsia="楷体_GB2312" w:cs="楷体_GB2312"/>
          <w:highlight w:val="none"/>
        </w:rPr>
        <w:t>镇村风貌冲突，亟待特色打造</w:t>
      </w:r>
      <w:bookmarkEnd w:id="20"/>
      <w:r>
        <w:rPr>
          <w:rFonts w:hint="eastAsia" w:ascii="楷体_GB2312" w:hAnsi="楷体_GB2312" w:eastAsia="楷体_GB2312" w:cs="楷体_GB2312"/>
          <w:highlight w:val="none"/>
        </w:rPr>
        <w:t>。</w:t>
      </w:r>
      <w:r>
        <w:rPr>
          <w:rFonts w:hint="eastAsia"/>
          <w:highlight w:val="none"/>
        </w:rPr>
        <w:t>江西沟镇镇区风貌混杂，各类建筑风格迥异，缺少统一的空间表达，造成城市辨识度不高、环境品质低下。公共空间不足，需要新增公共空间以增加居民生活的幸福感；建筑色彩繁杂，缺少标志节点建筑物，区域形象亟待更新。</w:t>
      </w:r>
    </w:p>
    <w:bookmarkEnd w:id="17"/>
    <w:p w14:paraId="03B44B25">
      <w:pPr>
        <w:pStyle w:val="3"/>
        <w:ind w:left="0" w:firstLine="0"/>
        <w:rPr>
          <w:highlight w:val="none"/>
          <w:lang w:val="zh-CN"/>
        </w:rPr>
      </w:pPr>
      <w:bookmarkStart w:id="21" w:name="_Toc198237282"/>
      <w:bookmarkStart w:id="22" w:name="_Toc29209"/>
      <w:bookmarkStart w:id="23" w:name="_Toc198237496"/>
      <w:r>
        <w:rPr>
          <w:rFonts w:hint="eastAsia"/>
          <w:highlight w:val="none"/>
          <w:lang w:val="zh-CN"/>
        </w:rPr>
        <w:t>发展机遇与挑战</w:t>
      </w:r>
      <w:bookmarkEnd w:id="21"/>
      <w:bookmarkEnd w:id="22"/>
      <w:bookmarkEnd w:id="23"/>
    </w:p>
    <w:p w14:paraId="36B37E4B">
      <w:pPr>
        <w:pStyle w:val="60"/>
        <w:ind w:left="0" w:firstLine="640" w:firstLineChars="200"/>
        <w:rPr>
          <w:highlight w:val="none"/>
        </w:rPr>
      </w:pPr>
      <w:bookmarkStart w:id="24" w:name="_Toc198237283"/>
      <w:r>
        <w:rPr>
          <w:rFonts w:hint="eastAsia"/>
          <w:highlight w:val="none"/>
        </w:rPr>
        <w:t>国土空间开发保护机遇</w:t>
      </w:r>
      <w:bookmarkEnd w:id="24"/>
    </w:p>
    <w:p w14:paraId="5D4AF0EE">
      <w:pPr>
        <w:pStyle w:val="15"/>
        <w:ind w:firstLine="640"/>
        <w:rPr>
          <w:highlight w:val="none"/>
        </w:rPr>
      </w:pPr>
      <w:r>
        <w:rPr>
          <w:rFonts w:hint="eastAsia" w:ascii="楷体_GB2312" w:hAnsi="楷体_GB2312" w:eastAsia="楷体_GB2312" w:cs="楷体_GB2312"/>
          <w:highlight w:val="none"/>
        </w:rPr>
        <w:t>生态旅游蓬勃发展机遇。</w:t>
      </w:r>
      <w:r>
        <w:rPr>
          <w:rFonts w:hint="eastAsia"/>
          <w:highlight w:val="none"/>
        </w:rPr>
        <w:t>旅游市场需求增长，随着人们生活水平的提高和旅游观念的转变，生态旅游市场呈现出快速增长的趋势。江西沟镇拥有得天独厚的自然景观，有广袤的草原、清澈的河流和丰富的野生动植物资源，这些生态资源正好契合了当下人们对亲近自然、体验原生态生活的旅游需求；区域旅游合作潜力大，江西沟镇位于青海湖旅游圈的重要位置，能够与周边的旅游景区开展深度的区域合作，可以与周边旅游热点地区联合打造旅游线路，实现资源共享、客源互送。通过整合区域内的旅游资源，形成更具吸引力的旅游产品组合，提升整个区域的旅游竞争力，从而为江西沟镇的旅游产业带来更多的发展机遇。</w:t>
      </w:r>
    </w:p>
    <w:p w14:paraId="1F09C097">
      <w:pPr>
        <w:pStyle w:val="15"/>
        <w:ind w:firstLine="640"/>
        <w:rPr>
          <w:highlight w:val="none"/>
        </w:rPr>
      </w:pPr>
      <w:r>
        <w:rPr>
          <w:rFonts w:hint="eastAsia" w:ascii="楷体_GB2312" w:hAnsi="楷体_GB2312" w:eastAsia="楷体_GB2312" w:cs="楷体_GB2312"/>
          <w:highlight w:val="none"/>
        </w:rPr>
        <w:t>特色农牧业升级机遇。</w:t>
      </w:r>
      <w:r>
        <w:rPr>
          <w:rFonts w:hint="eastAsia"/>
          <w:highlight w:val="none"/>
        </w:rPr>
        <w:t>绿色有机产品市场前景广阔，</w:t>
      </w:r>
      <w:r>
        <w:rPr>
          <w:highlight w:val="none"/>
        </w:rPr>
        <w:t>消费者对食品品质和安全的关注度日益提高，绿色、有机农产品和畜产品的市场需求持续增长。江西沟镇的农牧业以传统的天然养殖和种植为主，生态环境良好，具有发展绿色有机农牧业的天然优势</w:t>
      </w:r>
      <w:r>
        <w:rPr>
          <w:rFonts w:hint="eastAsia"/>
          <w:highlight w:val="none"/>
        </w:rPr>
        <w:t>；农牧业产业融合发展机遇多，产业融合是农业发展的新趋势。江西沟镇依托特色农牧业资源，发展农产品加工、观光农业、农事体验等多种产业融合模式。</w:t>
      </w:r>
    </w:p>
    <w:p w14:paraId="373F02A9">
      <w:pPr>
        <w:pStyle w:val="60"/>
        <w:ind w:left="0" w:firstLine="640" w:firstLineChars="200"/>
        <w:rPr>
          <w:highlight w:val="none"/>
        </w:rPr>
      </w:pPr>
      <w:bookmarkStart w:id="25" w:name="_Toc198237284"/>
      <w:r>
        <w:rPr>
          <w:rFonts w:hint="eastAsia"/>
          <w:highlight w:val="none"/>
        </w:rPr>
        <w:t>国土空间开发保护挑战</w:t>
      </w:r>
      <w:bookmarkEnd w:id="25"/>
    </w:p>
    <w:p w14:paraId="0755D987">
      <w:pPr>
        <w:pStyle w:val="15"/>
        <w:ind w:firstLine="640"/>
        <w:rPr>
          <w:highlight w:val="none"/>
        </w:rPr>
      </w:pPr>
      <w:r>
        <w:rPr>
          <w:rFonts w:hint="eastAsia" w:ascii="楷体_GB2312" w:hAnsi="楷体_GB2312" w:eastAsia="楷体_GB2312" w:cs="楷体_GB2312"/>
          <w:highlight w:val="none"/>
        </w:rPr>
        <w:t>生态环境脆弱性挑战。</w:t>
      </w:r>
      <w:r>
        <w:rPr>
          <w:rFonts w:hint="eastAsia"/>
          <w:highlight w:val="none"/>
        </w:rPr>
        <w:t>江西沟镇紧邻环青海湖南岸，生态系统类型多样、生态保护重要性突出。生态约束趋紧要求转变生产生活方式，加强环青海湖地区的山水林田湖草沙系统治理，提升生态系统碳汇能力。</w:t>
      </w:r>
    </w:p>
    <w:p w14:paraId="0386B224">
      <w:pPr>
        <w:pStyle w:val="15"/>
        <w:ind w:firstLine="640"/>
        <w:rPr>
          <w:highlight w:val="none"/>
        </w:rPr>
      </w:pPr>
      <w:r>
        <w:rPr>
          <w:rFonts w:hint="eastAsia" w:ascii="楷体_GB2312" w:hAnsi="楷体_GB2312" w:eastAsia="楷体_GB2312" w:cs="楷体_GB2312"/>
          <w:highlight w:val="none"/>
        </w:rPr>
        <w:t>经济结构单一性挑战。</w:t>
      </w:r>
      <w:r>
        <w:rPr>
          <w:rFonts w:hint="eastAsia"/>
          <w:highlight w:val="none"/>
        </w:rPr>
        <w:t>江西沟镇的经济主要依赖传统农牧业和旅游业。农牧业生产方式相对粗放，受自然因素影响较大，如天气变化、病虫害等都会对农牧业产量和质量产生显著影响。旅游业也存在明显的季节性，淡旺季明显，旺季时游客众多，基础设施和服务压力较大；淡季时旅游设施闲置，相关从业人员收入减少。这种过度依赖少数产业的经济结构使得江西沟镇在面对外部经济环境变化、突发公共事件情况时，抗风险能力较弱。</w:t>
      </w:r>
    </w:p>
    <w:p w14:paraId="616CB4FD">
      <w:pPr>
        <w:pStyle w:val="15"/>
        <w:ind w:firstLine="640"/>
        <w:rPr>
          <w:highlight w:val="none"/>
        </w:rPr>
      </w:pPr>
      <w:r>
        <w:rPr>
          <w:rFonts w:hint="eastAsia" w:ascii="楷体_GB2312" w:hAnsi="楷体_GB2312" w:eastAsia="楷体_GB2312" w:cs="楷体_GB2312"/>
          <w:highlight w:val="none"/>
        </w:rPr>
        <w:t>市场竞争压力挑战。</w:t>
      </w:r>
      <w:r>
        <w:rPr>
          <w:rFonts w:hint="eastAsia"/>
          <w:highlight w:val="none"/>
        </w:rPr>
        <w:t>在旅游方面，随着各地旅游资源的开发和旅游市场的不断扩大，江西沟镇面临着激烈的竞争。周边地区和其他旅游目的地可能推出类似的旅游产品和服务，如青海湖周边的其他乡镇也在发展生态旅游、民俗旅游等项目，这使得江西沟镇需要不断提升旅游产品的特色和质量，以吸引更多游客。在农牧业市场，农产品和畜产品面临市场价格波动的风险。同时，在全国乃至全球市场中，江西沟镇的农畜产品品牌知名度相对较低，在与其他地区产品竞争时，可能处于劣势地位，需要加强品牌建设和市场营销来提高产品的竞争力。</w:t>
      </w:r>
    </w:p>
    <w:p w14:paraId="3F4BE2DC">
      <w:pPr>
        <w:pStyle w:val="15"/>
        <w:ind w:firstLine="640"/>
        <w:rPr>
          <w:highlight w:val="none"/>
        </w:rPr>
      </w:pPr>
    </w:p>
    <w:p w14:paraId="640C2B93">
      <w:pPr>
        <w:pStyle w:val="15"/>
        <w:ind w:firstLine="640"/>
        <w:rPr>
          <w:highlight w:val="none"/>
        </w:rPr>
      </w:pPr>
      <w:r>
        <w:rPr>
          <w:highlight w:val="none"/>
        </w:rPr>
        <w:br w:type="page"/>
      </w:r>
    </w:p>
    <w:p w14:paraId="069BE1C8">
      <w:pPr>
        <w:pStyle w:val="2"/>
        <w:ind w:left="0" w:firstLine="0"/>
        <w:rPr>
          <w:highlight w:val="none"/>
        </w:rPr>
      </w:pPr>
      <w:bookmarkStart w:id="26" w:name="_Toc198237497"/>
      <w:bookmarkStart w:id="27" w:name="_Toc2434"/>
      <w:bookmarkStart w:id="28" w:name="_Toc198237285"/>
      <w:r>
        <w:rPr>
          <w:rFonts w:hint="eastAsia"/>
          <w:highlight w:val="none"/>
        </w:rPr>
        <w:t>指导思想与目标战略</w:t>
      </w:r>
      <w:bookmarkEnd w:id="26"/>
      <w:bookmarkEnd w:id="27"/>
      <w:bookmarkEnd w:id="28"/>
    </w:p>
    <w:p w14:paraId="11486794">
      <w:pPr>
        <w:pStyle w:val="3"/>
        <w:numPr>
          <w:ilvl w:val="0"/>
          <w:numId w:val="9"/>
        </w:numPr>
        <w:rPr>
          <w:highlight w:val="none"/>
          <w:lang w:val="zh-CN"/>
        </w:rPr>
      </w:pPr>
      <w:bookmarkStart w:id="29" w:name="_Toc18202"/>
      <w:bookmarkStart w:id="30" w:name="_Toc198237498"/>
      <w:bookmarkStart w:id="31" w:name="_Toc198237286"/>
      <w:r>
        <w:rPr>
          <w:rFonts w:hint="eastAsia"/>
          <w:highlight w:val="none"/>
          <w:lang w:val="zh-CN"/>
        </w:rPr>
        <w:t>指导思想</w:t>
      </w:r>
      <w:bookmarkEnd w:id="29"/>
      <w:bookmarkEnd w:id="30"/>
      <w:bookmarkEnd w:id="31"/>
    </w:p>
    <w:p w14:paraId="1D253744">
      <w:pPr>
        <w:pStyle w:val="60"/>
        <w:rPr>
          <w:highlight w:val="none"/>
        </w:rPr>
      </w:pPr>
      <w:bookmarkStart w:id="32" w:name="_Toc198237287"/>
      <w:r>
        <w:rPr>
          <w:rFonts w:hint="eastAsia"/>
          <w:highlight w:val="none"/>
        </w:rPr>
        <w:t>指导思想</w:t>
      </w:r>
      <w:bookmarkEnd w:id="32"/>
    </w:p>
    <w:p w14:paraId="6448607A">
      <w:pPr>
        <w:pStyle w:val="15"/>
        <w:ind w:firstLine="640"/>
        <w:rPr>
          <w:highlight w:val="none"/>
        </w:rPr>
      </w:pPr>
      <w:r>
        <w:rPr>
          <w:rFonts w:hint="eastAsia"/>
          <w:highlight w:val="none"/>
        </w:rPr>
        <w:t>坚持以习近平新时代中国特色社会主义思想为指导，全面贯彻落实党的二十大和二十届三中全会精神，深入践行习近平生态文明思想，不折不扣落实习近平总书记对青海工作的重大要求，立足“三个最大”省情定位和“三个更加重要”战略地位，完整准确全面贯彻新发展理念，加快融入新发展格局，着力推动高质量发展，坚持以人民为中心，锚定全县“123456”奋斗目标，围绕“农村基本具备现代生活条件”目标，细化落实《共和县国土空间总体规划（2021—2035年）》，统筹</w:t>
      </w:r>
      <w:r>
        <w:rPr>
          <w:rFonts w:hint="eastAsia"/>
          <w:highlight w:val="none"/>
          <w:lang w:eastAsia="zh-CN"/>
        </w:rPr>
        <w:t>高质量发展和高水平安全</w:t>
      </w:r>
      <w:r>
        <w:rPr>
          <w:rFonts w:hint="eastAsia"/>
          <w:highlight w:val="none"/>
        </w:rPr>
        <w:t>，促进人与自然和谐共生，统筹划定落实耕地和永久基本农田、生态保护红线、城镇开发边界三条控制线，优化农业、生态、城镇等功能空间，整体谋划国土空间开发保护新格局，强化国土空间生态保护与修复，提高国土空间资源利用效率，为支撑江西沟镇更高质量、更有效率、更加公平、更可持续、更为安全的发展，建设人与自然和谐共生的现代化筑牢根基。</w:t>
      </w:r>
    </w:p>
    <w:p w14:paraId="0BE29442">
      <w:pPr>
        <w:pStyle w:val="60"/>
        <w:rPr>
          <w:highlight w:val="none"/>
        </w:rPr>
      </w:pPr>
      <w:bookmarkStart w:id="33" w:name="_Toc198237288"/>
      <w:r>
        <w:rPr>
          <w:rFonts w:hint="eastAsia"/>
          <w:highlight w:val="none"/>
        </w:rPr>
        <w:t>基本原则</w:t>
      </w:r>
      <w:bookmarkEnd w:id="33"/>
    </w:p>
    <w:p w14:paraId="017518BC">
      <w:pPr>
        <w:pStyle w:val="15"/>
        <w:ind w:firstLine="640"/>
        <w:rPr>
          <w:highlight w:val="none"/>
        </w:rPr>
      </w:pPr>
      <w:r>
        <w:rPr>
          <w:rFonts w:hint="eastAsia" w:ascii="楷体_GB2312" w:hAnsi="楷体_GB2312" w:eastAsia="楷体_GB2312" w:cs="楷体_GB2312"/>
          <w:highlight w:val="none"/>
        </w:rPr>
        <w:t>安全底线原则，</w:t>
      </w:r>
      <w:r>
        <w:rPr>
          <w:rFonts w:hint="eastAsia"/>
          <w:highlight w:val="none"/>
        </w:rPr>
        <w:t>以风险评估为依据，守住粮食安全底线、生态安全底线、用水安全底线、防灾安全底线等。严格落实三条控制线，强化底线约束，积极协调人、地、产、城、村关系，形成生态空间山清水秀、生活空间宜居适度、生产空间集约高效的空间格局。</w:t>
      </w:r>
    </w:p>
    <w:p w14:paraId="04428A70">
      <w:pPr>
        <w:pStyle w:val="15"/>
        <w:ind w:firstLine="640"/>
        <w:rPr>
          <w:highlight w:val="none"/>
        </w:rPr>
      </w:pPr>
      <w:r>
        <w:rPr>
          <w:rFonts w:hint="eastAsia" w:ascii="楷体_GB2312" w:hAnsi="楷体_GB2312" w:eastAsia="楷体_GB2312" w:cs="楷体_GB2312"/>
          <w:highlight w:val="none"/>
        </w:rPr>
        <w:t>生态优先原则，</w:t>
      </w:r>
      <w:r>
        <w:rPr>
          <w:highlight w:val="none"/>
        </w:rPr>
        <w:t>在生态文明思想和</w:t>
      </w:r>
      <w:r>
        <w:rPr>
          <w:rFonts w:hint="eastAsia"/>
          <w:highlight w:val="none"/>
          <w:lang w:eastAsia="zh-CN"/>
        </w:rPr>
        <w:t>总体国家安全观</w:t>
      </w:r>
      <w:r>
        <w:rPr>
          <w:highlight w:val="none"/>
        </w:rPr>
        <w:t>指导下</w:t>
      </w:r>
      <w:r>
        <w:rPr>
          <w:rFonts w:hint="eastAsia"/>
          <w:highlight w:val="none"/>
        </w:rPr>
        <w:t>，</w:t>
      </w:r>
      <w:r>
        <w:rPr>
          <w:highlight w:val="none"/>
        </w:rPr>
        <w:t>探索内涵式</w:t>
      </w:r>
      <w:r>
        <w:rPr>
          <w:rFonts w:hint="eastAsia"/>
          <w:highlight w:val="none"/>
        </w:rPr>
        <w:t>、</w:t>
      </w:r>
      <w:r>
        <w:rPr>
          <w:highlight w:val="none"/>
        </w:rPr>
        <w:t>集约型</w:t>
      </w:r>
      <w:r>
        <w:rPr>
          <w:rFonts w:hint="eastAsia"/>
          <w:highlight w:val="none"/>
        </w:rPr>
        <w:t>、</w:t>
      </w:r>
      <w:r>
        <w:rPr>
          <w:highlight w:val="none"/>
        </w:rPr>
        <w:t>绿色化的高质量发展路径</w:t>
      </w:r>
      <w:r>
        <w:rPr>
          <w:rFonts w:hint="eastAsia"/>
          <w:highlight w:val="none"/>
        </w:rPr>
        <w:t>，坚持山水林田湖草沙生命共同体理念，加强整体保护与自然修复，全面筑牢国家生态安全屏障。</w:t>
      </w:r>
    </w:p>
    <w:p w14:paraId="07C5AFA0">
      <w:pPr>
        <w:pStyle w:val="15"/>
        <w:ind w:firstLine="640"/>
        <w:rPr>
          <w:highlight w:val="none"/>
        </w:rPr>
      </w:pPr>
      <w:r>
        <w:rPr>
          <w:rFonts w:hint="eastAsia" w:ascii="楷体_GB2312" w:hAnsi="楷体_GB2312" w:eastAsia="楷体_GB2312" w:cs="楷体_GB2312"/>
          <w:highlight w:val="none"/>
        </w:rPr>
        <w:t>以人为本原则，</w:t>
      </w:r>
      <w:r>
        <w:rPr>
          <w:rFonts w:hint="eastAsia"/>
          <w:highlight w:val="none"/>
        </w:rPr>
        <w:t>从社会全面进步和人的全面发展出发，塑造高品质城乡人居环境，构建高水平均等化的城乡公共服务体系，建立便捷完善的城乡交通和基础设施网络，不断提升人民群众获得感、幸福感、安全感。</w:t>
      </w:r>
    </w:p>
    <w:p w14:paraId="45EF504B">
      <w:pPr>
        <w:pStyle w:val="15"/>
        <w:ind w:firstLine="640"/>
        <w:rPr>
          <w:highlight w:val="none"/>
        </w:rPr>
      </w:pPr>
      <w:r>
        <w:rPr>
          <w:rFonts w:hint="eastAsia" w:ascii="楷体_GB2312" w:hAnsi="楷体_GB2312" w:eastAsia="楷体_GB2312" w:cs="楷体_GB2312"/>
          <w:highlight w:val="none"/>
        </w:rPr>
        <w:t>协同融合原则，</w:t>
      </w:r>
      <w:r>
        <w:rPr>
          <w:rFonts w:hint="eastAsia"/>
          <w:highlight w:val="none"/>
        </w:rPr>
        <w:t>坚持区域协同，积极融入</w:t>
      </w:r>
      <w:r>
        <w:rPr>
          <w:rFonts w:hint="eastAsia"/>
          <w:highlight w:val="none"/>
          <w:lang w:eastAsia="zh-CN"/>
        </w:rPr>
        <w:t>“一带一路”</w:t>
      </w:r>
      <w:r>
        <w:rPr>
          <w:rFonts w:hint="eastAsia"/>
          <w:highlight w:val="none"/>
        </w:rPr>
        <w:t>、兰西城镇群等区域战略，助力泛共和盆地城镇区绿色崛起，落实新型城镇化、乡村振兴、高原美丽城镇建设等战略，促进城乡协调发展。</w:t>
      </w:r>
    </w:p>
    <w:p w14:paraId="367F5050">
      <w:pPr>
        <w:pStyle w:val="15"/>
        <w:ind w:firstLine="640"/>
        <w:rPr>
          <w:highlight w:val="none"/>
        </w:rPr>
      </w:pPr>
      <w:r>
        <w:rPr>
          <w:rFonts w:hint="eastAsia" w:ascii="楷体_GB2312" w:hAnsi="楷体_GB2312" w:eastAsia="楷体_GB2312" w:cs="楷体_GB2312"/>
          <w:highlight w:val="none"/>
        </w:rPr>
        <w:t>因地制宜原则，</w:t>
      </w:r>
      <w:r>
        <w:rPr>
          <w:highlight w:val="none"/>
        </w:rPr>
        <w:t>立足</w:t>
      </w:r>
      <w:r>
        <w:rPr>
          <w:rFonts w:hint="eastAsia"/>
          <w:highlight w:val="none"/>
        </w:rPr>
        <w:t>江西沟镇</w:t>
      </w:r>
      <w:r>
        <w:rPr>
          <w:highlight w:val="none"/>
        </w:rPr>
        <w:t>自然和人文禀赋</w:t>
      </w:r>
      <w:r>
        <w:rPr>
          <w:rFonts w:hint="eastAsia"/>
          <w:highlight w:val="none"/>
        </w:rPr>
        <w:t>、</w:t>
      </w:r>
      <w:r>
        <w:rPr>
          <w:highlight w:val="none"/>
        </w:rPr>
        <w:t>资源环境条件</w:t>
      </w:r>
      <w:r>
        <w:rPr>
          <w:rFonts w:hint="eastAsia"/>
          <w:highlight w:val="none"/>
        </w:rPr>
        <w:t>、</w:t>
      </w:r>
      <w:r>
        <w:rPr>
          <w:highlight w:val="none"/>
        </w:rPr>
        <w:t>发展阶段特征</w:t>
      </w:r>
      <w:r>
        <w:rPr>
          <w:rFonts w:hint="eastAsia"/>
          <w:highlight w:val="none"/>
        </w:rPr>
        <w:t>、区域地理格局、</w:t>
      </w:r>
      <w:r>
        <w:rPr>
          <w:highlight w:val="none"/>
        </w:rPr>
        <w:t>民族文化特色</w:t>
      </w:r>
      <w:r>
        <w:rPr>
          <w:rFonts w:hint="eastAsia"/>
          <w:highlight w:val="none"/>
        </w:rPr>
        <w:t>，充分体现地域特征、民族特色、时代风貌，突出规划编制的针对性、实用性和特色化。</w:t>
      </w:r>
    </w:p>
    <w:p w14:paraId="1396EBD5">
      <w:pPr>
        <w:pStyle w:val="3"/>
        <w:numPr>
          <w:ilvl w:val="0"/>
          <w:numId w:val="9"/>
        </w:numPr>
        <w:rPr>
          <w:highlight w:val="none"/>
          <w:lang w:val="zh-CN"/>
        </w:rPr>
      </w:pPr>
      <w:bookmarkStart w:id="34" w:name="_Toc198237289"/>
      <w:bookmarkStart w:id="35" w:name="_Toc198237499"/>
      <w:bookmarkStart w:id="36" w:name="_Toc23823"/>
      <w:r>
        <w:rPr>
          <w:rFonts w:hint="eastAsia"/>
          <w:highlight w:val="none"/>
          <w:lang w:val="zh-CN"/>
        </w:rPr>
        <w:t>总体定位</w:t>
      </w:r>
      <w:bookmarkEnd w:id="34"/>
      <w:bookmarkEnd w:id="35"/>
      <w:bookmarkEnd w:id="36"/>
    </w:p>
    <w:p w14:paraId="39B9659B">
      <w:pPr>
        <w:pStyle w:val="60"/>
        <w:ind w:left="0" w:firstLine="640" w:firstLineChars="200"/>
        <w:rPr>
          <w:highlight w:val="none"/>
        </w:rPr>
      </w:pPr>
      <w:bookmarkStart w:id="37" w:name="_Toc198237290"/>
      <w:r>
        <w:rPr>
          <w:rFonts w:hint="eastAsia"/>
          <w:highlight w:val="none"/>
        </w:rPr>
        <w:t>总体定位</w:t>
      </w:r>
      <w:bookmarkEnd w:id="37"/>
    </w:p>
    <w:p w14:paraId="3F9D4C81">
      <w:pPr>
        <w:pStyle w:val="15"/>
        <w:ind w:firstLine="640"/>
        <w:rPr>
          <w:highlight w:val="none"/>
        </w:rPr>
      </w:pPr>
      <w:bookmarkStart w:id="38" w:name="_Hlk177562175"/>
      <w:r>
        <w:rPr>
          <w:rFonts w:hint="eastAsia"/>
          <w:highlight w:val="none"/>
        </w:rPr>
        <w:t>规划对江西沟镇的城镇定位：以环湖旅游、生态种养、山地观光为主的滨湖生态农旅小镇；环青海湖特色农旅融合发展示范镇；国内生态体验旅游名镇。</w:t>
      </w:r>
    </w:p>
    <w:p w14:paraId="699F903A">
      <w:pPr>
        <w:pStyle w:val="15"/>
        <w:ind w:firstLine="640"/>
        <w:rPr>
          <w:highlight w:val="none"/>
        </w:rPr>
      </w:pPr>
      <w:r>
        <w:rPr>
          <w:rFonts w:hint="eastAsia" w:ascii="楷体_GB2312" w:hAnsi="楷体_GB2312" w:eastAsia="楷体_GB2312" w:cs="楷体_GB2312"/>
          <w:highlight w:val="none"/>
        </w:rPr>
        <w:t>以环湖旅游、生态种养、山地观光为主的滨湖生态农旅小镇。</w:t>
      </w:r>
      <w:r>
        <w:rPr>
          <w:rFonts w:hint="eastAsia"/>
          <w:highlight w:val="none"/>
        </w:rPr>
        <w:t>江西沟镇北部紧邻青海湖南岸，南部位于山脉脚下。立足优质天然牧草地、耕地、林地等资源，高效整合资源，发展旅游、农牧业等产业。</w:t>
      </w:r>
    </w:p>
    <w:p w14:paraId="296CECD2">
      <w:pPr>
        <w:pStyle w:val="15"/>
        <w:ind w:firstLine="640"/>
        <w:rPr>
          <w:highlight w:val="none"/>
        </w:rPr>
      </w:pPr>
      <w:r>
        <w:rPr>
          <w:rFonts w:hint="eastAsia" w:ascii="楷体_GB2312" w:hAnsi="楷体_GB2312" w:eastAsia="楷体_GB2312" w:cs="楷体_GB2312"/>
          <w:highlight w:val="none"/>
        </w:rPr>
        <w:t>环青海湖特色农旅融合发展示范镇。</w:t>
      </w:r>
      <w:r>
        <w:rPr>
          <w:rFonts w:hint="eastAsia"/>
          <w:highlight w:val="none"/>
        </w:rPr>
        <w:t>充分利用江西沟镇的地理区位，挖掘当地自然环境、文化遗产以及特色产业资源，实现农业与旅游业深度结合的乡镇。促进地方经济的发展，提升当地居民的生活水平，保护生态环境和传承民族文化。</w:t>
      </w:r>
    </w:p>
    <w:p w14:paraId="578F0113">
      <w:pPr>
        <w:pStyle w:val="15"/>
        <w:ind w:firstLine="640"/>
        <w:rPr>
          <w:highlight w:val="none"/>
        </w:rPr>
      </w:pPr>
      <w:r>
        <w:rPr>
          <w:rFonts w:hint="eastAsia" w:ascii="楷体_GB2312" w:hAnsi="楷体_GB2312" w:eastAsia="楷体_GB2312" w:cs="楷体_GB2312"/>
          <w:highlight w:val="none"/>
        </w:rPr>
        <w:t>国内生态体验旅游名镇。</w:t>
      </w:r>
      <w:r>
        <w:rPr>
          <w:rFonts w:hint="eastAsia"/>
          <w:highlight w:val="none"/>
        </w:rPr>
        <w:t>江西沟镇自然资源丰富，以可持续发展为理念，以实现人与自然和谐为准则，以保护生态环境为前提，强调依托良好的自然生态环境和与之共生的人文生态，开展生态体验、认知、教育并获得身心愉悦的旅游方式。实现旅游业与自然环境的和谐共存。</w:t>
      </w:r>
    </w:p>
    <w:bookmarkEnd w:id="38"/>
    <w:p w14:paraId="713A2705">
      <w:pPr>
        <w:pStyle w:val="3"/>
        <w:numPr>
          <w:ilvl w:val="0"/>
          <w:numId w:val="9"/>
        </w:numPr>
        <w:rPr>
          <w:highlight w:val="none"/>
          <w:lang w:val="zh-CN"/>
        </w:rPr>
      </w:pPr>
      <w:bookmarkStart w:id="39" w:name="_Toc198237500"/>
      <w:bookmarkStart w:id="40" w:name="_Toc198237291"/>
      <w:bookmarkStart w:id="41" w:name="_Toc24677"/>
      <w:r>
        <w:rPr>
          <w:rFonts w:hint="eastAsia"/>
          <w:highlight w:val="none"/>
          <w:lang w:val="zh-CN"/>
        </w:rPr>
        <w:t>开发保护目标与战略</w:t>
      </w:r>
      <w:bookmarkEnd w:id="39"/>
      <w:bookmarkEnd w:id="40"/>
      <w:bookmarkEnd w:id="41"/>
    </w:p>
    <w:p w14:paraId="5EF7CCE5">
      <w:pPr>
        <w:pStyle w:val="60"/>
        <w:ind w:left="0" w:firstLine="640" w:firstLineChars="200"/>
        <w:rPr>
          <w:highlight w:val="none"/>
        </w:rPr>
      </w:pPr>
      <w:bookmarkStart w:id="42" w:name="_Toc198237292"/>
      <w:r>
        <w:rPr>
          <w:rFonts w:hint="eastAsia"/>
          <w:highlight w:val="none"/>
        </w:rPr>
        <w:t>国土空间开发保护目标</w:t>
      </w:r>
      <w:bookmarkEnd w:id="42"/>
    </w:p>
    <w:p w14:paraId="7DE63223">
      <w:pPr>
        <w:pStyle w:val="15"/>
        <w:ind w:firstLine="640"/>
        <w:rPr>
          <w:highlight w:val="none"/>
        </w:rPr>
      </w:pPr>
      <w:r>
        <w:rPr>
          <w:rFonts w:hint="eastAsia"/>
          <w:highlight w:val="none"/>
        </w:rPr>
        <w:t>2035年，围绕二</w:t>
      </w:r>
      <w:r>
        <w:rPr>
          <w:rFonts w:hint="eastAsia" w:ascii="微软雅黑" w:hAnsi="微软雅黑" w:eastAsia="微软雅黑" w:cs="微软雅黑"/>
          <w:highlight w:val="none"/>
        </w:rPr>
        <w:t>〇</w:t>
      </w:r>
      <w:r>
        <w:rPr>
          <w:rFonts w:hint="eastAsia"/>
          <w:highlight w:val="none"/>
        </w:rPr>
        <w:t>三五年社会经济发展远景目标，强化空间保护与发展支撑，充分保障社会经济发展总体目标实现的空间基础，全面落实生态文明建设和高质量发展的要求。夯实江西沟镇重要生态屏障地位，优化山水林田湖草沙的镇域空间格局，科学配置国土空间资源，强化国土空间底线管控，提升资源利用效率，加强全域全要素用途管制与自然资源统一管理，提升城乡空间品质，推进国土空间治理现代化，全面实施国土空间监测预警和绩效考核机制，形成以国土空间规划为基础，以统一用途管制为手段的国土空间开发保护制度。</w:t>
      </w:r>
    </w:p>
    <w:p w14:paraId="031E6194">
      <w:pPr>
        <w:pStyle w:val="15"/>
        <w:ind w:firstLine="640"/>
        <w:rPr>
          <w:highlight w:val="none"/>
        </w:rPr>
      </w:pPr>
      <w:r>
        <w:rPr>
          <w:rFonts w:hint="eastAsia" w:ascii="楷体_GB2312" w:hAnsi="楷体_GB2312" w:eastAsia="楷体_GB2312" w:cs="楷体_GB2312"/>
          <w:highlight w:val="none"/>
        </w:rPr>
        <w:t>国土空间保护水平大幅提高。</w:t>
      </w:r>
      <w:r>
        <w:rPr>
          <w:rFonts w:hint="eastAsia"/>
          <w:highlight w:val="none"/>
        </w:rPr>
        <w:t>耕地和永久基本农田、生态保护红线等安全底线得到严格落实。环湖地区生态系统得到全面保护，生态脆弱和退化严重区域得到有效治理，生态系统更加稳固，生态功能大幅提升，生态环境持续向好，生态安全屏障得到有效保障。</w:t>
      </w:r>
    </w:p>
    <w:p w14:paraId="3F921DCB">
      <w:pPr>
        <w:pStyle w:val="15"/>
        <w:ind w:firstLine="640"/>
        <w:rPr>
          <w:highlight w:val="none"/>
        </w:rPr>
      </w:pPr>
      <w:r>
        <w:rPr>
          <w:rFonts w:hint="eastAsia" w:ascii="楷体_GB2312" w:hAnsi="楷体_GB2312" w:eastAsia="楷体_GB2312" w:cs="楷体_GB2312"/>
          <w:highlight w:val="none"/>
        </w:rPr>
        <w:t>国土空间开发效率显著提升。</w:t>
      </w:r>
      <w:r>
        <w:rPr>
          <w:rFonts w:hint="eastAsia"/>
          <w:highlight w:val="none"/>
        </w:rPr>
        <w:t>城乡空间集约高效，城镇空间有序集聚，自然资源利用效率大幅提升，生产生活方式绿色转型成效显著。</w:t>
      </w:r>
    </w:p>
    <w:p w14:paraId="638DC2F9">
      <w:pPr>
        <w:pStyle w:val="15"/>
        <w:ind w:firstLine="640"/>
        <w:rPr>
          <w:highlight w:val="none"/>
        </w:rPr>
      </w:pPr>
      <w:r>
        <w:rPr>
          <w:rFonts w:hint="eastAsia" w:ascii="楷体_GB2312" w:hAnsi="楷体_GB2312" w:eastAsia="楷体_GB2312" w:cs="楷体_GB2312"/>
          <w:highlight w:val="none"/>
        </w:rPr>
        <w:t>国土空间支撑能力稳步增强。</w:t>
      </w:r>
      <w:r>
        <w:rPr>
          <w:rFonts w:hint="eastAsia"/>
          <w:highlight w:val="none"/>
        </w:rPr>
        <w:t>现代综合交通网络逐渐完善，国土空间对外联通能力和开放度全面增强，与周边城镇联系更加紧密。水利、能源、防灾减灾等基础设施体系建设得到有力保障</w:t>
      </w:r>
      <w:r>
        <w:rPr>
          <w:rFonts w:hint="eastAsia"/>
          <w:highlight w:val="none"/>
          <w:lang w:eastAsia="zh-CN"/>
        </w:rPr>
        <w:t>，</w:t>
      </w:r>
      <w:r>
        <w:rPr>
          <w:rFonts w:hint="eastAsia"/>
          <w:highlight w:val="none"/>
        </w:rPr>
        <w:t>应对各类灾害的风险防范能力明显提升。</w:t>
      </w:r>
    </w:p>
    <w:p w14:paraId="507DAD36">
      <w:pPr>
        <w:pStyle w:val="15"/>
        <w:ind w:firstLine="640"/>
        <w:rPr>
          <w:highlight w:val="none"/>
        </w:rPr>
      </w:pPr>
      <w:r>
        <w:rPr>
          <w:rFonts w:hint="eastAsia" w:ascii="楷体_GB2312" w:hAnsi="楷体_GB2312" w:eastAsia="楷体_GB2312" w:cs="楷体_GB2312"/>
          <w:highlight w:val="none"/>
        </w:rPr>
        <w:t>国土空间品质持续提高。</w:t>
      </w:r>
      <w:r>
        <w:rPr>
          <w:rFonts w:hint="eastAsia"/>
          <w:highlight w:val="none"/>
        </w:rPr>
        <w:t>城乡社区生活圈建成全覆盖，人居环境品质得到全面增强，城乡基本公共服务实现均等化，乡村振兴战略取得实质进展。文化和自然遗产得到有效保护传承，凸显江西沟的城镇形象和环青海湖高原生态小镇的特色。</w:t>
      </w:r>
    </w:p>
    <w:p w14:paraId="62A0A419">
      <w:pPr>
        <w:pStyle w:val="15"/>
        <w:ind w:firstLine="640"/>
        <w:rPr>
          <w:highlight w:val="none"/>
        </w:rPr>
      </w:pPr>
    </w:p>
    <w:p w14:paraId="16EC1D9E">
      <w:pPr>
        <w:pStyle w:val="15"/>
        <w:ind w:firstLine="640"/>
        <w:rPr>
          <w:highlight w:val="none"/>
        </w:rPr>
      </w:pPr>
    </w:p>
    <w:p w14:paraId="534E3294">
      <w:pPr>
        <w:pStyle w:val="15"/>
        <w:ind w:firstLine="640"/>
        <w:jc w:val="center"/>
        <w:rPr>
          <w:highlight w:val="none"/>
        </w:rPr>
      </w:pPr>
      <w:r>
        <w:rPr>
          <w:rFonts w:hint="eastAsia"/>
          <w:highlight w:val="none"/>
        </w:rPr>
        <w:t>国土空间开发保护主要指标</w:t>
      </w:r>
    </w:p>
    <w:tbl>
      <w:tblPr>
        <w:tblStyle w:val="34"/>
        <w:tblW w:w="5000" w:type="pct"/>
        <w:tblInd w:w="0" w:type="dxa"/>
        <w:tblLayout w:type="fixed"/>
        <w:tblCellMar>
          <w:top w:w="0" w:type="dxa"/>
          <w:left w:w="108" w:type="dxa"/>
          <w:bottom w:w="0" w:type="dxa"/>
          <w:right w:w="108" w:type="dxa"/>
        </w:tblCellMar>
      </w:tblPr>
      <w:tblGrid>
        <w:gridCol w:w="482"/>
        <w:gridCol w:w="1147"/>
        <w:gridCol w:w="1347"/>
        <w:gridCol w:w="1554"/>
        <w:gridCol w:w="1161"/>
        <w:gridCol w:w="1293"/>
        <w:gridCol w:w="863"/>
        <w:gridCol w:w="675"/>
      </w:tblGrid>
      <w:tr w14:paraId="7EAE4AB7">
        <w:tblPrEx>
          <w:tblCellMar>
            <w:top w:w="0" w:type="dxa"/>
            <w:left w:w="108" w:type="dxa"/>
            <w:bottom w:w="0" w:type="dxa"/>
            <w:right w:w="108" w:type="dxa"/>
          </w:tblCellMar>
        </w:tblPrEx>
        <w:trPr>
          <w:trHeight w:val="270" w:hRule="atLeast"/>
        </w:trPr>
        <w:tc>
          <w:tcPr>
            <w:tcW w:w="4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34F0">
            <w:pPr>
              <w:pStyle w:val="52"/>
              <w:rPr>
                <w:rFonts w:ascii="仿宋_GB2312" w:hAnsi="微软雅黑" w:eastAsia="仿宋_GB2312" w:cs="宋体"/>
                <w:b/>
                <w:bCs/>
                <w:color w:val="000000"/>
                <w:kern w:val="0"/>
                <w:sz w:val="22"/>
                <w:highlight w:val="none"/>
              </w:rPr>
            </w:pPr>
            <w:r>
              <w:rPr>
                <w:b/>
                <w:bCs/>
                <w:highlight w:val="none"/>
              </w:rPr>
              <w:t>序号</w:t>
            </w:r>
          </w:p>
        </w:tc>
        <w:tc>
          <w:tcPr>
            <w:tcW w:w="24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78F0">
            <w:pPr>
              <w:pStyle w:val="52"/>
              <w:rPr>
                <w:rFonts w:ascii="仿宋_GB2312" w:hAnsi="微软雅黑" w:eastAsia="仿宋_GB2312" w:cs="宋体"/>
                <w:b/>
                <w:bCs/>
                <w:color w:val="000000"/>
                <w:kern w:val="0"/>
                <w:sz w:val="22"/>
                <w:highlight w:val="none"/>
              </w:rPr>
            </w:pPr>
            <w:r>
              <w:rPr>
                <w:b/>
                <w:bCs/>
                <w:highlight w:val="none"/>
              </w:rPr>
              <w:t>指标项（单位）</w:t>
            </w: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46F0">
            <w:pPr>
              <w:pStyle w:val="52"/>
              <w:rPr>
                <w:rFonts w:ascii="仿宋_GB2312" w:hAnsi="微软雅黑" w:eastAsia="仿宋_GB2312" w:cs="宋体"/>
                <w:b/>
                <w:bCs/>
                <w:color w:val="000000"/>
                <w:kern w:val="0"/>
                <w:sz w:val="22"/>
                <w:highlight w:val="none"/>
              </w:rPr>
            </w:pPr>
            <w:r>
              <w:rPr>
                <w:b/>
                <w:bCs/>
                <w:highlight w:val="none"/>
              </w:rPr>
              <w:t>基期值2020年</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2C6F">
            <w:pPr>
              <w:pStyle w:val="52"/>
              <w:rPr>
                <w:rFonts w:ascii="仿宋_GB2312" w:hAnsi="微软雅黑" w:eastAsia="仿宋_GB2312" w:cs="宋体"/>
                <w:b/>
                <w:bCs/>
                <w:color w:val="000000"/>
                <w:kern w:val="0"/>
                <w:sz w:val="22"/>
                <w:highlight w:val="none"/>
              </w:rPr>
            </w:pPr>
            <w:r>
              <w:rPr>
                <w:b/>
                <w:bCs/>
                <w:highlight w:val="none"/>
              </w:rPr>
              <w:t>目标值</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8548">
            <w:pPr>
              <w:pStyle w:val="52"/>
              <w:rPr>
                <w:rFonts w:ascii="仿宋_GB2312" w:hAnsi="微软雅黑" w:eastAsia="仿宋_GB2312" w:cs="宋体"/>
                <w:b/>
                <w:bCs/>
                <w:color w:val="000000"/>
                <w:kern w:val="0"/>
                <w:sz w:val="22"/>
                <w:highlight w:val="none"/>
              </w:rPr>
            </w:pPr>
            <w:r>
              <w:rPr>
                <w:b/>
                <w:bCs/>
                <w:highlight w:val="none"/>
              </w:rPr>
              <w:t>指标属性</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BE4D">
            <w:pPr>
              <w:pStyle w:val="52"/>
              <w:rPr>
                <w:rFonts w:ascii="仿宋_GB2312" w:hAnsi="微软雅黑" w:eastAsia="仿宋_GB2312" w:cs="宋体"/>
                <w:b/>
                <w:bCs/>
                <w:color w:val="000000"/>
                <w:kern w:val="0"/>
                <w:sz w:val="22"/>
                <w:highlight w:val="none"/>
              </w:rPr>
            </w:pPr>
            <w:r>
              <w:rPr>
                <w:b/>
                <w:bCs/>
                <w:highlight w:val="none"/>
              </w:rPr>
              <w:t>指标层级</w:t>
            </w:r>
          </w:p>
        </w:tc>
      </w:tr>
      <w:tr w14:paraId="01354D47">
        <w:tblPrEx>
          <w:tblCellMar>
            <w:top w:w="0" w:type="dxa"/>
            <w:left w:w="108" w:type="dxa"/>
            <w:bottom w:w="0" w:type="dxa"/>
            <w:right w:w="108" w:type="dxa"/>
          </w:tblCellMar>
        </w:tblPrEx>
        <w:trPr>
          <w:trHeight w:val="270"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37E7">
            <w:pPr>
              <w:pStyle w:val="52"/>
              <w:rPr>
                <w:rFonts w:ascii="仿宋_GB2312" w:hAnsi="微软雅黑" w:eastAsia="仿宋_GB2312" w:cs="宋体"/>
                <w:color w:val="000000"/>
                <w:kern w:val="0"/>
                <w:sz w:val="22"/>
                <w:highlight w:val="none"/>
              </w:rPr>
            </w:pPr>
          </w:p>
        </w:tc>
        <w:tc>
          <w:tcPr>
            <w:tcW w:w="24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88A3">
            <w:pPr>
              <w:pStyle w:val="52"/>
              <w:rPr>
                <w:rFonts w:ascii="仿宋_GB2312" w:hAnsi="微软雅黑" w:eastAsia="仿宋_GB2312" w:cs="宋体"/>
                <w:color w:val="000000"/>
                <w:kern w:val="0"/>
                <w:sz w:val="22"/>
                <w:highlight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A876">
            <w:pPr>
              <w:pStyle w:val="52"/>
              <w:rPr>
                <w:rFonts w:ascii="仿宋_GB2312" w:hAnsi="微软雅黑" w:eastAsia="仿宋_GB2312" w:cs="宋体"/>
                <w:color w:val="000000"/>
                <w:kern w:val="0"/>
                <w:sz w:val="22"/>
                <w:highlight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8924">
            <w:pPr>
              <w:pStyle w:val="52"/>
              <w:rPr>
                <w:rFonts w:ascii="仿宋_GB2312" w:hAnsi="微软雅黑" w:eastAsia="仿宋_GB2312" w:cs="宋体"/>
                <w:b/>
                <w:bCs/>
                <w:color w:val="000000"/>
                <w:kern w:val="0"/>
                <w:sz w:val="22"/>
                <w:highlight w:val="none"/>
              </w:rPr>
            </w:pPr>
            <w:r>
              <w:rPr>
                <w:b/>
                <w:bCs/>
                <w:highlight w:val="none"/>
              </w:rPr>
              <w:t>2025年</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EE7E">
            <w:pPr>
              <w:pStyle w:val="52"/>
              <w:rPr>
                <w:rFonts w:ascii="仿宋_GB2312" w:hAnsi="微软雅黑" w:eastAsia="仿宋_GB2312" w:cs="宋体"/>
                <w:b/>
                <w:bCs/>
                <w:color w:val="000000"/>
                <w:kern w:val="0"/>
                <w:sz w:val="22"/>
                <w:highlight w:val="none"/>
              </w:rPr>
            </w:pPr>
            <w:r>
              <w:rPr>
                <w:b/>
                <w:bCs/>
                <w:highlight w:val="none"/>
              </w:rPr>
              <w:t>2035年</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0507">
            <w:pPr>
              <w:pStyle w:val="52"/>
              <w:rPr>
                <w:rFonts w:ascii="仿宋_GB2312" w:hAnsi="微软雅黑" w:eastAsia="仿宋_GB2312" w:cs="宋体"/>
                <w:color w:val="000000"/>
                <w:kern w:val="0"/>
                <w:sz w:val="22"/>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D2A7">
            <w:pPr>
              <w:pStyle w:val="52"/>
              <w:rPr>
                <w:rFonts w:ascii="仿宋_GB2312" w:hAnsi="微软雅黑" w:eastAsia="仿宋_GB2312" w:cs="宋体"/>
                <w:color w:val="000000"/>
                <w:kern w:val="0"/>
                <w:sz w:val="22"/>
                <w:highlight w:val="none"/>
              </w:rPr>
            </w:pPr>
          </w:p>
        </w:tc>
      </w:tr>
      <w:tr w14:paraId="2992D437">
        <w:tblPrEx>
          <w:tblCellMar>
            <w:top w:w="0" w:type="dxa"/>
            <w:left w:w="108" w:type="dxa"/>
            <w:bottom w:w="0" w:type="dxa"/>
            <w:right w:w="108" w:type="dxa"/>
          </w:tblCellMar>
        </w:tblPrEx>
        <w:trPr>
          <w:trHeight w:val="270" w:hRule="atLeast"/>
        </w:trPr>
        <w:tc>
          <w:tcPr>
            <w:tcW w:w="852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52E3">
            <w:pPr>
              <w:pStyle w:val="52"/>
              <w:rPr>
                <w:rFonts w:ascii="仿宋_GB2312" w:hAnsi="微软雅黑" w:eastAsia="仿宋_GB2312" w:cs="宋体"/>
                <w:color w:val="000000"/>
                <w:kern w:val="0"/>
                <w:sz w:val="22"/>
                <w:highlight w:val="none"/>
              </w:rPr>
            </w:pPr>
            <w:r>
              <w:rPr>
                <w:highlight w:val="none"/>
              </w:rPr>
              <w:t>一、空间底线</w:t>
            </w:r>
          </w:p>
        </w:tc>
      </w:tr>
      <w:tr w14:paraId="76F72DD2">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09D7">
            <w:pPr>
              <w:pStyle w:val="52"/>
              <w:rPr>
                <w:rFonts w:ascii="仿宋_GB2312" w:hAnsi="微软雅黑" w:eastAsia="仿宋_GB2312" w:cs="宋体"/>
                <w:color w:val="000000"/>
                <w:kern w:val="0"/>
                <w:sz w:val="22"/>
                <w:highlight w:val="none"/>
              </w:rPr>
            </w:pPr>
            <w:r>
              <w:rPr>
                <w:highlight w:val="none"/>
              </w:rPr>
              <w:t>1</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3800">
            <w:pPr>
              <w:pStyle w:val="52"/>
              <w:rPr>
                <w:rFonts w:ascii="仿宋_GB2312" w:hAnsi="微软雅黑" w:eastAsia="仿宋_GB2312" w:cs="宋体"/>
                <w:color w:val="000000"/>
                <w:kern w:val="0"/>
                <w:sz w:val="22"/>
                <w:highlight w:val="none"/>
              </w:rPr>
            </w:pPr>
            <w:r>
              <w:rPr>
                <w:highlight w:val="none"/>
              </w:rPr>
              <w:t>生态保护红线面积（平方千米）</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28FF">
            <w:pPr>
              <w:pStyle w:val="52"/>
              <w:rPr>
                <w:rFonts w:hint="default" w:ascii="仿宋_GB2312" w:hAnsi="微软雅黑" w:eastAsia="仿宋_GB2312" w:cs="宋体"/>
                <w:color w:val="000000"/>
                <w:kern w:val="0"/>
                <w:sz w:val="22"/>
                <w:highlight w:val="none"/>
                <w:lang w:val="en-US" w:eastAsia="zh-CN"/>
              </w:rPr>
            </w:pPr>
            <w:r>
              <w:rPr>
                <w:highlight w:val="none"/>
              </w:rPr>
              <w:t>116.</w:t>
            </w:r>
            <w:r>
              <w:rPr>
                <w:rFonts w:hint="eastAsia"/>
                <w:highlight w:val="none"/>
                <w:lang w:val="en-US" w:eastAsia="zh-CN"/>
              </w:rPr>
              <w:t>899</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B181">
            <w:pPr>
              <w:pStyle w:val="52"/>
              <w:rPr>
                <w:rFonts w:hint="default" w:ascii="仿宋_GB2312" w:hAnsi="微软雅黑" w:eastAsia="仿宋_GB2312" w:cs="宋体"/>
                <w:color w:val="000000"/>
                <w:kern w:val="0"/>
                <w:sz w:val="22"/>
                <w:highlight w:val="none"/>
                <w:lang w:val="en-US" w:eastAsia="zh-CN"/>
              </w:rPr>
            </w:pPr>
            <w:r>
              <w:rPr>
                <w:highlight w:val="none"/>
              </w:rPr>
              <w:t>≥116.</w:t>
            </w:r>
            <w:r>
              <w:rPr>
                <w:rFonts w:hint="eastAsia"/>
                <w:highlight w:val="none"/>
                <w:lang w:val="en-US" w:eastAsia="zh-CN"/>
              </w:rPr>
              <w:t>899</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66DE">
            <w:pPr>
              <w:pStyle w:val="52"/>
              <w:rPr>
                <w:rFonts w:hint="default" w:ascii="仿宋_GB2312" w:hAnsi="微软雅黑" w:eastAsia="仿宋_GB2312" w:cs="宋体"/>
                <w:color w:val="000000"/>
                <w:kern w:val="0"/>
                <w:sz w:val="22"/>
                <w:highlight w:val="none"/>
                <w:lang w:val="en-US" w:eastAsia="zh-CN"/>
              </w:rPr>
            </w:pPr>
            <w:r>
              <w:rPr>
                <w:highlight w:val="none"/>
              </w:rPr>
              <w:t>≥116.</w:t>
            </w:r>
            <w:r>
              <w:rPr>
                <w:rFonts w:hint="eastAsia"/>
                <w:highlight w:val="none"/>
                <w:lang w:val="en-US" w:eastAsia="zh-CN"/>
              </w:rPr>
              <w:t>899</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5E03">
            <w:pPr>
              <w:pStyle w:val="52"/>
              <w:rPr>
                <w:rFonts w:ascii="仿宋_GB2312" w:hAnsi="微软雅黑" w:eastAsia="仿宋_GB2312" w:cs="宋体"/>
                <w:color w:val="000000"/>
                <w:kern w:val="0"/>
                <w:sz w:val="22"/>
                <w:highlight w:val="none"/>
              </w:rPr>
            </w:pPr>
            <w:r>
              <w:rPr>
                <w:highlight w:val="none"/>
              </w:rPr>
              <w:t>约束性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9398">
            <w:pPr>
              <w:pStyle w:val="52"/>
              <w:rPr>
                <w:rFonts w:ascii="仿宋_GB2312" w:hAnsi="微软雅黑" w:eastAsia="仿宋_GB2312" w:cs="宋体"/>
                <w:color w:val="000000"/>
                <w:kern w:val="0"/>
                <w:sz w:val="22"/>
                <w:highlight w:val="none"/>
              </w:rPr>
            </w:pPr>
            <w:r>
              <w:rPr>
                <w:highlight w:val="none"/>
              </w:rPr>
              <w:t>镇域</w:t>
            </w:r>
          </w:p>
        </w:tc>
      </w:tr>
      <w:tr w14:paraId="2B0B225F">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B7F2">
            <w:pPr>
              <w:pStyle w:val="52"/>
              <w:rPr>
                <w:rFonts w:ascii="仿宋_GB2312" w:hAnsi="微软雅黑" w:eastAsia="仿宋_GB2312" w:cs="宋体"/>
                <w:color w:val="000000"/>
                <w:kern w:val="0"/>
                <w:sz w:val="22"/>
                <w:highlight w:val="none"/>
              </w:rPr>
            </w:pPr>
            <w:r>
              <w:rPr>
                <w:highlight w:val="none"/>
              </w:rPr>
              <w:t>2</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6CB3">
            <w:pPr>
              <w:pStyle w:val="52"/>
              <w:rPr>
                <w:rFonts w:ascii="仿宋_GB2312" w:hAnsi="微软雅黑" w:eastAsia="仿宋_GB2312" w:cs="宋体"/>
                <w:color w:val="000000"/>
                <w:kern w:val="0"/>
                <w:sz w:val="22"/>
                <w:highlight w:val="none"/>
              </w:rPr>
            </w:pPr>
            <w:r>
              <w:rPr>
                <w:highlight w:val="none"/>
              </w:rPr>
              <w:t>用水总量（亿立方米）</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C1D3">
            <w:pPr>
              <w:pStyle w:val="52"/>
              <w:rPr>
                <w:rFonts w:ascii="仿宋_GB2312" w:hAnsi="微软雅黑" w:eastAsia="仿宋_GB2312" w:cs="宋体"/>
                <w:color w:val="000000"/>
                <w:kern w:val="0"/>
                <w:sz w:val="22"/>
                <w:highlight w:val="none"/>
              </w:rPr>
            </w:pPr>
            <w:r>
              <w:rPr>
                <w:highlight w:val="none"/>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C1B2">
            <w:pPr>
              <w:pStyle w:val="52"/>
              <w:rPr>
                <w:rFonts w:ascii="仿宋_GB2312" w:hAnsi="微软雅黑" w:eastAsia="仿宋_GB2312" w:cs="宋体"/>
                <w:color w:val="000000"/>
                <w:kern w:val="0"/>
                <w:sz w:val="22"/>
                <w:highlight w:val="none"/>
              </w:rPr>
            </w:pPr>
            <w:r>
              <w:rPr>
                <w:highlight w:val="none"/>
              </w:rPr>
              <w:t>根据上级下达指标确定</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C838">
            <w:pPr>
              <w:pStyle w:val="52"/>
              <w:rPr>
                <w:rFonts w:ascii="仿宋_GB2312" w:hAnsi="微软雅黑" w:eastAsia="仿宋_GB2312" w:cs="宋体"/>
                <w:color w:val="000000"/>
                <w:kern w:val="0"/>
                <w:sz w:val="22"/>
                <w:highlight w:val="none"/>
              </w:rPr>
            </w:pPr>
            <w:r>
              <w:rPr>
                <w:highlight w:val="none"/>
              </w:rPr>
              <w:t>根据上级下达指标确定</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DE3F">
            <w:pPr>
              <w:pStyle w:val="52"/>
              <w:rPr>
                <w:rFonts w:ascii="仿宋_GB2312" w:hAnsi="微软雅黑" w:eastAsia="仿宋_GB2312" w:cs="宋体"/>
                <w:color w:val="000000"/>
                <w:kern w:val="0"/>
                <w:sz w:val="22"/>
                <w:highlight w:val="none"/>
              </w:rPr>
            </w:pPr>
            <w:r>
              <w:rPr>
                <w:highlight w:val="none"/>
              </w:rPr>
              <w:t>约束性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B875">
            <w:pPr>
              <w:pStyle w:val="52"/>
              <w:rPr>
                <w:rFonts w:ascii="仿宋_GB2312" w:hAnsi="微软雅黑" w:eastAsia="仿宋_GB2312" w:cs="宋体"/>
                <w:color w:val="000000"/>
                <w:kern w:val="0"/>
                <w:sz w:val="22"/>
                <w:highlight w:val="none"/>
              </w:rPr>
            </w:pPr>
            <w:r>
              <w:rPr>
                <w:highlight w:val="none"/>
              </w:rPr>
              <w:t>镇域</w:t>
            </w:r>
          </w:p>
        </w:tc>
      </w:tr>
      <w:tr w14:paraId="73CD99B6">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5404">
            <w:pPr>
              <w:pStyle w:val="52"/>
              <w:rPr>
                <w:rFonts w:ascii="仿宋_GB2312" w:hAnsi="微软雅黑" w:eastAsia="仿宋_GB2312" w:cs="宋体"/>
                <w:color w:val="000000"/>
                <w:kern w:val="0"/>
                <w:sz w:val="22"/>
                <w:highlight w:val="none"/>
              </w:rPr>
            </w:pPr>
            <w:r>
              <w:rPr>
                <w:highlight w:val="none"/>
              </w:rPr>
              <w:t>3</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1347">
            <w:pPr>
              <w:pStyle w:val="52"/>
              <w:rPr>
                <w:rFonts w:ascii="仿宋_GB2312" w:hAnsi="微软雅黑" w:eastAsia="仿宋_GB2312" w:cs="宋体"/>
                <w:color w:val="000000"/>
                <w:kern w:val="0"/>
                <w:sz w:val="22"/>
                <w:highlight w:val="none"/>
              </w:rPr>
            </w:pPr>
            <w:r>
              <w:rPr>
                <w:highlight w:val="none"/>
              </w:rPr>
              <w:t>永久基本农田保护面积（</w:t>
            </w:r>
            <w:r>
              <w:rPr>
                <w:rFonts w:hint="eastAsia"/>
                <w:highlight w:val="none"/>
                <w:lang w:val="en-US" w:eastAsia="zh-CN"/>
              </w:rPr>
              <w:t>万亩</w:t>
            </w:r>
            <w:r>
              <w:rPr>
                <w:highlight w:val="none"/>
              </w:rPr>
              <w:t>）</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69A7">
            <w:pPr>
              <w:pStyle w:val="52"/>
              <w:rPr>
                <w:rFonts w:hint="default" w:ascii="仿宋_GB2312" w:hAnsi="微软雅黑" w:eastAsia="仿宋_GB2312" w:cs="宋体"/>
                <w:color w:val="000000"/>
                <w:kern w:val="0"/>
                <w:sz w:val="22"/>
                <w:highlight w:val="none"/>
                <w:lang w:val="en-US" w:eastAsia="zh-CN"/>
              </w:rPr>
            </w:pPr>
            <w:r>
              <w:rPr>
                <w:rFonts w:hint="eastAsia"/>
                <w:highlight w:val="none"/>
                <w:lang w:val="en-US" w:eastAsia="zh-CN"/>
              </w:rPr>
              <w:t>9.9353</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03DB">
            <w:pPr>
              <w:pStyle w:val="52"/>
              <w:rPr>
                <w:rFonts w:ascii="仿宋_GB2312" w:hAnsi="微软雅黑" w:eastAsia="仿宋_GB2312" w:cs="宋体"/>
                <w:color w:val="000000"/>
                <w:kern w:val="0"/>
                <w:sz w:val="22"/>
                <w:highlight w:val="none"/>
              </w:rPr>
            </w:pPr>
            <w:r>
              <w:rPr>
                <w:highlight w:val="none"/>
              </w:rPr>
              <w:t>≥</w:t>
            </w:r>
            <w:r>
              <w:rPr>
                <w:rFonts w:hint="eastAsia"/>
                <w:highlight w:val="none"/>
                <w:lang w:val="en-US" w:eastAsia="zh-CN"/>
              </w:rPr>
              <w:t>9.9353</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E0BF">
            <w:pPr>
              <w:pStyle w:val="52"/>
              <w:rPr>
                <w:rFonts w:ascii="仿宋_GB2312" w:hAnsi="微软雅黑" w:eastAsia="仿宋_GB2312" w:cs="宋体"/>
                <w:color w:val="000000"/>
                <w:kern w:val="0"/>
                <w:sz w:val="22"/>
                <w:highlight w:val="none"/>
              </w:rPr>
            </w:pPr>
            <w:r>
              <w:rPr>
                <w:highlight w:val="none"/>
              </w:rPr>
              <w:t>≥</w:t>
            </w:r>
            <w:r>
              <w:rPr>
                <w:rFonts w:hint="eastAsia"/>
                <w:highlight w:val="none"/>
                <w:lang w:val="en-US" w:eastAsia="zh-CN"/>
              </w:rPr>
              <w:t>9.9353</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C059">
            <w:pPr>
              <w:pStyle w:val="52"/>
              <w:rPr>
                <w:rFonts w:ascii="仿宋_GB2312" w:hAnsi="微软雅黑" w:eastAsia="仿宋_GB2312" w:cs="宋体"/>
                <w:color w:val="000000"/>
                <w:kern w:val="0"/>
                <w:sz w:val="22"/>
                <w:highlight w:val="none"/>
              </w:rPr>
            </w:pPr>
            <w:r>
              <w:rPr>
                <w:highlight w:val="none"/>
              </w:rPr>
              <w:t>约束性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02AE">
            <w:pPr>
              <w:pStyle w:val="52"/>
              <w:rPr>
                <w:rFonts w:ascii="仿宋_GB2312" w:hAnsi="微软雅黑" w:eastAsia="仿宋_GB2312" w:cs="宋体"/>
                <w:color w:val="000000"/>
                <w:kern w:val="0"/>
                <w:sz w:val="22"/>
                <w:highlight w:val="none"/>
              </w:rPr>
            </w:pPr>
            <w:r>
              <w:rPr>
                <w:highlight w:val="none"/>
              </w:rPr>
              <w:t>镇域</w:t>
            </w:r>
          </w:p>
        </w:tc>
      </w:tr>
      <w:tr w14:paraId="7D410395">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C66A">
            <w:pPr>
              <w:pStyle w:val="52"/>
              <w:rPr>
                <w:rFonts w:ascii="仿宋_GB2312" w:hAnsi="微软雅黑" w:eastAsia="仿宋_GB2312" w:cs="宋体"/>
                <w:color w:val="000000"/>
                <w:kern w:val="0"/>
                <w:sz w:val="22"/>
                <w:highlight w:val="none"/>
              </w:rPr>
            </w:pPr>
            <w:r>
              <w:rPr>
                <w:highlight w:val="none"/>
              </w:rPr>
              <w:t>4</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AE8B">
            <w:pPr>
              <w:pStyle w:val="52"/>
              <w:rPr>
                <w:rFonts w:ascii="仿宋_GB2312" w:hAnsi="微软雅黑" w:eastAsia="仿宋_GB2312" w:cs="宋体"/>
                <w:color w:val="000000"/>
                <w:kern w:val="0"/>
                <w:sz w:val="22"/>
                <w:highlight w:val="none"/>
              </w:rPr>
            </w:pPr>
            <w:r>
              <w:rPr>
                <w:highlight w:val="none"/>
              </w:rPr>
              <w:t>耕地保有量（</w:t>
            </w:r>
            <w:r>
              <w:rPr>
                <w:rFonts w:hint="eastAsia"/>
                <w:highlight w:val="none"/>
                <w:lang w:val="en-US" w:eastAsia="zh-CN"/>
              </w:rPr>
              <w:t>万亩</w:t>
            </w:r>
            <w:r>
              <w:rPr>
                <w:highlight w:val="none"/>
              </w:rPr>
              <w:t>）</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E2C3">
            <w:pPr>
              <w:pStyle w:val="52"/>
              <w:rPr>
                <w:rFonts w:hint="default" w:ascii="仿宋_GB2312" w:hAnsi="微软雅黑" w:eastAsia="仿宋_GB2312" w:cs="宋体"/>
                <w:color w:val="000000"/>
                <w:kern w:val="0"/>
                <w:sz w:val="22"/>
                <w:highlight w:val="none"/>
                <w:lang w:val="en-US" w:eastAsia="zh-CN"/>
              </w:rPr>
            </w:pPr>
            <w:r>
              <w:rPr>
                <w:rFonts w:hint="eastAsia"/>
                <w:highlight w:val="none"/>
                <w:lang w:val="en-US" w:eastAsia="zh-CN"/>
              </w:rPr>
              <w:t>10.2757</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2BA1">
            <w:pPr>
              <w:pStyle w:val="52"/>
              <w:rPr>
                <w:rFonts w:hint="default" w:ascii="仿宋_GB2312" w:hAnsi="微软雅黑" w:eastAsia="仿宋_GB2312" w:cs="宋体"/>
                <w:color w:val="000000"/>
                <w:kern w:val="0"/>
                <w:sz w:val="22"/>
                <w:highlight w:val="none"/>
                <w:lang w:val="en-US" w:eastAsia="zh-CN"/>
              </w:rPr>
            </w:pPr>
            <w:r>
              <w:rPr>
                <w:highlight w:val="none"/>
              </w:rPr>
              <w:t>≥</w:t>
            </w:r>
            <w:r>
              <w:rPr>
                <w:rFonts w:hint="eastAsia"/>
                <w:highlight w:val="none"/>
                <w:lang w:val="en-US" w:eastAsia="zh-CN"/>
              </w:rPr>
              <w:t>10.2586</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A2B2">
            <w:pPr>
              <w:pStyle w:val="52"/>
              <w:rPr>
                <w:rFonts w:ascii="仿宋_GB2312" w:hAnsi="微软雅黑" w:eastAsia="仿宋_GB2312" w:cs="宋体"/>
                <w:color w:val="000000"/>
                <w:kern w:val="0"/>
                <w:sz w:val="22"/>
                <w:highlight w:val="none"/>
              </w:rPr>
            </w:pPr>
            <w:r>
              <w:rPr>
                <w:highlight w:val="none"/>
              </w:rPr>
              <w:t>≥</w:t>
            </w:r>
            <w:r>
              <w:rPr>
                <w:rFonts w:hint="eastAsia"/>
                <w:highlight w:val="none"/>
                <w:lang w:val="en-US" w:eastAsia="zh-CN"/>
              </w:rPr>
              <w:t>10.2586</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4D06">
            <w:pPr>
              <w:pStyle w:val="52"/>
              <w:rPr>
                <w:rFonts w:ascii="仿宋_GB2312" w:hAnsi="微软雅黑" w:eastAsia="仿宋_GB2312" w:cs="宋体"/>
                <w:color w:val="000000"/>
                <w:kern w:val="0"/>
                <w:sz w:val="22"/>
                <w:highlight w:val="none"/>
              </w:rPr>
            </w:pPr>
            <w:r>
              <w:rPr>
                <w:highlight w:val="none"/>
              </w:rPr>
              <w:t>约束性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A829">
            <w:pPr>
              <w:pStyle w:val="52"/>
              <w:rPr>
                <w:rFonts w:ascii="仿宋_GB2312" w:hAnsi="微软雅黑" w:eastAsia="仿宋_GB2312" w:cs="宋体"/>
                <w:color w:val="000000"/>
                <w:kern w:val="0"/>
                <w:sz w:val="22"/>
                <w:highlight w:val="none"/>
              </w:rPr>
            </w:pPr>
            <w:r>
              <w:rPr>
                <w:highlight w:val="none"/>
              </w:rPr>
              <w:t>镇域</w:t>
            </w:r>
          </w:p>
        </w:tc>
      </w:tr>
      <w:tr w14:paraId="2DBD0427">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7167">
            <w:pPr>
              <w:pStyle w:val="52"/>
              <w:rPr>
                <w:rFonts w:ascii="仿宋_GB2312" w:hAnsi="微软雅黑" w:eastAsia="仿宋_GB2312" w:cs="宋体"/>
                <w:color w:val="000000"/>
                <w:kern w:val="0"/>
                <w:sz w:val="22"/>
                <w:highlight w:val="none"/>
              </w:rPr>
            </w:pPr>
            <w:r>
              <w:rPr>
                <w:highlight w:val="none"/>
              </w:rPr>
              <w:t>5</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4313">
            <w:pPr>
              <w:pStyle w:val="52"/>
              <w:rPr>
                <w:rFonts w:ascii="仿宋_GB2312" w:hAnsi="微软雅黑" w:eastAsia="仿宋_GB2312" w:cs="宋体"/>
                <w:color w:val="000000"/>
                <w:kern w:val="0"/>
                <w:sz w:val="22"/>
                <w:highlight w:val="none"/>
              </w:rPr>
            </w:pPr>
            <w:r>
              <w:rPr>
                <w:highlight w:val="none"/>
              </w:rPr>
              <w:t>城镇开发边界扩展倍数</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14C1">
            <w:pPr>
              <w:pStyle w:val="52"/>
              <w:rPr>
                <w:rFonts w:ascii="仿宋_GB2312" w:hAnsi="微软雅黑" w:eastAsia="仿宋_GB2312" w:cs="宋体"/>
                <w:color w:val="000000"/>
                <w:kern w:val="0"/>
                <w:sz w:val="22"/>
                <w:highlight w:val="none"/>
              </w:rPr>
            </w:pPr>
            <w:r>
              <w:rPr>
                <w:highlight w:val="none"/>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1CAF">
            <w:pPr>
              <w:pStyle w:val="52"/>
              <w:rPr>
                <w:rFonts w:ascii="仿宋_GB2312" w:hAnsi="微软雅黑" w:eastAsia="仿宋_GB2312" w:cs="宋体"/>
                <w:color w:val="000000"/>
                <w:kern w:val="0"/>
                <w:sz w:val="22"/>
                <w:highlight w:val="none"/>
              </w:rPr>
            </w:pPr>
            <w:r>
              <w:rPr>
                <w:highlight w:val="none"/>
              </w:rPr>
              <w:t>≤1.04</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46FC">
            <w:pPr>
              <w:pStyle w:val="52"/>
              <w:rPr>
                <w:rFonts w:ascii="仿宋_GB2312" w:hAnsi="微软雅黑" w:eastAsia="仿宋_GB2312" w:cs="宋体"/>
                <w:color w:val="000000"/>
                <w:kern w:val="0"/>
                <w:sz w:val="22"/>
                <w:highlight w:val="none"/>
              </w:rPr>
            </w:pPr>
            <w:r>
              <w:rPr>
                <w:highlight w:val="none"/>
              </w:rPr>
              <w:t>≤1.04</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EA1E">
            <w:pPr>
              <w:pStyle w:val="52"/>
              <w:rPr>
                <w:rFonts w:ascii="仿宋_GB2312" w:hAnsi="微软雅黑" w:eastAsia="仿宋_GB2312" w:cs="宋体"/>
                <w:color w:val="000000"/>
                <w:kern w:val="0"/>
                <w:sz w:val="22"/>
                <w:highlight w:val="none"/>
              </w:rPr>
            </w:pPr>
            <w:r>
              <w:rPr>
                <w:highlight w:val="none"/>
              </w:rPr>
              <w:t>约束性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600F">
            <w:pPr>
              <w:pStyle w:val="52"/>
              <w:rPr>
                <w:rFonts w:ascii="仿宋_GB2312" w:hAnsi="微软雅黑" w:eastAsia="仿宋_GB2312" w:cs="宋体"/>
                <w:color w:val="000000"/>
                <w:kern w:val="0"/>
                <w:sz w:val="22"/>
                <w:highlight w:val="none"/>
              </w:rPr>
            </w:pPr>
            <w:r>
              <w:rPr>
                <w:highlight w:val="none"/>
              </w:rPr>
              <w:t>镇域</w:t>
            </w:r>
          </w:p>
        </w:tc>
      </w:tr>
      <w:tr w14:paraId="7FD88E89">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2ACD">
            <w:pPr>
              <w:pStyle w:val="52"/>
              <w:rPr>
                <w:rFonts w:ascii="仿宋_GB2312" w:hAnsi="微软雅黑" w:eastAsia="仿宋_GB2312" w:cs="宋体"/>
                <w:color w:val="000000"/>
                <w:kern w:val="0"/>
                <w:sz w:val="22"/>
                <w:highlight w:val="none"/>
              </w:rPr>
            </w:pPr>
            <w:r>
              <w:rPr>
                <w:highlight w:val="none"/>
              </w:rPr>
              <w:t>6</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E420">
            <w:pPr>
              <w:pStyle w:val="52"/>
              <w:rPr>
                <w:rFonts w:ascii="仿宋_GB2312" w:hAnsi="微软雅黑" w:eastAsia="仿宋_GB2312" w:cs="宋体"/>
                <w:color w:val="000000"/>
                <w:kern w:val="0"/>
                <w:sz w:val="22"/>
                <w:highlight w:val="none"/>
              </w:rPr>
            </w:pPr>
            <w:r>
              <w:rPr>
                <w:highlight w:val="none"/>
              </w:rPr>
              <w:t>村庄建设边界扩展面积</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5773">
            <w:pPr>
              <w:pStyle w:val="52"/>
              <w:rPr>
                <w:rFonts w:ascii="仿宋_GB2312" w:hAnsi="微软雅黑" w:eastAsia="仿宋_GB2312" w:cs="宋体"/>
                <w:color w:val="000000"/>
                <w:kern w:val="0"/>
                <w:sz w:val="22"/>
                <w:highlight w:val="none"/>
              </w:rPr>
            </w:pPr>
            <w:r>
              <w:rPr>
                <w:highlight w:val="none"/>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969D">
            <w:pPr>
              <w:pStyle w:val="52"/>
              <w:rPr>
                <w:rFonts w:ascii="仿宋_GB2312" w:hAnsi="微软雅黑" w:eastAsia="仿宋_GB2312" w:cs="宋体"/>
                <w:color w:val="000000"/>
                <w:kern w:val="0"/>
                <w:sz w:val="22"/>
                <w:highlight w:val="none"/>
              </w:rPr>
            </w:pPr>
            <w:r>
              <w:rPr>
                <w:highlight w:val="none"/>
              </w:rPr>
              <w:t>≤1.00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FBF2">
            <w:pPr>
              <w:pStyle w:val="52"/>
              <w:rPr>
                <w:rFonts w:ascii="仿宋_GB2312" w:hAnsi="微软雅黑" w:eastAsia="仿宋_GB2312" w:cs="宋体"/>
                <w:color w:val="000000"/>
                <w:kern w:val="0"/>
                <w:sz w:val="22"/>
                <w:highlight w:val="none"/>
              </w:rPr>
            </w:pPr>
            <w:r>
              <w:rPr>
                <w:highlight w:val="none"/>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56F1">
            <w:pPr>
              <w:pStyle w:val="52"/>
              <w:rPr>
                <w:rFonts w:ascii="仿宋_GB2312" w:hAnsi="微软雅黑" w:eastAsia="仿宋_GB2312" w:cs="宋体"/>
                <w:color w:val="000000"/>
                <w:kern w:val="0"/>
                <w:sz w:val="22"/>
                <w:highlight w:val="none"/>
              </w:rPr>
            </w:pPr>
            <w:r>
              <w:rPr>
                <w:highlight w:val="none"/>
              </w:rPr>
              <w:t>约束性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4832">
            <w:pPr>
              <w:pStyle w:val="52"/>
              <w:rPr>
                <w:rFonts w:ascii="仿宋_GB2312" w:hAnsi="微软雅黑" w:eastAsia="仿宋_GB2312" w:cs="宋体"/>
                <w:color w:val="000000"/>
                <w:kern w:val="0"/>
                <w:sz w:val="22"/>
                <w:highlight w:val="none"/>
              </w:rPr>
            </w:pPr>
            <w:r>
              <w:rPr>
                <w:highlight w:val="none"/>
              </w:rPr>
              <w:t>镇域</w:t>
            </w:r>
          </w:p>
        </w:tc>
      </w:tr>
      <w:tr w14:paraId="6063FF30">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1F06">
            <w:pPr>
              <w:pStyle w:val="52"/>
              <w:rPr>
                <w:rFonts w:ascii="仿宋_GB2312" w:hAnsi="微软雅黑" w:eastAsia="仿宋_GB2312" w:cs="宋体"/>
                <w:color w:val="000000"/>
                <w:kern w:val="0"/>
                <w:sz w:val="22"/>
                <w:highlight w:val="none"/>
              </w:rPr>
            </w:pPr>
            <w:r>
              <w:rPr>
                <w:highlight w:val="none"/>
              </w:rPr>
              <w:t>7</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E965">
            <w:pPr>
              <w:pStyle w:val="52"/>
              <w:rPr>
                <w:rFonts w:ascii="仿宋_GB2312" w:hAnsi="微软雅黑" w:eastAsia="仿宋_GB2312" w:cs="宋体"/>
                <w:color w:val="000000"/>
                <w:kern w:val="0"/>
                <w:sz w:val="22"/>
                <w:highlight w:val="none"/>
              </w:rPr>
            </w:pPr>
            <w:r>
              <w:rPr>
                <w:highlight w:val="none"/>
              </w:rPr>
              <w:t>森林覆盖率（% ）</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94B7">
            <w:pPr>
              <w:pStyle w:val="52"/>
              <w:rPr>
                <w:rFonts w:ascii="仿宋_GB2312" w:hAnsi="微软雅黑" w:eastAsia="仿宋_GB2312" w:cs="宋体"/>
                <w:color w:val="000000"/>
                <w:kern w:val="0"/>
                <w:sz w:val="22"/>
                <w:highlight w:val="none"/>
              </w:rPr>
            </w:pPr>
            <w:r>
              <w:rPr>
                <w:highlight w:val="none"/>
              </w:rPr>
              <w:t xml:space="preserve">4.80 </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2632">
            <w:pPr>
              <w:pStyle w:val="52"/>
              <w:rPr>
                <w:rFonts w:ascii="仿宋_GB2312" w:hAnsi="微软雅黑" w:eastAsia="仿宋_GB2312" w:cs="宋体"/>
                <w:color w:val="000000"/>
                <w:kern w:val="0"/>
                <w:sz w:val="22"/>
                <w:highlight w:val="none"/>
              </w:rPr>
            </w:pPr>
            <w:r>
              <w:rPr>
                <w:highlight w:val="none"/>
              </w:rPr>
              <w:t>≥4.80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0D6D">
            <w:pPr>
              <w:pStyle w:val="52"/>
              <w:rPr>
                <w:rFonts w:ascii="仿宋_GB2312" w:hAnsi="微软雅黑" w:eastAsia="仿宋_GB2312" w:cs="宋体"/>
                <w:color w:val="000000"/>
                <w:kern w:val="0"/>
                <w:sz w:val="22"/>
                <w:highlight w:val="none"/>
              </w:rPr>
            </w:pPr>
            <w:r>
              <w:rPr>
                <w:highlight w:val="none"/>
              </w:rPr>
              <w:t>≥4.80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F074">
            <w:pPr>
              <w:pStyle w:val="52"/>
              <w:rPr>
                <w:rFonts w:ascii="仿宋_GB2312" w:hAnsi="微软雅黑" w:eastAsia="仿宋_GB2312" w:cs="宋体"/>
                <w:color w:val="000000"/>
                <w:kern w:val="0"/>
                <w:sz w:val="22"/>
                <w:highlight w:val="none"/>
              </w:rPr>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7485">
            <w:pPr>
              <w:pStyle w:val="52"/>
              <w:rPr>
                <w:rFonts w:ascii="仿宋_GB2312" w:hAnsi="微软雅黑" w:eastAsia="仿宋_GB2312" w:cs="宋体"/>
                <w:color w:val="000000"/>
                <w:kern w:val="0"/>
                <w:sz w:val="22"/>
                <w:highlight w:val="none"/>
              </w:rPr>
            </w:pPr>
            <w:r>
              <w:rPr>
                <w:highlight w:val="none"/>
              </w:rPr>
              <w:t>镇域</w:t>
            </w:r>
          </w:p>
        </w:tc>
      </w:tr>
      <w:tr w14:paraId="30E4B707">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AB5A">
            <w:pPr>
              <w:pStyle w:val="52"/>
              <w:rPr>
                <w:rFonts w:ascii="仿宋_GB2312" w:hAnsi="微软雅黑" w:eastAsia="仿宋_GB2312" w:cs="宋体"/>
                <w:color w:val="000000"/>
                <w:kern w:val="0"/>
                <w:sz w:val="22"/>
                <w:highlight w:val="none"/>
              </w:rPr>
            </w:pPr>
            <w:r>
              <w:rPr>
                <w:highlight w:val="none"/>
              </w:rPr>
              <w:t>8</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9083">
            <w:pPr>
              <w:pStyle w:val="52"/>
              <w:rPr>
                <w:rFonts w:ascii="仿宋_GB2312" w:hAnsi="微软雅黑" w:eastAsia="仿宋_GB2312" w:cs="宋体"/>
                <w:color w:val="000000"/>
                <w:kern w:val="0"/>
                <w:sz w:val="22"/>
                <w:highlight w:val="none"/>
              </w:rPr>
            </w:pPr>
            <w:r>
              <w:rPr>
                <w:highlight w:val="none"/>
              </w:rPr>
              <w:t>湿地保护率（% ）</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ABF6">
            <w:pPr>
              <w:pStyle w:val="52"/>
              <w:rPr>
                <w:rFonts w:ascii="仿宋_GB2312" w:hAnsi="微软雅黑" w:eastAsia="仿宋_GB2312" w:cs="宋体"/>
                <w:color w:val="000000"/>
                <w:kern w:val="0"/>
                <w:sz w:val="22"/>
                <w:highlight w:val="none"/>
              </w:rPr>
            </w:pPr>
            <w:r>
              <w:rPr>
                <w:highlight w:val="none"/>
              </w:rPr>
              <w:t>95.21</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C2F2">
            <w:pPr>
              <w:pStyle w:val="52"/>
              <w:rPr>
                <w:rFonts w:ascii="仿宋_GB2312" w:hAnsi="微软雅黑" w:eastAsia="仿宋_GB2312" w:cs="宋体"/>
                <w:color w:val="000000"/>
                <w:kern w:val="0"/>
                <w:sz w:val="22"/>
                <w:highlight w:val="none"/>
              </w:rPr>
            </w:pPr>
            <w:r>
              <w:rPr>
                <w:highlight w:val="none"/>
              </w:rPr>
              <w:t>≥95.21</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C229">
            <w:pPr>
              <w:pStyle w:val="52"/>
              <w:rPr>
                <w:rFonts w:ascii="仿宋_GB2312" w:hAnsi="微软雅黑" w:eastAsia="仿宋_GB2312" w:cs="宋体"/>
                <w:color w:val="000000"/>
                <w:kern w:val="0"/>
                <w:sz w:val="22"/>
                <w:highlight w:val="none"/>
              </w:rPr>
            </w:pPr>
            <w:r>
              <w:rPr>
                <w:highlight w:val="none"/>
              </w:rPr>
              <w:t>≥95.21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8FA9">
            <w:pPr>
              <w:pStyle w:val="52"/>
              <w:rPr>
                <w:rFonts w:ascii="仿宋_GB2312" w:hAnsi="微软雅黑" w:eastAsia="仿宋_GB2312" w:cs="宋体"/>
                <w:color w:val="000000"/>
                <w:kern w:val="0"/>
                <w:sz w:val="22"/>
                <w:highlight w:val="none"/>
              </w:rPr>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2E66">
            <w:pPr>
              <w:pStyle w:val="52"/>
              <w:rPr>
                <w:rFonts w:ascii="仿宋_GB2312" w:hAnsi="微软雅黑" w:eastAsia="仿宋_GB2312" w:cs="宋体"/>
                <w:color w:val="000000"/>
                <w:kern w:val="0"/>
                <w:sz w:val="22"/>
                <w:highlight w:val="none"/>
              </w:rPr>
            </w:pPr>
            <w:r>
              <w:rPr>
                <w:highlight w:val="none"/>
              </w:rPr>
              <w:t>镇域</w:t>
            </w:r>
          </w:p>
        </w:tc>
      </w:tr>
      <w:tr w14:paraId="401F5B7A">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5551">
            <w:pPr>
              <w:pStyle w:val="52"/>
              <w:rPr>
                <w:rFonts w:ascii="仿宋_GB2312" w:hAnsi="微软雅黑" w:eastAsia="仿宋_GB2312" w:cs="宋体"/>
                <w:color w:val="000000"/>
                <w:kern w:val="0"/>
                <w:sz w:val="22"/>
                <w:highlight w:val="none"/>
              </w:rPr>
            </w:pPr>
            <w:r>
              <w:rPr>
                <w:highlight w:val="none"/>
              </w:rPr>
              <w:t>9</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F318">
            <w:pPr>
              <w:pStyle w:val="52"/>
              <w:rPr>
                <w:rFonts w:ascii="仿宋_GB2312" w:hAnsi="微软雅黑" w:eastAsia="仿宋_GB2312" w:cs="宋体"/>
                <w:color w:val="000000"/>
                <w:kern w:val="0"/>
                <w:sz w:val="22"/>
                <w:highlight w:val="none"/>
              </w:rPr>
            </w:pPr>
            <w:r>
              <w:rPr>
                <w:highlight w:val="none"/>
              </w:rPr>
              <w:t>自然保护地面积占陆域国土面积比例（%）</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C46C">
            <w:pPr>
              <w:pStyle w:val="52"/>
              <w:rPr>
                <w:rFonts w:ascii="仿宋_GB2312" w:hAnsi="微软雅黑" w:eastAsia="仿宋_GB2312" w:cs="宋体"/>
                <w:color w:val="000000"/>
                <w:kern w:val="0"/>
                <w:sz w:val="22"/>
                <w:highlight w:val="none"/>
              </w:rPr>
            </w:pPr>
            <w:r>
              <w:rPr>
                <w:highlight w:val="none"/>
              </w:rPr>
              <w:t>97.71</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41DE">
            <w:pPr>
              <w:pStyle w:val="52"/>
              <w:rPr>
                <w:rFonts w:ascii="仿宋_GB2312" w:hAnsi="微软雅黑" w:eastAsia="仿宋_GB2312" w:cs="宋体"/>
                <w:color w:val="000000"/>
                <w:kern w:val="0"/>
                <w:sz w:val="22"/>
                <w:highlight w:val="none"/>
              </w:rPr>
            </w:pPr>
            <w:r>
              <w:rPr>
                <w:highlight w:val="none"/>
              </w:rPr>
              <w:t>≥97.71</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CB4C">
            <w:pPr>
              <w:pStyle w:val="52"/>
              <w:rPr>
                <w:rFonts w:ascii="仿宋_GB2312" w:hAnsi="微软雅黑" w:eastAsia="仿宋_GB2312" w:cs="宋体"/>
                <w:color w:val="000000"/>
                <w:kern w:val="0"/>
                <w:sz w:val="22"/>
                <w:highlight w:val="none"/>
              </w:rPr>
            </w:pPr>
            <w:r>
              <w:rPr>
                <w:highlight w:val="none"/>
              </w:rPr>
              <w:t>依据上级下达任务确定</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00F2">
            <w:pPr>
              <w:pStyle w:val="52"/>
              <w:rPr>
                <w:rFonts w:ascii="仿宋_GB2312" w:hAnsi="微软雅黑" w:eastAsia="仿宋_GB2312" w:cs="宋体"/>
                <w:color w:val="000000"/>
                <w:kern w:val="0"/>
                <w:sz w:val="22"/>
                <w:highlight w:val="none"/>
              </w:rPr>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11C5">
            <w:pPr>
              <w:pStyle w:val="52"/>
              <w:rPr>
                <w:rFonts w:ascii="仿宋_GB2312" w:hAnsi="微软雅黑" w:eastAsia="仿宋_GB2312" w:cs="宋体"/>
                <w:color w:val="000000"/>
                <w:kern w:val="0"/>
                <w:sz w:val="22"/>
                <w:highlight w:val="none"/>
              </w:rPr>
            </w:pPr>
            <w:r>
              <w:rPr>
                <w:highlight w:val="none"/>
              </w:rPr>
              <w:t>镇域</w:t>
            </w:r>
          </w:p>
        </w:tc>
      </w:tr>
      <w:tr w14:paraId="1CF7F60A">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37E8">
            <w:pPr>
              <w:pStyle w:val="52"/>
              <w:rPr>
                <w:rFonts w:ascii="仿宋_GB2312" w:hAnsi="微软雅黑" w:eastAsia="仿宋_GB2312" w:cs="宋体"/>
                <w:color w:val="000000"/>
                <w:kern w:val="0"/>
                <w:sz w:val="22"/>
                <w:highlight w:val="none"/>
              </w:rPr>
            </w:pPr>
            <w:r>
              <w:rPr>
                <w:highlight w:val="none"/>
              </w:rPr>
              <w:t>10</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94B9">
            <w:pPr>
              <w:pStyle w:val="52"/>
            </w:pPr>
            <w:r>
              <w:rPr>
                <w:highlight w:val="none"/>
              </w:rPr>
              <w:t>水域空间保有量（平方千米）</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F7CE">
            <w:pPr>
              <w:pStyle w:val="52"/>
            </w:pPr>
            <w:r>
              <w:rPr>
                <w:highlight w:val="none"/>
              </w:rPr>
              <w:t>31.05</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308C">
            <w:pPr>
              <w:pStyle w:val="52"/>
            </w:pPr>
            <w:r>
              <w:rPr>
                <w:highlight w:val="none"/>
              </w:rPr>
              <w:t>≥31.05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C888">
            <w:pPr>
              <w:pStyle w:val="52"/>
            </w:pPr>
            <w:r>
              <w:rPr>
                <w:highlight w:val="none"/>
              </w:rPr>
              <w:t>≥31.05</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B117">
            <w:pPr>
              <w:pStyle w:val="52"/>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279E">
            <w:pPr>
              <w:pStyle w:val="52"/>
            </w:pPr>
            <w:r>
              <w:rPr>
                <w:highlight w:val="none"/>
              </w:rPr>
              <w:t>镇域</w:t>
            </w:r>
          </w:p>
        </w:tc>
      </w:tr>
      <w:tr w14:paraId="171B938C">
        <w:tblPrEx>
          <w:tblCellMar>
            <w:top w:w="0" w:type="dxa"/>
            <w:left w:w="108" w:type="dxa"/>
            <w:bottom w:w="0" w:type="dxa"/>
            <w:right w:w="108" w:type="dxa"/>
          </w:tblCellMar>
        </w:tblPrEx>
        <w:trPr>
          <w:trHeight w:val="270" w:hRule="atLeast"/>
        </w:trPr>
        <w:tc>
          <w:tcPr>
            <w:tcW w:w="852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2B4B">
            <w:pPr>
              <w:pStyle w:val="52"/>
              <w:rPr>
                <w:rFonts w:ascii="仿宋_GB2312" w:hAnsi="微软雅黑" w:eastAsia="仿宋_GB2312" w:cs="宋体"/>
                <w:color w:val="000000"/>
                <w:kern w:val="0"/>
                <w:sz w:val="22"/>
                <w:highlight w:val="none"/>
              </w:rPr>
            </w:pPr>
            <w:r>
              <w:rPr>
                <w:highlight w:val="none"/>
              </w:rPr>
              <w:t>二、空间结构与效率</w:t>
            </w:r>
          </w:p>
        </w:tc>
      </w:tr>
      <w:tr w14:paraId="70770789">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1749">
            <w:pPr>
              <w:pStyle w:val="52"/>
              <w:rPr>
                <w:rFonts w:ascii="仿宋_GB2312" w:hAnsi="微软雅黑" w:eastAsia="仿宋_GB2312" w:cs="宋体"/>
                <w:color w:val="000000"/>
                <w:kern w:val="0"/>
                <w:sz w:val="22"/>
                <w:highlight w:val="none"/>
              </w:rPr>
            </w:pPr>
            <w:r>
              <w:rPr>
                <w:highlight w:val="none"/>
              </w:rPr>
              <w:t>11</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128E">
            <w:pPr>
              <w:pStyle w:val="52"/>
              <w:rPr>
                <w:rFonts w:ascii="仿宋_GB2312" w:hAnsi="微软雅黑" w:eastAsia="仿宋_GB2312" w:cs="宋体"/>
                <w:color w:val="000000"/>
                <w:kern w:val="0"/>
                <w:sz w:val="22"/>
                <w:highlight w:val="none"/>
              </w:rPr>
            </w:pPr>
            <w:r>
              <w:rPr>
                <w:highlight w:val="none"/>
              </w:rPr>
              <w:t>人均村庄建设用地面积（平方米）</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8C8F">
            <w:pPr>
              <w:pStyle w:val="52"/>
              <w:rPr>
                <w:rFonts w:ascii="仿宋_GB2312" w:hAnsi="微软雅黑" w:eastAsia="仿宋_GB2312" w:cs="宋体"/>
                <w:color w:val="000000"/>
                <w:kern w:val="0"/>
                <w:sz w:val="22"/>
                <w:highlight w:val="none"/>
              </w:rPr>
            </w:pPr>
            <w:r>
              <w:rPr>
                <w:highlight w:val="none"/>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FB8E">
            <w:pPr>
              <w:pStyle w:val="52"/>
              <w:rPr>
                <w:rFonts w:ascii="仿宋_GB2312" w:hAnsi="微软雅黑" w:eastAsia="仿宋_GB2312" w:cs="宋体"/>
                <w:color w:val="000000"/>
                <w:kern w:val="0"/>
                <w:sz w:val="22"/>
                <w:highlight w:val="none"/>
              </w:rPr>
            </w:pPr>
            <w:r>
              <w:rPr>
                <w:highlight w:val="none"/>
              </w:rPr>
              <w:t>≤200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3381">
            <w:pPr>
              <w:pStyle w:val="52"/>
              <w:rPr>
                <w:rFonts w:ascii="仿宋_GB2312" w:hAnsi="微软雅黑" w:eastAsia="仿宋_GB2312" w:cs="宋体"/>
                <w:color w:val="000000"/>
                <w:kern w:val="0"/>
                <w:sz w:val="22"/>
                <w:highlight w:val="none"/>
              </w:rPr>
            </w:pPr>
            <w:r>
              <w:rPr>
                <w:highlight w:val="none"/>
              </w:rPr>
              <w:t>≤180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A930">
            <w:pPr>
              <w:pStyle w:val="52"/>
              <w:rPr>
                <w:rFonts w:ascii="仿宋_GB2312" w:hAnsi="微软雅黑" w:eastAsia="仿宋_GB2312" w:cs="宋体"/>
                <w:color w:val="000000"/>
                <w:kern w:val="0"/>
                <w:sz w:val="22"/>
                <w:highlight w:val="none"/>
              </w:rPr>
            </w:pPr>
            <w:r>
              <w:rPr>
                <w:highlight w:val="none"/>
              </w:rPr>
              <w:t>约束性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81A9">
            <w:pPr>
              <w:pStyle w:val="52"/>
              <w:rPr>
                <w:rFonts w:ascii="仿宋_GB2312" w:hAnsi="微软雅黑" w:eastAsia="仿宋_GB2312" w:cs="宋体"/>
                <w:color w:val="000000"/>
                <w:kern w:val="0"/>
                <w:sz w:val="22"/>
                <w:highlight w:val="none"/>
              </w:rPr>
            </w:pPr>
            <w:r>
              <w:rPr>
                <w:highlight w:val="none"/>
              </w:rPr>
              <w:t>镇域</w:t>
            </w:r>
          </w:p>
        </w:tc>
      </w:tr>
      <w:tr w14:paraId="7582E39D">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F620">
            <w:pPr>
              <w:pStyle w:val="52"/>
              <w:rPr>
                <w:rFonts w:ascii="仿宋_GB2312" w:hAnsi="微软雅黑" w:eastAsia="仿宋_GB2312" w:cs="宋体"/>
                <w:color w:val="000000"/>
                <w:kern w:val="0"/>
                <w:sz w:val="22"/>
                <w:highlight w:val="none"/>
              </w:rPr>
            </w:pPr>
            <w:r>
              <w:rPr>
                <w:highlight w:val="none"/>
              </w:rPr>
              <w:t>12</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FE12">
            <w:pPr>
              <w:pStyle w:val="52"/>
              <w:rPr>
                <w:rFonts w:ascii="仿宋_GB2312" w:hAnsi="微软雅黑" w:eastAsia="仿宋_GB2312" w:cs="宋体"/>
                <w:color w:val="000000"/>
                <w:kern w:val="0"/>
                <w:sz w:val="22"/>
                <w:highlight w:val="none"/>
              </w:rPr>
            </w:pPr>
            <w:r>
              <w:rPr>
                <w:highlight w:val="none"/>
              </w:rPr>
              <w:t>人均城镇建设用地面积（平方米）</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C737">
            <w:pPr>
              <w:pStyle w:val="52"/>
              <w:rPr>
                <w:rFonts w:ascii="仿宋_GB2312" w:hAnsi="微软雅黑" w:eastAsia="仿宋_GB2312" w:cs="宋体"/>
                <w:color w:val="000000"/>
                <w:kern w:val="0"/>
                <w:sz w:val="22"/>
                <w:highlight w:val="none"/>
              </w:rPr>
            </w:pPr>
            <w:r>
              <w:rPr>
                <w:highlight w:val="none"/>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582E">
            <w:pPr>
              <w:pStyle w:val="52"/>
              <w:rPr>
                <w:rFonts w:ascii="仿宋_GB2312" w:hAnsi="微软雅黑" w:eastAsia="仿宋_GB2312" w:cs="宋体"/>
                <w:color w:val="000000"/>
                <w:kern w:val="0"/>
                <w:sz w:val="22"/>
                <w:highlight w:val="none"/>
              </w:rPr>
            </w:pPr>
            <w:r>
              <w:rPr>
                <w:highlight w:val="none"/>
              </w:rPr>
              <w:t>≤140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B653">
            <w:pPr>
              <w:pStyle w:val="52"/>
              <w:rPr>
                <w:rFonts w:ascii="仿宋_GB2312" w:hAnsi="微软雅黑" w:eastAsia="仿宋_GB2312" w:cs="宋体"/>
                <w:color w:val="000000"/>
                <w:kern w:val="0"/>
                <w:sz w:val="22"/>
                <w:highlight w:val="none"/>
              </w:rPr>
            </w:pPr>
            <w:r>
              <w:rPr>
                <w:highlight w:val="none"/>
              </w:rPr>
              <w:t>≤130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7148">
            <w:pPr>
              <w:pStyle w:val="52"/>
              <w:rPr>
                <w:rFonts w:ascii="仿宋_GB2312" w:hAnsi="微软雅黑" w:eastAsia="仿宋_GB2312" w:cs="宋体"/>
                <w:color w:val="000000"/>
                <w:kern w:val="0"/>
                <w:sz w:val="22"/>
                <w:highlight w:val="none"/>
              </w:rPr>
            </w:pPr>
            <w:r>
              <w:rPr>
                <w:highlight w:val="none"/>
              </w:rPr>
              <w:t>约束性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BCFD">
            <w:pPr>
              <w:pStyle w:val="52"/>
              <w:rPr>
                <w:rFonts w:ascii="仿宋_GB2312" w:hAnsi="微软雅黑" w:eastAsia="仿宋_GB2312" w:cs="宋体"/>
                <w:color w:val="000000"/>
                <w:kern w:val="0"/>
                <w:sz w:val="22"/>
                <w:highlight w:val="none"/>
              </w:rPr>
            </w:pPr>
            <w:r>
              <w:rPr>
                <w:highlight w:val="none"/>
              </w:rPr>
              <w:t>镇区</w:t>
            </w:r>
          </w:p>
        </w:tc>
      </w:tr>
      <w:tr w14:paraId="11D9B569">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F698">
            <w:pPr>
              <w:pStyle w:val="52"/>
              <w:rPr>
                <w:rFonts w:ascii="仿宋_GB2312" w:hAnsi="微软雅黑" w:eastAsia="仿宋_GB2312" w:cs="宋体"/>
                <w:color w:val="000000"/>
                <w:kern w:val="0"/>
                <w:sz w:val="22"/>
                <w:highlight w:val="none"/>
              </w:rPr>
            </w:pPr>
            <w:r>
              <w:rPr>
                <w:highlight w:val="none"/>
              </w:rPr>
              <w:t>13</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091A">
            <w:pPr>
              <w:pStyle w:val="52"/>
              <w:rPr>
                <w:rFonts w:ascii="仿宋_GB2312" w:hAnsi="微软雅黑" w:eastAsia="仿宋_GB2312" w:cs="宋体"/>
                <w:color w:val="000000"/>
                <w:kern w:val="0"/>
                <w:sz w:val="22"/>
                <w:highlight w:val="none"/>
              </w:rPr>
            </w:pPr>
            <w:r>
              <w:rPr>
                <w:highlight w:val="none"/>
              </w:rPr>
              <w:t>人均应急避难场所面积（平方米）</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E2CA">
            <w:pPr>
              <w:pStyle w:val="52"/>
              <w:rPr>
                <w:rFonts w:ascii="仿宋_GB2312" w:hAnsi="微软雅黑" w:eastAsia="仿宋_GB2312" w:cs="宋体"/>
                <w:color w:val="000000"/>
                <w:kern w:val="0"/>
                <w:sz w:val="22"/>
                <w:highlight w:val="none"/>
              </w:rPr>
            </w:pPr>
            <w:r>
              <w:rPr>
                <w:rFonts w:hint="eastAsia"/>
                <w:highlight w:val="none"/>
                <w:lang w:val="en-US" w:eastAsia="zh-CN"/>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5000">
            <w:pPr>
              <w:pStyle w:val="52"/>
              <w:rPr>
                <w:rFonts w:ascii="仿宋_GB2312" w:hAnsi="微软雅黑" w:eastAsia="仿宋_GB2312" w:cs="宋体"/>
                <w:color w:val="000000"/>
                <w:kern w:val="0"/>
                <w:sz w:val="22"/>
                <w:highlight w:val="none"/>
              </w:rPr>
            </w:pPr>
            <w:r>
              <w:rPr>
                <w:highlight w:val="none"/>
              </w:rPr>
              <w:t>≥1.</w:t>
            </w:r>
            <w:r>
              <w:rPr>
                <w:rFonts w:hint="eastAsia"/>
                <w:highlight w:val="none"/>
                <w:lang w:val="en-US" w:eastAsia="zh-CN"/>
              </w:rPr>
              <w:t>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EA10">
            <w:pPr>
              <w:pStyle w:val="52"/>
              <w:rPr>
                <w:rFonts w:ascii="仿宋_GB2312" w:hAnsi="微软雅黑" w:eastAsia="仿宋_GB2312" w:cs="宋体"/>
                <w:color w:val="000000"/>
                <w:kern w:val="0"/>
                <w:sz w:val="22"/>
                <w:highlight w:val="none"/>
              </w:rPr>
            </w:pPr>
            <w:r>
              <w:rPr>
                <w:highlight w:val="none"/>
              </w:rPr>
              <w:t>≥</w:t>
            </w:r>
            <w:r>
              <w:rPr>
                <w:rFonts w:hint="eastAsia"/>
                <w:highlight w:val="none"/>
                <w:lang w:val="en-US" w:eastAsia="zh-CN"/>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4E64">
            <w:pPr>
              <w:pStyle w:val="52"/>
              <w:rPr>
                <w:rFonts w:ascii="仿宋_GB2312" w:hAnsi="微软雅黑" w:eastAsia="仿宋_GB2312" w:cs="宋体"/>
                <w:color w:val="000000"/>
                <w:kern w:val="0"/>
                <w:sz w:val="22"/>
                <w:highlight w:val="none"/>
              </w:rPr>
            </w:pPr>
            <w:r>
              <w:rPr>
                <w:highlight w:val="none"/>
              </w:rPr>
              <w:t>约束性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1F5B">
            <w:pPr>
              <w:pStyle w:val="52"/>
              <w:rPr>
                <w:rFonts w:ascii="仿宋_GB2312" w:hAnsi="微软雅黑" w:eastAsia="仿宋_GB2312" w:cs="宋体"/>
                <w:color w:val="000000"/>
                <w:kern w:val="0"/>
                <w:sz w:val="22"/>
                <w:highlight w:val="none"/>
              </w:rPr>
            </w:pPr>
            <w:r>
              <w:rPr>
                <w:highlight w:val="none"/>
              </w:rPr>
              <w:t>镇区</w:t>
            </w:r>
          </w:p>
        </w:tc>
      </w:tr>
      <w:tr w14:paraId="34EA3CEC">
        <w:tblPrEx>
          <w:tblCellMar>
            <w:top w:w="0" w:type="dxa"/>
            <w:left w:w="108" w:type="dxa"/>
            <w:bottom w:w="0" w:type="dxa"/>
            <w:right w:w="108"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3E54">
            <w:pPr>
              <w:pStyle w:val="52"/>
              <w:rPr>
                <w:rFonts w:ascii="仿宋_GB2312" w:hAnsi="微软雅黑" w:eastAsia="仿宋_GB2312" w:cs="宋体"/>
                <w:color w:val="000000"/>
                <w:kern w:val="0"/>
                <w:sz w:val="22"/>
                <w:highlight w:val="none"/>
              </w:rPr>
            </w:pPr>
            <w:r>
              <w:rPr>
                <w:highlight w:val="none"/>
              </w:rPr>
              <w:t>14</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A0B2">
            <w:pPr>
              <w:pStyle w:val="52"/>
            </w:pPr>
            <w:r>
              <w:rPr>
                <w:highlight w:val="none"/>
              </w:rPr>
              <w:t>道路网密度（千米/平方公里）</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B9EA">
            <w:pPr>
              <w:pStyle w:val="52"/>
            </w:pPr>
            <w:r>
              <w:rPr>
                <w:rFonts w:hint="eastAsia"/>
                <w:highlight w:val="none"/>
                <w:lang w:val="en-US" w:eastAsia="zh-CN"/>
              </w:rPr>
              <w:t>4.2</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20E6">
            <w:pPr>
              <w:pStyle w:val="52"/>
            </w:pPr>
            <w:r>
              <w:rPr>
                <w:highlight w:val="none"/>
              </w:rPr>
              <w:t>≥</w:t>
            </w:r>
            <w:r>
              <w:rPr>
                <w:rFonts w:hint="eastAsia"/>
                <w:highlight w:val="none"/>
                <w:lang w:val="en-US" w:eastAsia="zh-CN"/>
              </w:rPr>
              <w:t>4.7</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BAB7">
            <w:pPr>
              <w:pStyle w:val="52"/>
            </w:pPr>
            <w:r>
              <w:rPr>
                <w:highlight w:val="none"/>
              </w:rPr>
              <w:t>≥</w:t>
            </w:r>
            <w:r>
              <w:rPr>
                <w:rFonts w:hint="eastAsia"/>
                <w:highlight w:val="none"/>
                <w:lang w:val="en-US" w:eastAsia="zh-CN"/>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853B">
            <w:pPr>
              <w:pStyle w:val="52"/>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A6F5">
            <w:pPr>
              <w:pStyle w:val="52"/>
            </w:pPr>
            <w:r>
              <w:rPr>
                <w:highlight w:val="none"/>
              </w:rPr>
              <w:t>镇区</w:t>
            </w:r>
          </w:p>
        </w:tc>
      </w:tr>
      <w:tr w14:paraId="14B5245F">
        <w:tblPrEx>
          <w:tblCellMar>
            <w:top w:w="0" w:type="dxa"/>
            <w:left w:w="108" w:type="dxa"/>
            <w:bottom w:w="0" w:type="dxa"/>
            <w:right w:w="108" w:type="dxa"/>
          </w:tblCellMar>
        </w:tblPrEx>
        <w:trPr>
          <w:trHeight w:val="727" w:hRule="atLeast"/>
        </w:trPr>
        <w:tc>
          <w:tcPr>
            <w:tcW w:w="852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A84A">
            <w:pPr>
              <w:pStyle w:val="52"/>
              <w:rPr>
                <w:rFonts w:ascii="仿宋_GB2312" w:hAnsi="微软雅黑" w:eastAsia="仿宋_GB2312" w:cs="宋体"/>
                <w:color w:val="000000"/>
                <w:kern w:val="0"/>
                <w:sz w:val="22"/>
                <w:highlight w:val="none"/>
              </w:rPr>
            </w:pPr>
            <w:r>
              <w:rPr>
                <w:highlight w:val="none"/>
              </w:rPr>
              <w:t>三、空间品质</w:t>
            </w:r>
          </w:p>
        </w:tc>
      </w:tr>
      <w:tr w14:paraId="10F8250A">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right w:val="single" w:color="000000" w:sz="4" w:space="0"/>
            </w:tcBorders>
            <w:shd w:val="clear" w:color="auto" w:fill="auto"/>
            <w:noWrap/>
            <w:vAlign w:val="center"/>
          </w:tcPr>
          <w:p w14:paraId="04410797">
            <w:pPr>
              <w:pStyle w:val="52"/>
              <w:rPr>
                <w:rFonts w:ascii="仿宋_GB2312" w:hAnsi="微软雅黑" w:eastAsia="仿宋_GB2312" w:cs="宋体"/>
                <w:color w:val="000000"/>
                <w:kern w:val="0"/>
                <w:sz w:val="22"/>
                <w:highlight w:val="none"/>
              </w:rPr>
            </w:pPr>
            <w:r>
              <w:rPr>
                <w:highlight w:val="none"/>
              </w:rPr>
              <w:t>15</w:t>
            </w:r>
          </w:p>
        </w:tc>
        <w:tc>
          <w:tcPr>
            <w:tcW w:w="2494" w:type="dxa"/>
            <w:gridSpan w:val="2"/>
            <w:tcBorders>
              <w:top w:val="single" w:color="000000" w:sz="4" w:space="0"/>
              <w:left w:val="single" w:color="000000" w:sz="4" w:space="0"/>
              <w:right w:val="single" w:color="000000" w:sz="4" w:space="0"/>
            </w:tcBorders>
            <w:shd w:val="clear" w:color="auto" w:fill="auto"/>
            <w:vAlign w:val="center"/>
          </w:tcPr>
          <w:p w14:paraId="44C95245">
            <w:pPr>
              <w:pStyle w:val="52"/>
              <w:rPr>
                <w:rFonts w:ascii="仿宋_GB2312" w:hAnsi="微软雅黑" w:eastAsia="仿宋_GB2312" w:cs="宋体"/>
                <w:color w:val="000000"/>
                <w:kern w:val="0"/>
                <w:sz w:val="22"/>
                <w:highlight w:val="none"/>
              </w:rPr>
            </w:pPr>
            <w:r>
              <w:rPr>
                <w:highlight w:val="none"/>
              </w:rPr>
              <w:t>公共绿地、广场用地步行5分钟覆盖率（ %）</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0145">
            <w:pPr>
              <w:pStyle w:val="52"/>
              <w:rPr>
                <w:rFonts w:ascii="仿宋_GB2312" w:hAnsi="微软雅黑" w:eastAsia="仿宋_GB2312" w:cs="宋体"/>
                <w:color w:val="000000"/>
                <w:kern w:val="0"/>
                <w:sz w:val="22"/>
                <w:highlight w:val="none"/>
              </w:rPr>
            </w:pPr>
            <w:r>
              <w:rPr>
                <w:highlight w:val="none"/>
              </w:rPr>
              <w:t>80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BCF6">
            <w:pPr>
              <w:pStyle w:val="52"/>
              <w:rPr>
                <w:rFonts w:ascii="仿宋_GB2312" w:hAnsi="微软雅黑" w:eastAsia="仿宋_GB2312" w:cs="宋体"/>
                <w:color w:val="000000"/>
                <w:kern w:val="0"/>
                <w:sz w:val="22"/>
                <w:highlight w:val="none"/>
              </w:rPr>
            </w:pPr>
            <w:r>
              <w:rPr>
                <w:highlight w:val="none"/>
              </w:rPr>
              <w:t>≥90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FDD1">
            <w:pPr>
              <w:pStyle w:val="52"/>
              <w:rPr>
                <w:rFonts w:ascii="仿宋_GB2312" w:hAnsi="微软雅黑" w:eastAsia="仿宋_GB2312" w:cs="宋体"/>
                <w:color w:val="000000"/>
                <w:kern w:val="0"/>
                <w:sz w:val="22"/>
                <w:highlight w:val="none"/>
              </w:rPr>
            </w:pPr>
            <w:r>
              <w:rPr>
                <w:highlight w:val="none"/>
              </w:rPr>
              <w:t>≥95</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E33D">
            <w:pPr>
              <w:pStyle w:val="52"/>
              <w:rPr>
                <w:rFonts w:ascii="仿宋_GB2312" w:hAnsi="微软雅黑" w:eastAsia="仿宋_GB2312" w:cs="宋体"/>
                <w:color w:val="000000"/>
                <w:kern w:val="0"/>
                <w:sz w:val="22"/>
                <w:highlight w:val="none"/>
              </w:rPr>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6A5C">
            <w:pPr>
              <w:pStyle w:val="52"/>
              <w:rPr>
                <w:rFonts w:ascii="仿宋_GB2312" w:hAnsi="微软雅黑" w:eastAsia="仿宋_GB2312" w:cs="宋体"/>
                <w:color w:val="000000"/>
                <w:kern w:val="0"/>
                <w:sz w:val="22"/>
                <w:highlight w:val="none"/>
              </w:rPr>
            </w:pPr>
            <w:r>
              <w:rPr>
                <w:highlight w:val="none"/>
              </w:rPr>
              <w:t>镇区</w:t>
            </w:r>
          </w:p>
        </w:tc>
      </w:tr>
      <w:tr w14:paraId="58F5E8F7">
        <w:tblPrEx>
          <w:tblCellMar>
            <w:top w:w="0" w:type="dxa"/>
            <w:left w:w="108" w:type="dxa"/>
            <w:bottom w:w="0" w:type="dxa"/>
            <w:right w:w="108" w:type="dxa"/>
          </w:tblCellMar>
        </w:tblPrEx>
        <w:trPr>
          <w:trHeight w:val="270" w:hRule="atLeast"/>
        </w:trPr>
        <w:tc>
          <w:tcPr>
            <w:tcW w:w="4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AD67">
            <w:pPr>
              <w:pStyle w:val="52"/>
              <w:rPr>
                <w:rFonts w:ascii="仿宋_GB2312" w:hAnsi="微软雅黑" w:eastAsia="仿宋_GB2312" w:cs="宋体"/>
                <w:color w:val="000000"/>
                <w:kern w:val="0"/>
                <w:sz w:val="22"/>
                <w:highlight w:val="none"/>
              </w:rPr>
            </w:pPr>
            <w:r>
              <w:rPr>
                <w:highlight w:val="none"/>
              </w:rPr>
              <w:t>16</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607CF">
            <w:pPr>
              <w:pStyle w:val="52"/>
              <w:rPr>
                <w:rFonts w:ascii="仿宋_GB2312" w:hAnsi="微软雅黑" w:eastAsia="仿宋_GB2312" w:cs="宋体"/>
                <w:color w:val="000000"/>
                <w:kern w:val="0"/>
                <w:sz w:val="22"/>
                <w:highlight w:val="none"/>
              </w:rPr>
            </w:pPr>
            <w:r>
              <w:rPr>
                <w:highlight w:val="none"/>
              </w:rPr>
              <w:t>卫生、养老、教育、文化、体育等社区公共服务设施15分钟覆盖率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5D4D">
            <w:pPr>
              <w:pStyle w:val="52"/>
              <w:rPr>
                <w:rFonts w:ascii="仿宋_GB2312" w:hAnsi="微软雅黑" w:eastAsia="仿宋_GB2312" w:cs="宋体"/>
                <w:color w:val="000000"/>
                <w:kern w:val="0"/>
                <w:sz w:val="22"/>
                <w:highlight w:val="none"/>
              </w:rPr>
            </w:pPr>
            <w:r>
              <w:rPr>
                <w:highlight w:val="none"/>
              </w:rPr>
              <w:t>体育设施步行15分钟覆盖率（%）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294A">
            <w:pPr>
              <w:pStyle w:val="52"/>
              <w:rPr>
                <w:rFonts w:ascii="仿宋_GB2312" w:hAnsi="微软雅黑" w:eastAsia="仿宋_GB2312" w:cs="宋体"/>
                <w:color w:val="000000"/>
                <w:kern w:val="0"/>
                <w:sz w:val="22"/>
                <w:highlight w:val="none"/>
              </w:rPr>
            </w:pPr>
            <w:r>
              <w:rPr>
                <w:highlight w:val="none"/>
              </w:rPr>
              <w:t>80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DF50">
            <w:pPr>
              <w:pStyle w:val="52"/>
              <w:rPr>
                <w:rFonts w:ascii="仿宋_GB2312" w:hAnsi="微软雅黑" w:eastAsia="仿宋_GB2312" w:cs="宋体"/>
                <w:color w:val="000000"/>
                <w:kern w:val="0"/>
                <w:sz w:val="22"/>
                <w:highlight w:val="none"/>
              </w:rPr>
            </w:pPr>
            <w:r>
              <w:rPr>
                <w:highlight w:val="none"/>
              </w:rPr>
              <w:t>≥90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DB53">
            <w:pPr>
              <w:pStyle w:val="52"/>
              <w:rPr>
                <w:rFonts w:ascii="仿宋_GB2312" w:hAnsi="微软雅黑" w:eastAsia="仿宋_GB2312" w:cs="宋体"/>
                <w:color w:val="000000"/>
                <w:kern w:val="0"/>
                <w:sz w:val="22"/>
                <w:highlight w:val="none"/>
              </w:rPr>
            </w:pPr>
            <w:r>
              <w:rPr>
                <w:highlight w:val="none"/>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E222">
            <w:pPr>
              <w:pStyle w:val="52"/>
              <w:rPr>
                <w:rFonts w:ascii="仿宋_GB2312" w:hAnsi="微软雅黑" w:eastAsia="仿宋_GB2312" w:cs="宋体"/>
                <w:color w:val="000000"/>
                <w:kern w:val="0"/>
                <w:sz w:val="22"/>
                <w:highlight w:val="none"/>
              </w:rPr>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0A2B">
            <w:pPr>
              <w:pStyle w:val="52"/>
              <w:rPr>
                <w:rFonts w:ascii="仿宋_GB2312" w:hAnsi="微软雅黑" w:eastAsia="仿宋_GB2312" w:cs="宋体"/>
                <w:color w:val="000000"/>
                <w:kern w:val="0"/>
                <w:sz w:val="22"/>
                <w:highlight w:val="none"/>
              </w:rPr>
            </w:pPr>
            <w:r>
              <w:rPr>
                <w:highlight w:val="none"/>
              </w:rPr>
              <w:t>镇区</w:t>
            </w:r>
          </w:p>
        </w:tc>
      </w:tr>
      <w:tr w14:paraId="49542AEC">
        <w:tblPrEx>
          <w:tblCellMar>
            <w:top w:w="0" w:type="dxa"/>
            <w:left w:w="108" w:type="dxa"/>
            <w:bottom w:w="0" w:type="dxa"/>
            <w:right w:w="108" w:type="dxa"/>
          </w:tblCellMar>
        </w:tblPrEx>
        <w:trPr>
          <w:trHeight w:val="270"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214C">
            <w:pPr>
              <w:pStyle w:val="52"/>
              <w:rPr>
                <w:rFonts w:ascii="仿宋_GB2312" w:hAnsi="微软雅黑" w:eastAsia="仿宋_GB2312" w:cs="宋体"/>
                <w:color w:val="000000"/>
                <w:kern w:val="0"/>
                <w:sz w:val="22"/>
                <w:highlight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54B15">
            <w:pPr>
              <w:pStyle w:val="52"/>
              <w:rPr>
                <w:rFonts w:ascii="仿宋_GB2312" w:hAnsi="微软雅黑" w:eastAsia="仿宋_GB2312" w:cs="宋体"/>
                <w:color w:val="000000"/>
                <w:kern w:val="0"/>
                <w:sz w:val="22"/>
                <w:highlight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42D1">
            <w:pPr>
              <w:pStyle w:val="52"/>
              <w:rPr>
                <w:rFonts w:ascii="仿宋_GB2312" w:hAnsi="微软雅黑" w:eastAsia="仿宋_GB2312" w:cs="宋体"/>
                <w:color w:val="000000"/>
                <w:kern w:val="0"/>
                <w:sz w:val="22"/>
                <w:highlight w:val="none"/>
              </w:rPr>
            </w:pPr>
            <w:r>
              <w:rPr>
                <w:highlight w:val="none"/>
              </w:rPr>
              <w:t>文化设施步行15分钟覆盖率（%）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0BC4">
            <w:pPr>
              <w:pStyle w:val="52"/>
              <w:rPr>
                <w:rFonts w:ascii="仿宋_GB2312" w:hAnsi="微软雅黑" w:eastAsia="仿宋_GB2312" w:cs="宋体"/>
                <w:color w:val="000000"/>
                <w:kern w:val="0"/>
                <w:sz w:val="22"/>
                <w:highlight w:val="none"/>
              </w:rPr>
            </w:pPr>
            <w:r>
              <w:rPr>
                <w:highlight w:val="none"/>
              </w:rPr>
              <w:t>80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2EC1">
            <w:pPr>
              <w:pStyle w:val="52"/>
              <w:rPr>
                <w:rFonts w:ascii="仿宋_GB2312" w:hAnsi="微软雅黑" w:eastAsia="仿宋_GB2312" w:cs="宋体"/>
                <w:color w:val="000000"/>
                <w:kern w:val="0"/>
                <w:sz w:val="22"/>
                <w:highlight w:val="none"/>
              </w:rPr>
            </w:pPr>
            <w:r>
              <w:rPr>
                <w:highlight w:val="none"/>
              </w:rPr>
              <w:t>≥90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5FB4">
            <w:pPr>
              <w:pStyle w:val="52"/>
              <w:rPr>
                <w:rFonts w:ascii="仿宋_GB2312" w:hAnsi="微软雅黑" w:eastAsia="仿宋_GB2312" w:cs="宋体"/>
                <w:color w:val="000000"/>
                <w:kern w:val="0"/>
                <w:sz w:val="22"/>
                <w:highlight w:val="none"/>
              </w:rPr>
            </w:pPr>
            <w:r>
              <w:rPr>
                <w:highlight w:val="none"/>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6212">
            <w:pPr>
              <w:pStyle w:val="52"/>
              <w:rPr>
                <w:rFonts w:ascii="仿宋_GB2312" w:hAnsi="微软雅黑" w:eastAsia="仿宋_GB2312" w:cs="宋体"/>
                <w:color w:val="000000"/>
                <w:kern w:val="0"/>
                <w:sz w:val="22"/>
                <w:highlight w:val="none"/>
              </w:rPr>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12AC">
            <w:pPr>
              <w:pStyle w:val="52"/>
              <w:rPr>
                <w:rFonts w:ascii="仿宋_GB2312" w:hAnsi="微软雅黑" w:eastAsia="仿宋_GB2312" w:cs="宋体"/>
                <w:color w:val="000000"/>
                <w:kern w:val="0"/>
                <w:sz w:val="22"/>
                <w:highlight w:val="none"/>
              </w:rPr>
            </w:pPr>
            <w:r>
              <w:rPr>
                <w:highlight w:val="none"/>
              </w:rPr>
              <w:t>镇区</w:t>
            </w:r>
          </w:p>
        </w:tc>
      </w:tr>
      <w:tr w14:paraId="1F07AB02">
        <w:tblPrEx>
          <w:tblCellMar>
            <w:top w:w="0" w:type="dxa"/>
            <w:left w:w="108" w:type="dxa"/>
            <w:bottom w:w="0" w:type="dxa"/>
            <w:right w:w="108" w:type="dxa"/>
          </w:tblCellMar>
        </w:tblPrEx>
        <w:trPr>
          <w:trHeight w:val="270"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82CA">
            <w:pPr>
              <w:pStyle w:val="52"/>
              <w:rPr>
                <w:rFonts w:ascii="仿宋_GB2312" w:hAnsi="微软雅黑" w:eastAsia="仿宋_GB2312" w:cs="宋体"/>
                <w:color w:val="000000"/>
                <w:kern w:val="0"/>
                <w:sz w:val="22"/>
                <w:highlight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95E2B">
            <w:pPr>
              <w:pStyle w:val="52"/>
              <w:rPr>
                <w:rFonts w:ascii="仿宋_GB2312" w:hAnsi="微软雅黑" w:eastAsia="仿宋_GB2312" w:cs="宋体"/>
                <w:color w:val="000000"/>
                <w:kern w:val="0"/>
                <w:sz w:val="22"/>
                <w:highlight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68D7">
            <w:pPr>
              <w:pStyle w:val="52"/>
              <w:rPr>
                <w:rFonts w:ascii="仿宋_GB2312" w:hAnsi="微软雅黑" w:eastAsia="仿宋_GB2312" w:cs="宋体"/>
                <w:color w:val="000000"/>
                <w:kern w:val="0"/>
                <w:sz w:val="22"/>
                <w:highlight w:val="none"/>
              </w:rPr>
            </w:pPr>
            <w:r>
              <w:rPr>
                <w:highlight w:val="none"/>
              </w:rPr>
              <w:t>教育设施步行15分钟覆盖率（%）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FC69">
            <w:pPr>
              <w:pStyle w:val="52"/>
              <w:rPr>
                <w:rFonts w:ascii="仿宋_GB2312" w:hAnsi="微软雅黑" w:eastAsia="仿宋_GB2312" w:cs="宋体"/>
                <w:color w:val="000000"/>
                <w:kern w:val="0"/>
                <w:sz w:val="22"/>
                <w:highlight w:val="none"/>
              </w:rPr>
            </w:pPr>
            <w:r>
              <w:rPr>
                <w:highlight w:val="none"/>
              </w:rPr>
              <w:t>95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2F19">
            <w:pPr>
              <w:pStyle w:val="52"/>
              <w:rPr>
                <w:rFonts w:ascii="仿宋_GB2312" w:hAnsi="微软雅黑" w:eastAsia="仿宋_GB2312" w:cs="宋体"/>
                <w:color w:val="000000"/>
                <w:kern w:val="0"/>
                <w:sz w:val="22"/>
                <w:highlight w:val="none"/>
              </w:rPr>
            </w:pPr>
            <w:r>
              <w:rPr>
                <w:highlight w:val="none"/>
              </w:rPr>
              <w:t>≥95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9B97">
            <w:pPr>
              <w:pStyle w:val="52"/>
              <w:rPr>
                <w:rFonts w:ascii="仿宋_GB2312" w:hAnsi="微软雅黑" w:eastAsia="仿宋_GB2312" w:cs="宋体"/>
                <w:color w:val="000000"/>
                <w:kern w:val="0"/>
                <w:sz w:val="22"/>
                <w:highlight w:val="none"/>
              </w:rPr>
            </w:pPr>
            <w:r>
              <w:rPr>
                <w:highlight w:val="none"/>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AA9A">
            <w:pPr>
              <w:pStyle w:val="52"/>
              <w:rPr>
                <w:rFonts w:ascii="仿宋_GB2312" w:hAnsi="微软雅黑" w:eastAsia="仿宋_GB2312" w:cs="宋体"/>
                <w:color w:val="000000"/>
                <w:kern w:val="0"/>
                <w:sz w:val="22"/>
                <w:highlight w:val="none"/>
              </w:rPr>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9902">
            <w:pPr>
              <w:pStyle w:val="52"/>
              <w:rPr>
                <w:rFonts w:ascii="仿宋_GB2312" w:hAnsi="微软雅黑" w:eastAsia="仿宋_GB2312" w:cs="宋体"/>
                <w:color w:val="000000"/>
                <w:kern w:val="0"/>
                <w:sz w:val="22"/>
                <w:highlight w:val="none"/>
              </w:rPr>
            </w:pPr>
            <w:r>
              <w:rPr>
                <w:highlight w:val="none"/>
              </w:rPr>
              <w:t>镇区</w:t>
            </w:r>
          </w:p>
        </w:tc>
      </w:tr>
      <w:tr w14:paraId="44E4C052">
        <w:tblPrEx>
          <w:tblCellMar>
            <w:top w:w="0" w:type="dxa"/>
            <w:left w:w="108" w:type="dxa"/>
            <w:bottom w:w="0" w:type="dxa"/>
            <w:right w:w="108" w:type="dxa"/>
          </w:tblCellMar>
        </w:tblPrEx>
        <w:trPr>
          <w:trHeight w:val="270"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37EF">
            <w:pPr>
              <w:pStyle w:val="52"/>
              <w:rPr>
                <w:rFonts w:ascii="仿宋_GB2312" w:hAnsi="微软雅黑" w:eastAsia="仿宋_GB2312" w:cs="宋体"/>
                <w:color w:val="000000"/>
                <w:kern w:val="0"/>
                <w:sz w:val="22"/>
                <w:highlight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674E2">
            <w:pPr>
              <w:pStyle w:val="52"/>
              <w:rPr>
                <w:rFonts w:ascii="仿宋_GB2312" w:hAnsi="微软雅黑" w:eastAsia="仿宋_GB2312" w:cs="宋体"/>
                <w:color w:val="000000"/>
                <w:kern w:val="0"/>
                <w:sz w:val="22"/>
                <w:highlight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F0A0">
            <w:pPr>
              <w:pStyle w:val="52"/>
              <w:rPr>
                <w:rFonts w:ascii="仿宋_GB2312" w:hAnsi="微软雅黑" w:eastAsia="仿宋_GB2312" w:cs="宋体"/>
                <w:color w:val="000000"/>
                <w:kern w:val="0"/>
                <w:sz w:val="22"/>
                <w:highlight w:val="none"/>
              </w:rPr>
            </w:pPr>
            <w:r>
              <w:rPr>
                <w:highlight w:val="none"/>
              </w:rPr>
              <w:t>卫生设施步行15分钟覆盖率（%）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DA9B">
            <w:pPr>
              <w:pStyle w:val="52"/>
              <w:rPr>
                <w:rFonts w:ascii="仿宋_GB2312" w:hAnsi="微软雅黑" w:eastAsia="仿宋_GB2312" w:cs="宋体"/>
                <w:color w:val="000000"/>
                <w:kern w:val="0"/>
                <w:sz w:val="22"/>
                <w:highlight w:val="none"/>
              </w:rPr>
            </w:pPr>
            <w:r>
              <w:rPr>
                <w:highlight w:val="none"/>
              </w:rPr>
              <w:t>95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33CB">
            <w:pPr>
              <w:pStyle w:val="52"/>
              <w:rPr>
                <w:rFonts w:ascii="仿宋_GB2312" w:hAnsi="微软雅黑" w:eastAsia="仿宋_GB2312" w:cs="宋体"/>
                <w:color w:val="000000"/>
                <w:kern w:val="0"/>
                <w:sz w:val="22"/>
                <w:highlight w:val="none"/>
              </w:rPr>
            </w:pPr>
            <w:r>
              <w:rPr>
                <w:highlight w:val="none"/>
              </w:rPr>
              <w:t>≥95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B12A">
            <w:pPr>
              <w:pStyle w:val="52"/>
              <w:rPr>
                <w:rFonts w:ascii="仿宋_GB2312" w:hAnsi="微软雅黑" w:eastAsia="仿宋_GB2312" w:cs="宋体"/>
                <w:color w:val="000000"/>
                <w:kern w:val="0"/>
                <w:sz w:val="22"/>
                <w:highlight w:val="none"/>
              </w:rPr>
            </w:pPr>
            <w:r>
              <w:rPr>
                <w:highlight w:val="none"/>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5780">
            <w:pPr>
              <w:pStyle w:val="52"/>
              <w:rPr>
                <w:rFonts w:ascii="仿宋_GB2312" w:hAnsi="微软雅黑" w:eastAsia="仿宋_GB2312" w:cs="宋体"/>
                <w:color w:val="000000"/>
                <w:kern w:val="0"/>
                <w:sz w:val="22"/>
                <w:highlight w:val="none"/>
              </w:rPr>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88AA">
            <w:pPr>
              <w:pStyle w:val="52"/>
              <w:rPr>
                <w:rFonts w:ascii="仿宋_GB2312" w:hAnsi="微软雅黑" w:eastAsia="仿宋_GB2312" w:cs="宋体"/>
                <w:color w:val="000000"/>
                <w:kern w:val="0"/>
                <w:sz w:val="22"/>
                <w:highlight w:val="none"/>
              </w:rPr>
            </w:pPr>
            <w:r>
              <w:rPr>
                <w:highlight w:val="none"/>
              </w:rPr>
              <w:t>镇区</w:t>
            </w:r>
          </w:p>
        </w:tc>
      </w:tr>
      <w:tr w14:paraId="5A99BE25">
        <w:tblPrEx>
          <w:tblCellMar>
            <w:top w:w="0" w:type="dxa"/>
            <w:left w:w="108" w:type="dxa"/>
            <w:bottom w:w="0" w:type="dxa"/>
            <w:right w:w="108" w:type="dxa"/>
          </w:tblCellMar>
        </w:tblPrEx>
        <w:trPr>
          <w:trHeight w:val="270"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D193">
            <w:pPr>
              <w:pStyle w:val="52"/>
              <w:rPr>
                <w:rFonts w:ascii="仿宋_GB2312" w:hAnsi="微软雅黑" w:eastAsia="仿宋_GB2312" w:cs="宋体"/>
                <w:color w:val="000000"/>
                <w:kern w:val="0"/>
                <w:sz w:val="22"/>
                <w:highlight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EA853">
            <w:pPr>
              <w:pStyle w:val="52"/>
              <w:rPr>
                <w:rFonts w:ascii="仿宋_GB2312" w:hAnsi="微软雅黑" w:eastAsia="仿宋_GB2312" w:cs="宋体"/>
                <w:color w:val="000000"/>
                <w:kern w:val="0"/>
                <w:sz w:val="22"/>
                <w:highlight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B779">
            <w:pPr>
              <w:pStyle w:val="52"/>
            </w:pPr>
            <w:r>
              <w:rPr>
                <w:highlight w:val="none"/>
              </w:rPr>
              <w:t>养老设施步行15分钟覆盖率（%）</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73A2">
            <w:pPr>
              <w:pStyle w:val="52"/>
              <w:rPr>
                <w:rFonts w:ascii="仿宋_GB2312" w:hAnsi="微软雅黑" w:eastAsia="仿宋_GB2312" w:cs="宋体"/>
                <w:color w:val="000000"/>
                <w:kern w:val="0"/>
                <w:sz w:val="22"/>
                <w:highlight w:val="none"/>
              </w:rPr>
            </w:pPr>
            <w:r>
              <w:rPr>
                <w:highlight w:val="none"/>
              </w:rPr>
              <w:t>80</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F4E1">
            <w:pPr>
              <w:pStyle w:val="52"/>
              <w:rPr>
                <w:rFonts w:ascii="仿宋_GB2312" w:hAnsi="微软雅黑" w:eastAsia="仿宋_GB2312" w:cs="宋体"/>
                <w:color w:val="000000"/>
                <w:kern w:val="0"/>
                <w:sz w:val="22"/>
                <w:highlight w:val="none"/>
              </w:rPr>
            </w:pPr>
            <w:r>
              <w:rPr>
                <w:highlight w:val="none"/>
              </w:rPr>
              <w:t>≥95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2C36">
            <w:pPr>
              <w:pStyle w:val="52"/>
              <w:rPr>
                <w:rFonts w:ascii="仿宋_GB2312" w:hAnsi="微软雅黑" w:eastAsia="仿宋_GB2312" w:cs="宋体"/>
                <w:color w:val="000000"/>
                <w:kern w:val="0"/>
                <w:sz w:val="22"/>
                <w:highlight w:val="none"/>
              </w:rPr>
            </w:pPr>
            <w:r>
              <w:rPr>
                <w:highlight w:val="none"/>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F09B">
            <w:pPr>
              <w:pStyle w:val="52"/>
              <w:rPr>
                <w:rFonts w:ascii="仿宋_GB2312" w:hAnsi="微软雅黑" w:eastAsia="仿宋_GB2312" w:cs="宋体"/>
                <w:color w:val="000000"/>
                <w:kern w:val="0"/>
                <w:sz w:val="22"/>
                <w:highlight w:val="none"/>
              </w:rPr>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2DBE">
            <w:pPr>
              <w:pStyle w:val="52"/>
              <w:rPr>
                <w:rFonts w:ascii="仿宋_GB2312" w:hAnsi="微软雅黑" w:eastAsia="仿宋_GB2312" w:cs="宋体"/>
                <w:color w:val="000000"/>
                <w:kern w:val="0"/>
                <w:sz w:val="22"/>
                <w:highlight w:val="none"/>
              </w:rPr>
            </w:pPr>
            <w:r>
              <w:rPr>
                <w:highlight w:val="none"/>
              </w:rPr>
              <w:t>镇区</w:t>
            </w:r>
          </w:p>
        </w:tc>
      </w:tr>
      <w:tr w14:paraId="18220602">
        <w:tblPrEx>
          <w:tblCellMar>
            <w:top w:w="0" w:type="dxa"/>
            <w:left w:w="108" w:type="dxa"/>
            <w:bottom w:w="0" w:type="dxa"/>
            <w:right w:w="108" w:type="dxa"/>
          </w:tblCellMar>
        </w:tblPrEx>
        <w:trPr>
          <w:trHeight w:val="270"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6F7A">
            <w:pPr>
              <w:pStyle w:val="52"/>
              <w:rPr>
                <w:rFonts w:ascii="仿宋_GB2312" w:hAnsi="微软雅黑" w:eastAsia="仿宋_GB2312" w:cs="宋体"/>
                <w:color w:val="000000"/>
                <w:kern w:val="0"/>
                <w:sz w:val="22"/>
                <w:highlight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17397">
            <w:pPr>
              <w:pStyle w:val="52"/>
              <w:rPr>
                <w:rFonts w:ascii="仿宋_GB2312" w:hAnsi="微软雅黑" w:eastAsia="仿宋_GB2312" w:cs="宋体"/>
                <w:color w:val="000000"/>
                <w:kern w:val="0"/>
                <w:sz w:val="22"/>
                <w:highlight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7EB5">
            <w:pPr>
              <w:pStyle w:val="52"/>
            </w:pPr>
            <w:r>
              <w:rPr>
                <w:highlight w:val="none"/>
              </w:rPr>
              <w:t>社区中心步行15分钟覆盖率（%）</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1A48">
            <w:pPr>
              <w:pStyle w:val="52"/>
              <w:rPr>
                <w:rFonts w:ascii="仿宋_GB2312" w:hAnsi="微软雅黑" w:eastAsia="仿宋_GB2312" w:cs="宋体"/>
                <w:color w:val="000000"/>
                <w:kern w:val="0"/>
                <w:sz w:val="22"/>
                <w:highlight w:val="none"/>
              </w:rPr>
            </w:pPr>
            <w:r>
              <w:rPr>
                <w:highlight w:val="none"/>
              </w:rPr>
              <w:t>50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1F5C">
            <w:pPr>
              <w:pStyle w:val="52"/>
              <w:rPr>
                <w:rFonts w:ascii="仿宋_GB2312" w:hAnsi="微软雅黑" w:eastAsia="仿宋_GB2312" w:cs="宋体"/>
                <w:color w:val="000000"/>
                <w:kern w:val="0"/>
                <w:sz w:val="22"/>
                <w:highlight w:val="none"/>
              </w:rPr>
            </w:pPr>
            <w:r>
              <w:rPr>
                <w:highlight w:val="none"/>
              </w:rPr>
              <w:t>≥95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F925">
            <w:pPr>
              <w:pStyle w:val="52"/>
              <w:rPr>
                <w:rFonts w:ascii="仿宋_GB2312" w:hAnsi="微软雅黑" w:eastAsia="仿宋_GB2312" w:cs="宋体"/>
                <w:color w:val="000000"/>
                <w:kern w:val="0"/>
                <w:sz w:val="22"/>
                <w:highlight w:val="none"/>
              </w:rPr>
            </w:pPr>
            <w:r>
              <w:rPr>
                <w:highlight w:val="none"/>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C96C">
            <w:pPr>
              <w:pStyle w:val="52"/>
              <w:rPr>
                <w:rFonts w:ascii="仿宋_GB2312" w:hAnsi="微软雅黑" w:eastAsia="仿宋_GB2312" w:cs="宋体"/>
                <w:color w:val="000000"/>
                <w:kern w:val="0"/>
                <w:sz w:val="22"/>
                <w:highlight w:val="none"/>
              </w:rPr>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0AEE">
            <w:pPr>
              <w:pStyle w:val="52"/>
              <w:rPr>
                <w:rFonts w:ascii="仿宋_GB2312" w:hAnsi="微软雅黑" w:eastAsia="仿宋_GB2312" w:cs="宋体"/>
                <w:color w:val="000000"/>
                <w:kern w:val="0"/>
                <w:sz w:val="22"/>
                <w:highlight w:val="none"/>
              </w:rPr>
            </w:pPr>
            <w:r>
              <w:rPr>
                <w:highlight w:val="none"/>
              </w:rPr>
              <w:t>镇区</w:t>
            </w:r>
          </w:p>
        </w:tc>
      </w:tr>
      <w:tr w14:paraId="22A14D2B">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4162">
            <w:pPr>
              <w:pStyle w:val="52"/>
              <w:rPr>
                <w:rFonts w:ascii="仿宋_GB2312" w:hAnsi="微软雅黑" w:eastAsia="仿宋_GB2312" w:cs="宋体"/>
                <w:color w:val="000000"/>
                <w:kern w:val="0"/>
                <w:sz w:val="22"/>
                <w:highlight w:val="none"/>
              </w:rPr>
            </w:pPr>
            <w:r>
              <w:rPr>
                <w:highlight w:val="none"/>
              </w:rPr>
              <w:t>17</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3174">
            <w:pPr>
              <w:pStyle w:val="52"/>
              <w:rPr>
                <w:rFonts w:ascii="仿宋_GB2312" w:hAnsi="微软雅黑" w:eastAsia="仿宋_GB2312" w:cs="宋体"/>
                <w:color w:val="000000"/>
                <w:kern w:val="0"/>
                <w:sz w:val="22"/>
                <w:highlight w:val="none"/>
              </w:rPr>
            </w:pPr>
            <w:r>
              <w:rPr>
                <w:highlight w:val="none"/>
              </w:rPr>
              <w:t>城镇人均住房面积（平方米）</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1BDD">
            <w:pPr>
              <w:pStyle w:val="52"/>
              <w:rPr>
                <w:rFonts w:ascii="仿宋_GB2312" w:hAnsi="微软雅黑" w:eastAsia="仿宋_GB2312" w:cs="宋体"/>
                <w:color w:val="000000"/>
                <w:kern w:val="0"/>
                <w:sz w:val="22"/>
                <w:highlight w:val="none"/>
              </w:rPr>
            </w:pPr>
            <w:r>
              <w:rPr>
                <w:highlight w:val="none"/>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B658">
            <w:pPr>
              <w:pStyle w:val="52"/>
              <w:rPr>
                <w:rFonts w:ascii="仿宋_GB2312" w:hAnsi="微软雅黑" w:eastAsia="仿宋_GB2312" w:cs="宋体"/>
                <w:color w:val="000000"/>
                <w:kern w:val="0"/>
                <w:sz w:val="22"/>
                <w:highlight w:val="none"/>
              </w:rPr>
            </w:pPr>
            <w:r>
              <w:rPr>
                <w:highlight w:val="none"/>
              </w:rPr>
              <w:t>≤64.3</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0544">
            <w:pPr>
              <w:pStyle w:val="52"/>
              <w:rPr>
                <w:rFonts w:ascii="仿宋_GB2312" w:hAnsi="微软雅黑" w:eastAsia="仿宋_GB2312" w:cs="宋体"/>
                <w:color w:val="000000"/>
                <w:kern w:val="0"/>
                <w:sz w:val="22"/>
                <w:highlight w:val="none"/>
              </w:rPr>
            </w:pPr>
            <w:r>
              <w:rPr>
                <w:highlight w:val="none"/>
              </w:rPr>
              <w:t>≤55.55</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DD7E">
            <w:pPr>
              <w:pStyle w:val="52"/>
              <w:rPr>
                <w:rFonts w:ascii="仿宋_GB2312" w:hAnsi="微软雅黑" w:eastAsia="仿宋_GB2312" w:cs="宋体"/>
                <w:color w:val="000000"/>
                <w:kern w:val="0"/>
                <w:sz w:val="22"/>
                <w:highlight w:val="none"/>
              </w:rPr>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F1CF">
            <w:pPr>
              <w:pStyle w:val="52"/>
              <w:rPr>
                <w:rFonts w:ascii="仿宋_GB2312" w:hAnsi="微软雅黑" w:eastAsia="仿宋_GB2312" w:cs="宋体"/>
                <w:color w:val="000000"/>
                <w:kern w:val="0"/>
                <w:sz w:val="22"/>
                <w:highlight w:val="none"/>
              </w:rPr>
            </w:pPr>
            <w:r>
              <w:rPr>
                <w:highlight w:val="none"/>
              </w:rPr>
              <w:t>镇域</w:t>
            </w:r>
          </w:p>
        </w:tc>
      </w:tr>
      <w:tr w14:paraId="2DB7744B">
        <w:tblPrEx>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101C">
            <w:pPr>
              <w:pStyle w:val="52"/>
              <w:rPr>
                <w:highlight w:val="none"/>
              </w:rPr>
            </w:pPr>
            <w:bookmarkStart w:id="43" w:name="_Toc198237293"/>
            <w:r>
              <w:rPr>
                <w:highlight w:val="none"/>
              </w:rPr>
              <w:t>18</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C625">
            <w:pPr>
              <w:pStyle w:val="52"/>
              <w:rPr>
                <w:highlight w:val="none"/>
              </w:rPr>
            </w:pPr>
            <w:r>
              <w:rPr>
                <w:highlight w:val="none"/>
              </w:rPr>
              <w:t>人均公园绿地面积（平方米）</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3617">
            <w:pPr>
              <w:pStyle w:val="52"/>
              <w:rPr>
                <w:highlight w:val="none"/>
              </w:rPr>
            </w:pPr>
            <w:r>
              <w:rPr>
                <w:highlight w:val="none"/>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B5B6">
            <w:pPr>
              <w:pStyle w:val="52"/>
              <w:rPr>
                <w:highlight w:val="none"/>
              </w:rPr>
            </w:pPr>
            <w:r>
              <w:rPr>
                <w:highlight w:val="none"/>
              </w:rPr>
              <w:t>≥4</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7858">
            <w:pPr>
              <w:pStyle w:val="52"/>
              <w:rPr>
                <w:highlight w:val="none"/>
              </w:rPr>
            </w:pPr>
            <w:r>
              <w:rPr>
                <w:highlight w:val="none"/>
              </w:rPr>
              <w:t>≥9.4</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E6A6">
            <w:pPr>
              <w:pStyle w:val="52"/>
              <w:rPr>
                <w:highlight w:val="none"/>
              </w:rPr>
            </w:pPr>
            <w:r>
              <w:rPr>
                <w:highlight w:val="none"/>
              </w:rPr>
              <w:t>预期性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B39C">
            <w:pPr>
              <w:pStyle w:val="52"/>
              <w:rPr>
                <w:highlight w:val="none"/>
              </w:rPr>
            </w:pPr>
            <w:r>
              <w:rPr>
                <w:highlight w:val="none"/>
              </w:rPr>
              <w:t>镇区</w:t>
            </w:r>
          </w:p>
        </w:tc>
      </w:tr>
    </w:tbl>
    <w:p w14:paraId="21292BE6">
      <w:pPr>
        <w:pStyle w:val="60"/>
        <w:ind w:left="0" w:firstLine="640" w:firstLineChars="200"/>
        <w:rPr>
          <w:rFonts w:hint="eastAsia" w:hAnsi="Times New Roman" w:cs="Times New Roman"/>
          <w:highlight w:val="none"/>
        </w:rPr>
      </w:pPr>
      <w:r>
        <w:rPr>
          <w:rFonts w:hint="eastAsia" w:hAnsi="Times New Roman" w:cs="Times New Roman"/>
          <w:highlight w:val="none"/>
        </w:rPr>
        <w:t>国土空间开发保护战略</w:t>
      </w:r>
      <w:bookmarkEnd w:id="43"/>
    </w:p>
    <w:p w14:paraId="1B071F00">
      <w:pPr>
        <w:pStyle w:val="15"/>
        <w:ind w:firstLine="640"/>
        <w:rPr>
          <w:highlight w:val="none"/>
        </w:rPr>
      </w:pPr>
      <w:bookmarkStart w:id="44" w:name="_Toc83629239"/>
      <w:bookmarkStart w:id="45" w:name="_Toc83629039"/>
      <w:bookmarkStart w:id="46" w:name="_Toc79668885"/>
      <w:r>
        <w:rPr>
          <w:rFonts w:hint="eastAsia" w:ascii="楷体_GB2312" w:hAnsi="楷体_GB2312" w:eastAsia="楷体_GB2312" w:cs="楷体_GB2312"/>
          <w:highlight w:val="none"/>
        </w:rPr>
        <w:t>生态稳固战略</w:t>
      </w:r>
      <w:bookmarkEnd w:id="44"/>
      <w:bookmarkEnd w:id="45"/>
      <w:bookmarkEnd w:id="46"/>
      <w:r>
        <w:rPr>
          <w:rFonts w:hint="eastAsia" w:ascii="楷体_GB2312" w:hAnsi="楷体_GB2312" w:eastAsia="楷体_GB2312" w:cs="楷体_GB2312"/>
          <w:highlight w:val="none"/>
        </w:rPr>
        <w:t>。</w:t>
      </w:r>
      <w:r>
        <w:rPr>
          <w:rFonts w:hint="eastAsia"/>
          <w:highlight w:val="none"/>
        </w:rPr>
        <w:t>构筑青海湖生态安全屏障，建立以国家公园为主体的自然保护地体系，推进生态治理与生态修复。锚固江西沟镇生态基底，保证生态保护红线和永久基本农田保护线不突破，加快推进生态空间的保育、修复和拓展，为城镇可持续发展提供生态本底支撑。</w:t>
      </w:r>
    </w:p>
    <w:p w14:paraId="7B3D0F46">
      <w:pPr>
        <w:pStyle w:val="15"/>
        <w:ind w:firstLine="640"/>
        <w:rPr>
          <w:highlight w:val="none"/>
        </w:rPr>
      </w:pPr>
      <w:r>
        <w:rPr>
          <w:rFonts w:hint="eastAsia" w:ascii="楷体_GB2312" w:hAnsi="楷体_GB2312" w:eastAsia="楷体_GB2312" w:cs="楷体_GB2312"/>
          <w:highlight w:val="none"/>
        </w:rPr>
        <w:t>绿色高效与精明增长战略。</w:t>
      </w:r>
      <w:r>
        <w:rPr>
          <w:rFonts w:hint="eastAsia"/>
          <w:highlight w:val="none"/>
        </w:rPr>
        <w:t>促进水资源和土地资源集约节约利用，打造优美的人居自然环境，塑造可持续的水和生态环境。划定城镇开发边界，引导镇区空间有序建设，顺应发展趋势，保障城镇发展，遵循旅游城镇的发展规律，结合城镇能级提升和功能布局调整需求，为城市发展预留充足空间。</w:t>
      </w:r>
    </w:p>
    <w:p w14:paraId="707FED2F">
      <w:pPr>
        <w:pStyle w:val="15"/>
        <w:ind w:firstLine="640"/>
        <w:rPr>
          <w:highlight w:val="none"/>
        </w:rPr>
      </w:pPr>
      <w:r>
        <w:rPr>
          <w:rFonts w:hint="eastAsia" w:ascii="楷体_GB2312" w:hAnsi="楷体_GB2312" w:eastAsia="楷体_GB2312" w:cs="楷体_GB2312"/>
          <w:highlight w:val="none"/>
        </w:rPr>
        <w:t>宜居共享战略。</w:t>
      </w:r>
      <w:r>
        <w:rPr>
          <w:rFonts w:hint="eastAsia"/>
          <w:highlight w:val="none"/>
        </w:rPr>
        <w:t>提升中心城镇承载能力，提升资源匹配度和承载力，优化空间格局，提升高水平公共服务设施建设。围绕满足人民群众对美好生活的向往，构建城乡均等的公共服务、基础设施网络，建设城乡幸福生活圈。</w:t>
      </w:r>
    </w:p>
    <w:p w14:paraId="0053FE32">
      <w:pPr>
        <w:pStyle w:val="15"/>
        <w:ind w:firstLine="640"/>
        <w:rPr>
          <w:highlight w:val="none"/>
        </w:rPr>
      </w:pPr>
      <w:r>
        <w:rPr>
          <w:rFonts w:hint="eastAsia" w:ascii="楷体_GB2312" w:hAnsi="楷体_GB2312" w:eastAsia="楷体_GB2312" w:cs="楷体_GB2312"/>
          <w:highlight w:val="none"/>
        </w:rPr>
        <w:t>魅力提升战略。</w:t>
      </w:r>
      <w:r>
        <w:rPr>
          <w:rFonts w:hint="eastAsia"/>
          <w:highlight w:val="none"/>
        </w:rPr>
        <w:t>深入挖掘藏区民俗文化，保护传统文化、多民族文化融合的特色，提取相关文化元素塑造江西沟独有风貌。立足高原生态小镇特点，塑造生态魅力休闲区和人文魅力廊道，建设高品质风景道与自驾游服务体系，推进高原美丽乡村建设与农牧区旅游发展。聚力改革创新，提升质量效益，理顺政府、市场、社会关系，全方位、全过程、全要素保障和激励创新，构筑现代旅游新高地，增创生态文明新优势，构建城乡美丽新格局。塑造城乡风貌，提升镇区品质，加快补足公共服务设施短板，创造多元包容的公共空间。</w:t>
      </w:r>
    </w:p>
    <w:p w14:paraId="721B8F1D">
      <w:pPr>
        <w:pStyle w:val="3"/>
        <w:numPr>
          <w:ilvl w:val="0"/>
          <w:numId w:val="9"/>
        </w:numPr>
        <w:rPr>
          <w:highlight w:val="none"/>
          <w:lang w:val="zh-CN"/>
        </w:rPr>
      </w:pPr>
      <w:bookmarkStart w:id="47" w:name="_Toc164418042"/>
      <w:bookmarkStart w:id="48" w:name="_Toc198237294"/>
      <w:bookmarkStart w:id="49" w:name="_Toc198237501"/>
      <w:bookmarkStart w:id="50" w:name="_Toc12909"/>
      <w:bookmarkStart w:id="51" w:name="_Hlk148270252"/>
      <w:r>
        <w:rPr>
          <w:rFonts w:hint="eastAsia"/>
          <w:highlight w:val="none"/>
          <w:lang w:val="zh-CN"/>
        </w:rPr>
        <w:t>区域协同</w:t>
      </w:r>
      <w:bookmarkEnd w:id="47"/>
      <w:bookmarkEnd w:id="48"/>
      <w:bookmarkEnd w:id="49"/>
      <w:bookmarkEnd w:id="50"/>
    </w:p>
    <w:bookmarkEnd w:id="51"/>
    <w:p w14:paraId="384E80D5">
      <w:pPr>
        <w:pStyle w:val="60"/>
        <w:ind w:left="0" w:firstLine="640" w:firstLineChars="200"/>
        <w:rPr>
          <w:highlight w:val="none"/>
        </w:rPr>
      </w:pPr>
      <w:bookmarkStart w:id="52" w:name="_Toc198237295"/>
      <w:r>
        <w:rPr>
          <w:rFonts w:hint="eastAsia"/>
          <w:highlight w:val="none"/>
        </w:rPr>
        <w:t>融入周边区域</w:t>
      </w:r>
      <w:bookmarkEnd w:id="52"/>
    </w:p>
    <w:p w14:paraId="36B13E1A">
      <w:pPr>
        <w:pStyle w:val="15"/>
        <w:ind w:firstLine="640"/>
        <w:rPr>
          <w:rFonts w:hAnsi="仿宋_GB2312" w:cs="仿宋_GB2312"/>
          <w:szCs w:val="24"/>
          <w:highlight w:val="none"/>
          <w:lang w:bidi="ar"/>
        </w:rPr>
      </w:pPr>
      <w:r>
        <w:rPr>
          <w:rFonts w:hint="eastAsia" w:hAnsi="仿宋_GB2312" w:cs="仿宋_GB2312"/>
          <w:szCs w:val="24"/>
          <w:highlight w:val="none"/>
          <w:lang w:bidi="ar"/>
        </w:rPr>
        <w:t>打破江西沟镇与其他乡镇之间的市场壁垒，建立统一的区域市场。加强市场监管合作，打击不正当竞争行为，共同培育区域品牌。</w:t>
      </w:r>
    </w:p>
    <w:p w14:paraId="48A8334D">
      <w:pPr>
        <w:pStyle w:val="60"/>
        <w:ind w:left="0" w:firstLine="640" w:firstLineChars="200"/>
        <w:rPr>
          <w:highlight w:val="none"/>
        </w:rPr>
      </w:pPr>
      <w:bookmarkStart w:id="53" w:name="_Toc198237296"/>
      <w:r>
        <w:rPr>
          <w:rFonts w:hint="eastAsia"/>
          <w:highlight w:val="none"/>
        </w:rPr>
        <w:t>环境保护协同</w:t>
      </w:r>
      <w:bookmarkEnd w:id="53"/>
    </w:p>
    <w:p w14:paraId="77C4F23A">
      <w:pPr>
        <w:pStyle w:val="15"/>
        <w:ind w:firstLine="640"/>
        <w:rPr>
          <w:rFonts w:hAnsi="仿宋_GB2312" w:cs="仿宋_GB2312"/>
          <w:szCs w:val="24"/>
          <w:highlight w:val="none"/>
          <w:lang w:bidi="ar"/>
        </w:rPr>
      </w:pPr>
      <w:r>
        <w:rPr>
          <w:rFonts w:hint="eastAsia" w:hAnsi="仿宋_GB2312" w:cs="仿宋_GB2312"/>
          <w:szCs w:val="24"/>
          <w:highlight w:val="none"/>
          <w:lang w:bidi="ar"/>
        </w:rPr>
        <w:t>对江西沟镇域及青海湖地区的湖泊、河流、森林、湿地等生态系统进行统一保护。共同制定生态保护红线，加强环境监测和污染治理合作。</w:t>
      </w:r>
    </w:p>
    <w:p w14:paraId="598D926E">
      <w:pPr>
        <w:pStyle w:val="60"/>
        <w:ind w:left="0" w:firstLine="640" w:firstLineChars="200"/>
        <w:rPr>
          <w:highlight w:val="none"/>
        </w:rPr>
      </w:pPr>
      <w:bookmarkStart w:id="54" w:name="_Toc198237297"/>
      <w:r>
        <w:rPr>
          <w:rFonts w:hint="eastAsia"/>
          <w:highlight w:val="none"/>
        </w:rPr>
        <w:t>旅游资源互补</w:t>
      </w:r>
      <w:bookmarkEnd w:id="54"/>
    </w:p>
    <w:p w14:paraId="146E359C">
      <w:pPr>
        <w:pStyle w:val="15"/>
        <w:ind w:firstLine="640"/>
        <w:rPr>
          <w:rFonts w:hAnsi="仿宋_GB2312" w:cs="仿宋_GB2312"/>
          <w:szCs w:val="24"/>
          <w:highlight w:val="none"/>
          <w:lang w:bidi="ar"/>
        </w:rPr>
      </w:pPr>
      <w:r>
        <w:rPr>
          <w:rFonts w:hint="eastAsia" w:hAnsi="仿宋_GB2312" w:cs="仿宋_GB2312"/>
          <w:szCs w:val="24"/>
          <w:highlight w:val="none"/>
          <w:lang w:bidi="ar"/>
        </w:rPr>
        <w:t>江西沟镇的乡村旅游资源与青海湖的自然景观资源相互补充。将江西沟镇的乡村旅游景点与青海湖的主要景区串联起来，设计多条主题旅游线路。游客在欣赏青海湖美景的同时，可以到江西沟镇体验藏族民俗文化、品尝特色美食、参与农事活动等，丰富旅游体验。依托青海湖旅游产业发展契机，融入区域文化旅游体系之中。</w:t>
      </w:r>
    </w:p>
    <w:p w14:paraId="630B65EE">
      <w:pPr>
        <w:pStyle w:val="60"/>
        <w:ind w:left="0" w:firstLine="640" w:firstLineChars="200"/>
        <w:rPr>
          <w:highlight w:val="none"/>
        </w:rPr>
      </w:pPr>
      <w:bookmarkStart w:id="55" w:name="_Toc198237298"/>
      <w:r>
        <w:rPr>
          <w:rFonts w:hint="eastAsia"/>
          <w:highlight w:val="none"/>
        </w:rPr>
        <w:t>产业融合发展</w:t>
      </w:r>
      <w:bookmarkEnd w:id="55"/>
    </w:p>
    <w:p w14:paraId="47524782">
      <w:pPr>
        <w:pStyle w:val="15"/>
        <w:ind w:firstLine="640"/>
        <w:rPr>
          <w:rFonts w:hAnsi="仿宋_GB2312" w:cs="仿宋_GB2312"/>
          <w:szCs w:val="24"/>
          <w:highlight w:val="none"/>
          <w:lang w:bidi="ar"/>
        </w:rPr>
      </w:pPr>
      <w:r>
        <w:rPr>
          <w:rFonts w:hint="eastAsia" w:hAnsi="仿宋_GB2312" w:cs="仿宋_GB2312"/>
          <w:szCs w:val="24"/>
          <w:highlight w:val="none"/>
          <w:lang w:bidi="ar"/>
        </w:rPr>
        <w:t>江西沟镇的畜牧业和种植业可以为青海湖地区的旅游提供特色农产品和手工艺品，如牦牛肉、青稞制品、藏族刺绣等。旅游业的发展也可以带动当地农牧业的品牌建设和销售渠道拓展。</w:t>
      </w:r>
    </w:p>
    <w:p w14:paraId="3A8E1D38">
      <w:pPr>
        <w:pStyle w:val="60"/>
        <w:ind w:left="0" w:firstLine="640" w:firstLineChars="200"/>
        <w:rPr>
          <w:highlight w:val="none"/>
        </w:rPr>
      </w:pPr>
      <w:bookmarkStart w:id="56" w:name="_Toc198237299"/>
      <w:r>
        <w:rPr>
          <w:rFonts w:hint="eastAsia"/>
          <w:highlight w:val="none"/>
        </w:rPr>
        <w:t>基础设施共建共享</w:t>
      </w:r>
      <w:bookmarkEnd w:id="56"/>
    </w:p>
    <w:p w14:paraId="7903C2C2">
      <w:pPr>
        <w:pStyle w:val="15"/>
        <w:ind w:firstLine="640"/>
        <w:rPr>
          <w:rFonts w:hAnsi="仿宋_GB2312" w:cs="仿宋_GB2312"/>
          <w:szCs w:val="24"/>
          <w:highlight w:val="none"/>
          <w:lang w:bidi="ar"/>
        </w:rPr>
      </w:pPr>
      <w:r>
        <w:rPr>
          <w:rFonts w:hint="eastAsia" w:hAnsi="仿宋_GB2312" w:cs="仿宋_GB2312"/>
          <w:szCs w:val="24"/>
          <w:highlight w:val="none"/>
          <w:lang w:bidi="ar"/>
        </w:rPr>
        <w:t>相邻乡镇共同规划建设交通网络，改善区域的交通条件，促进人员和物资的流通。同时，在供水、供电、污水处理等市政设施方面通过协同规划实现共享，提高设施的服务范围和效率。</w:t>
      </w:r>
    </w:p>
    <w:p w14:paraId="38874428">
      <w:pPr>
        <w:widowControl/>
        <w:jc w:val="left"/>
        <w:rPr>
          <w:highlight w:val="none"/>
        </w:rPr>
      </w:pPr>
    </w:p>
    <w:p w14:paraId="3CD77E94">
      <w:pPr>
        <w:pStyle w:val="2"/>
        <w:pageBreakBefore/>
        <w:ind w:left="0" w:firstLine="0"/>
        <w:rPr>
          <w:highlight w:val="none"/>
        </w:rPr>
      </w:pPr>
      <w:bookmarkStart w:id="57" w:name="_Toc198237300"/>
      <w:bookmarkStart w:id="58" w:name="_Toc25487"/>
      <w:bookmarkStart w:id="59" w:name="_Toc198237502"/>
      <w:bookmarkStart w:id="60" w:name="_Toc25894"/>
      <w:r>
        <w:rPr>
          <w:rFonts w:hint="eastAsia"/>
          <w:highlight w:val="none"/>
        </w:rPr>
        <w:t>构建国土空间开发保护新格局</w:t>
      </w:r>
      <w:bookmarkEnd w:id="57"/>
      <w:bookmarkEnd w:id="58"/>
      <w:bookmarkEnd w:id="59"/>
      <w:bookmarkEnd w:id="60"/>
    </w:p>
    <w:p w14:paraId="321FC870">
      <w:pPr>
        <w:pStyle w:val="3"/>
        <w:numPr>
          <w:ilvl w:val="0"/>
          <w:numId w:val="10"/>
        </w:numPr>
        <w:rPr>
          <w:highlight w:val="none"/>
          <w:lang w:val="zh-CN"/>
        </w:rPr>
      </w:pPr>
      <w:bookmarkStart w:id="61" w:name="_Toc198237503"/>
      <w:bookmarkStart w:id="62" w:name="_Toc23483"/>
      <w:bookmarkStart w:id="63" w:name="_Toc198237301"/>
      <w:r>
        <w:rPr>
          <w:rFonts w:hint="eastAsia"/>
          <w:highlight w:val="none"/>
          <w:lang w:val="zh-CN"/>
        </w:rPr>
        <w:t>筑牢安全发展的空间基础</w:t>
      </w:r>
      <w:bookmarkEnd w:id="61"/>
      <w:bookmarkEnd w:id="62"/>
      <w:bookmarkEnd w:id="63"/>
    </w:p>
    <w:p w14:paraId="08592DE8">
      <w:pPr>
        <w:pStyle w:val="60"/>
        <w:ind w:left="0" w:firstLine="640" w:firstLineChars="200"/>
        <w:rPr>
          <w:highlight w:val="none"/>
        </w:rPr>
      </w:pPr>
      <w:bookmarkStart w:id="64" w:name="_Toc198237302"/>
      <w:r>
        <w:rPr>
          <w:rFonts w:hint="eastAsia"/>
          <w:highlight w:val="none"/>
        </w:rPr>
        <w:t>落实耕地和永久基本农田保护目标</w:t>
      </w:r>
      <w:bookmarkEnd w:id="64"/>
    </w:p>
    <w:p w14:paraId="11614CF1">
      <w:pPr>
        <w:pStyle w:val="15"/>
        <w:ind w:firstLine="640"/>
        <w:rPr>
          <w:rFonts w:hAnsi="仿宋_GB2312" w:cs="仿宋_GB2312"/>
          <w:szCs w:val="24"/>
          <w:highlight w:val="none"/>
          <w:lang w:bidi="ar"/>
        </w:rPr>
      </w:pPr>
      <w:r>
        <w:rPr>
          <w:rFonts w:hint="eastAsia" w:hAnsi="仿宋_GB2312" w:cs="仿宋_GB2312"/>
          <w:szCs w:val="24"/>
          <w:highlight w:val="none"/>
          <w:u w:val="single"/>
          <w:lang w:bidi="ar"/>
        </w:rPr>
        <w:t>规划至2035年，江西沟镇耕地保有量不低于</w:t>
      </w:r>
      <w:r>
        <w:rPr>
          <w:rFonts w:hint="eastAsia" w:hAnsi="仿宋_GB2312" w:cs="仿宋_GB2312"/>
          <w:szCs w:val="24"/>
          <w:highlight w:val="none"/>
          <w:u w:val="single"/>
          <w:lang w:val="en-US" w:eastAsia="zh-CN" w:bidi="ar"/>
        </w:rPr>
        <w:t>10.2586万亩</w:t>
      </w:r>
      <w:r>
        <w:rPr>
          <w:rFonts w:hint="eastAsia" w:hAnsi="仿宋_GB2312" w:cs="仿宋_GB2312"/>
          <w:szCs w:val="24"/>
          <w:highlight w:val="none"/>
          <w:u w:val="single"/>
          <w:lang w:bidi="ar"/>
        </w:rPr>
        <w:t>，永久基本农田面积不低于</w:t>
      </w:r>
      <w:r>
        <w:rPr>
          <w:rFonts w:hint="eastAsia" w:hAnsi="仿宋_GB2312" w:cs="仿宋_GB2312"/>
          <w:szCs w:val="24"/>
          <w:highlight w:val="none"/>
          <w:u w:val="single"/>
          <w:lang w:val="en-US" w:eastAsia="zh-CN" w:bidi="ar"/>
        </w:rPr>
        <w:t>9.9353万亩</w:t>
      </w:r>
      <w:r>
        <w:rPr>
          <w:rFonts w:hint="eastAsia" w:hAnsi="仿宋_GB2312" w:cs="仿宋_GB2312"/>
          <w:szCs w:val="24"/>
          <w:highlight w:val="none"/>
          <w:u w:val="single"/>
          <w:lang w:eastAsia="zh-CN" w:bidi="ar"/>
        </w:rPr>
        <w:t>，</w:t>
      </w:r>
      <w:r>
        <w:rPr>
          <w:rFonts w:hint="eastAsia" w:hAnsi="仿宋_GB2312" w:cs="仿宋_GB2312"/>
          <w:szCs w:val="24"/>
          <w:highlight w:val="none"/>
          <w:lang w:val="en-US" w:eastAsia="zh-CN" w:bidi="ar"/>
        </w:rPr>
        <w:t>主要分布在镇域中部区域</w:t>
      </w:r>
      <w:r>
        <w:rPr>
          <w:rFonts w:hint="eastAsia" w:hAnsi="仿宋_GB2312" w:cs="仿宋_GB2312"/>
          <w:szCs w:val="24"/>
          <w:highlight w:val="none"/>
          <w:lang w:bidi="ar"/>
        </w:rPr>
        <w:t>。从严管控非农建设占用永久基本农田，永久基本农田一经划定，任何单位和个人不得擅自占用或者擅自改变用途，严禁通过擅自调整规划规避占用永久基本农田的审批，严禁未经审批违法违规占用。坚决防止永久基本农田“非农化”，永久基本农田必须坚持农地农用，禁止破坏永久基本农田活动，禁止占用永久基本农田植树造林，禁止闲置、撂荒永久基本农田，禁止以设施农用地为名乱占永久基本农田。</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7706"/>
      </w:tblGrid>
      <w:tr w14:paraId="178A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9CB9A4">
            <w:pPr>
              <w:pStyle w:val="56"/>
              <w:rPr>
                <w:rFonts w:cs="Times New Roman"/>
                <w:highlight w:val="none"/>
              </w:rPr>
            </w:pPr>
            <w:r>
              <w:rPr>
                <w:highlight w:val="none"/>
              </w:rPr>
              <w:t>专栏2</w:t>
            </w:r>
            <w:r>
              <w:rPr>
                <w:rFonts w:hint="eastAsia"/>
                <w:highlight w:val="none"/>
              </w:rPr>
              <w:t xml:space="preserve"> </w:t>
            </w:r>
            <w:r>
              <w:rPr>
                <w:highlight w:val="none"/>
              </w:rPr>
              <w:t>耕地和永久基本农田保护红线管理规则</w:t>
            </w:r>
          </w:p>
        </w:tc>
      </w:tr>
      <w:tr w14:paraId="7488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369518F5">
            <w:pPr>
              <w:spacing w:line="500" w:lineRule="exact"/>
              <w:rPr>
                <w:rFonts w:ascii="仿宋_GB2312" w:hAnsi="宋体" w:eastAsia="仿宋_GB2312" w:cs="Times New Roman"/>
                <w:sz w:val="24"/>
                <w:szCs w:val="24"/>
                <w:highlight w:val="none"/>
              </w:rPr>
            </w:pPr>
            <w:r>
              <w:rPr>
                <w:rFonts w:ascii="仿宋_GB2312" w:hAnsi="宋体" w:eastAsia="仿宋_GB2312" w:cs="仿宋_GB2312"/>
                <w:sz w:val="24"/>
                <w:szCs w:val="24"/>
                <w:highlight w:val="none"/>
                <w:lang w:bidi="ar"/>
              </w:rPr>
              <w:t>耕地</w:t>
            </w:r>
          </w:p>
        </w:tc>
        <w:tc>
          <w:tcPr>
            <w:tcW w:w="4521" w:type="pct"/>
            <w:tcBorders>
              <w:top w:val="single" w:color="auto" w:sz="4" w:space="0"/>
              <w:left w:val="single" w:color="auto" w:sz="4" w:space="0"/>
              <w:bottom w:val="single" w:color="auto" w:sz="4" w:space="0"/>
              <w:right w:val="single" w:color="auto" w:sz="4" w:space="0"/>
            </w:tcBorders>
            <w:shd w:val="clear" w:color="auto" w:fill="auto"/>
            <w:vAlign w:val="center"/>
          </w:tcPr>
          <w:p w14:paraId="10EB4D3B">
            <w:pPr>
              <w:pStyle w:val="53"/>
              <w:ind w:firstLine="480"/>
              <w:rPr>
                <w:rFonts w:cs="Times New Roman"/>
                <w:highlight w:val="none"/>
              </w:rPr>
            </w:pPr>
            <w:r>
              <w:rPr>
                <w:highlight w:val="none"/>
                <w:lang w:bidi="ar"/>
              </w:rPr>
              <w:t>国家对耕地实行特殊保护，严守耕地保护红线，严格控制耕地转为林地、草地、园地等其他农用地，并落实国家耕地保护补偿制度，具体办法和耕地保护补偿实施步骤按照自然资源部有关部门规定执行。</w:t>
            </w:r>
          </w:p>
          <w:p w14:paraId="2DFE808A">
            <w:pPr>
              <w:pStyle w:val="53"/>
              <w:ind w:firstLine="480"/>
              <w:rPr>
                <w:rFonts w:cs="Times New Roman"/>
                <w:highlight w:val="none"/>
              </w:rPr>
            </w:pPr>
            <w:r>
              <w:rPr>
                <w:highlight w:val="none"/>
                <w:lang w:bidi="ar"/>
              </w:rPr>
              <w:t>非农业建设经批准占用耕地的，按照“占多少、垦多少”的原则，由占用耕地的单位负责开垦与所占用耕地的数量相等、质量相当的耕地；没有条件开垦或者开垦的耕地不符合要求的，应当按照青海省的规定缴纳耕地开垦费，专款用于开垦新的耕地。</w:t>
            </w:r>
          </w:p>
          <w:p w14:paraId="1795F924">
            <w:pPr>
              <w:pStyle w:val="53"/>
              <w:ind w:firstLine="480"/>
              <w:rPr>
                <w:rFonts w:cs="Times New Roman"/>
                <w:highlight w:val="none"/>
              </w:rPr>
            </w:pPr>
            <w:r>
              <w:rPr>
                <w:highlight w:val="none"/>
                <w:lang w:bidi="ar"/>
              </w:rPr>
              <w:t>各类非农建设、农业结构调整、造林种树等各类占用耕地行为统一纳入耕地占补平衡管理，优先将适宜恢复为优质耕地的园地、林地、草地等其他农用地以及盐碱地等未利用地、低效闲置建设用地统筹作为补充耕地来源。</w:t>
            </w:r>
          </w:p>
          <w:p w14:paraId="6F8386BC">
            <w:pPr>
              <w:pStyle w:val="53"/>
              <w:ind w:firstLine="480"/>
              <w:rPr>
                <w:rFonts w:cs="Times New Roman"/>
                <w:highlight w:val="none"/>
              </w:rPr>
            </w:pPr>
            <w:r>
              <w:rPr>
                <w:highlight w:val="none"/>
                <w:lang w:bidi="ar"/>
              </w:rPr>
              <w:t>地方各级政府应当严格执行国土空间规划，采取措施，确保国土空间规划确定的本行政区域内耕地总量不减少、质量不降低。耕地总量减少的，由省人民政府责令在规定期限内组织开垦与所减少耕地的数量与质量相当的耕地；耕地质量降低的，由省人民政府责令在规定期限内组织整治。新开垦和整治的耕地由自然资源主管部门会同农业农村主管部门验收。</w:t>
            </w:r>
          </w:p>
          <w:p w14:paraId="23D4BE07">
            <w:pPr>
              <w:pStyle w:val="53"/>
              <w:ind w:firstLine="480"/>
              <w:rPr>
                <w:rFonts w:cs="Times New Roman"/>
                <w:highlight w:val="none"/>
              </w:rPr>
            </w:pPr>
            <w:r>
              <w:rPr>
                <w:highlight w:val="none"/>
                <w:lang w:bidi="ar"/>
              </w:rPr>
              <w:t>非农建设必须节约使用土地，可以利用荒地的，不得占用耕地；可以利用劣地的，不得占用好地。禁止占用耕地建窑、建坟或者擅自在耕地上建房、挖砂、采石、采矿、取土等。</w:t>
            </w:r>
          </w:p>
          <w:p w14:paraId="338AE364">
            <w:pPr>
              <w:pStyle w:val="53"/>
              <w:ind w:firstLine="480"/>
              <w:rPr>
                <w:rFonts w:cs="Times New Roman"/>
                <w:highlight w:val="none"/>
              </w:rPr>
            </w:pPr>
            <w:r>
              <w:rPr>
                <w:highlight w:val="none"/>
                <w:lang w:bidi="ar"/>
              </w:rPr>
              <w:t>禁止任何单位和个人闲置、荒芜耕地。已经办理审批手续的非农业建设占用耕地，一年内不用而又可以耕种并收获的，应当由原耕种该幅耕地的集体或者个人恢复耕种，也可以由用地单位组织耕种；一年以上未动工建设的，应当按照青海省的规定缴纳闲置费；连续两年未使用的，经原批准机关批准，由县级以上人民政府无偿收回用地单位的土地使用权；该幅土地原为农民集体所有的，应当交由原农村集体经济组织恢复耕种。</w:t>
            </w:r>
          </w:p>
          <w:p w14:paraId="72424CCA">
            <w:pPr>
              <w:pStyle w:val="53"/>
              <w:ind w:firstLine="480"/>
              <w:rPr>
                <w:rFonts w:cs="Times New Roman"/>
                <w:highlight w:val="none"/>
              </w:rPr>
            </w:pPr>
            <w:r>
              <w:rPr>
                <w:highlight w:val="none"/>
                <w:lang w:bidi="ar"/>
              </w:rPr>
              <w:t>禁止任何单位和个人在国土空间规划确定的禁止开垦的范围内从事土地开发活动。</w:t>
            </w:r>
          </w:p>
        </w:tc>
      </w:tr>
      <w:tr w14:paraId="30DB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4190D142">
            <w:pPr>
              <w:spacing w:line="500" w:lineRule="exact"/>
              <w:rPr>
                <w:rFonts w:ascii="仿宋_GB2312" w:hAnsi="宋体" w:eastAsia="仿宋_GB2312" w:cs="Times New Roman"/>
                <w:sz w:val="24"/>
                <w:szCs w:val="24"/>
                <w:highlight w:val="none"/>
              </w:rPr>
            </w:pPr>
            <w:r>
              <w:rPr>
                <w:rFonts w:ascii="仿宋_GB2312" w:hAnsi="宋体" w:eastAsia="仿宋_GB2312" w:cs="仿宋_GB2312"/>
                <w:sz w:val="24"/>
                <w:szCs w:val="24"/>
                <w:highlight w:val="none"/>
                <w:lang w:bidi="ar"/>
              </w:rPr>
              <w:t>永久基本农田</w:t>
            </w:r>
          </w:p>
        </w:tc>
        <w:tc>
          <w:tcPr>
            <w:tcW w:w="4521" w:type="pct"/>
            <w:tcBorders>
              <w:top w:val="single" w:color="auto" w:sz="4" w:space="0"/>
              <w:left w:val="single" w:color="auto" w:sz="4" w:space="0"/>
              <w:bottom w:val="single" w:color="auto" w:sz="4" w:space="0"/>
              <w:right w:val="single" w:color="auto" w:sz="4" w:space="0"/>
            </w:tcBorders>
            <w:shd w:val="clear" w:color="auto" w:fill="auto"/>
            <w:vAlign w:val="center"/>
          </w:tcPr>
          <w:p w14:paraId="6BB8A45F">
            <w:pPr>
              <w:pStyle w:val="53"/>
              <w:ind w:firstLine="480"/>
              <w:rPr>
                <w:rFonts w:cs="Times New Roman"/>
                <w:highlight w:val="none"/>
              </w:rPr>
            </w:pPr>
            <w:r>
              <w:rPr>
                <w:highlight w:val="none"/>
                <w:lang w:bidi="ar"/>
              </w:rPr>
              <w:t>永久基本农田不得转为林地、草地、园地等其他农用地及农业设施建设用地。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w:t>
            </w:r>
          </w:p>
          <w:p w14:paraId="2586B0B9">
            <w:pPr>
              <w:pStyle w:val="53"/>
              <w:ind w:firstLine="480"/>
              <w:rPr>
                <w:rFonts w:cs="Times New Roman"/>
                <w:highlight w:val="none"/>
              </w:rPr>
            </w:pPr>
            <w:r>
              <w:rPr>
                <w:highlight w:val="none"/>
                <w:lang w:bidi="ar"/>
              </w:rPr>
              <w:t>严格永久基本农田占用与补划。永久基本农田经依法划定后，任何单位和个人不得擅自占用或者改变其用途。国家能源、交通、水利、军事设施等重点建设项目选址确实难以避让永久基本农田，涉及农用地转用或者土地征收的，必须经国务院批准。</w:t>
            </w:r>
          </w:p>
          <w:p w14:paraId="3B366560">
            <w:pPr>
              <w:pStyle w:val="53"/>
              <w:ind w:firstLine="480"/>
              <w:rPr>
                <w:rFonts w:cs="Times New Roman"/>
                <w:highlight w:val="none"/>
              </w:rPr>
            </w:pPr>
            <w:r>
              <w:rPr>
                <w:highlight w:val="none"/>
                <w:lang w:bidi="ar"/>
              </w:rPr>
              <w:t>非农建设依法占用永久基本农田的，建设单位应当按照青海省的有关规定，将所占用耕地耕作层的土壤用于新开垦的耕地、劣质地或者其他耕地的土壤改良。</w:t>
            </w:r>
          </w:p>
        </w:tc>
      </w:tr>
    </w:tbl>
    <w:p w14:paraId="7F698097">
      <w:pPr>
        <w:pStyle w:val="60"/>
        <w:ind w:left="0" w:firstLine="640" w:firstLineChars="200"/>
        <w:rPr>
          <w:highlight w:val="none"/>
        </w:rPr>
      </w:pPr>
      <w:bookmarkStart w:id="65" w:name="_Toc198237303"/>
      <w:r>
        <w:rPr>
          <w:rFonts w:hint="eastAsia"/>
          <w:highlight w:val="none"/>
        </w:rPr>
        <w:t>严守生态保护红线</w:t>
      </w:r>
      <w:bookmarkEnd w:id="65"/>
    </w:p>
    <w:p w14:paraId="1D3DD8CE">
      <w:pPr>
        <w:pStyle w:val="15"/>
        <w:ind w:firstLine="640"/>
        <w:rPr>
          <w:rFonts w:hAnsi="仿宋_GB2312" w:cs="仿宋_GB2312"/>
          <w:szCs w:val="24"/>
          <w:highlight w:val="none"/>
          <w:lang w:bidi="ar"/>
        </w:rPr>
      </w:pPr>
      <w:r>
        <w:rPr>
          <w:rFonts w:hint="eastAsia" w:hAnsi="仿宋_GB2312" w:cs="仿宋_GB2312"/>
          <w:szCs w:val="24"/>
          <w:highlight w:val="none"/>
          <w:lang w:bidi="ar"/>
        </w:rPr>
        <w:t>按照“生态优先，应划尽划”原则，将自然保护区、水源涵养、生物多样性维护、自然公园、其他生态系统服务功能重要性空间划入生态保护红线。</w:t>
      </w:r>
      <w:r>
        <w:rPr>
          <w:rFonts w:hint="eastAsia" w:hAnsi="仿宋_GB2312" w:cs="仿宋_GB2312"/>
          <w:szCs w:val="24"/>
          <w:highlight w:val="none"/>
          <w:u w:val="single"/>
          <w:lang w:bidi="ar"/>
        </w:rPr>
        <w:t xml:space="preserve">至 </w:t>
      </w:r>
      <w:r>
        <w:rPr>
          <w:rFonts w:hAnsi="仿宋_GB2312" w:cs="仿宋_GB2312"/>
          <w:szCs w:val="24"/>
          <w:highlight w:val="none"/>
          <w:u w:val="single"/>
          <w:lang w:bidi="ar"/>
        </w:rPr>
        <w:t xml:space="preserve">2035 </w:t>
      </w:r>
      <w:r>
        <w:rPr>
          <w:rFonts w:hint="eastAsia" w:hAnsi="仿宋_GB2312" w:cs="仿宋_GB2312"/>
          <w:szCs w:val="24"/>
          <w:highlight w:val="none"/>
          <w:u w:val="single"/>
          <w:lang w:bidi="ar"/>
        </w:rPr>
        <w:t>年，江西沟镇生态保护红线面积不低于116.899平方千米，主要分布在镇域北部青海湖地区。</w:t>
      </w:r>
      <w:r>
        <w:rPr>
          <w:rFonts w:hint="eastAsia" w:hAnsi="仿宋_GB2312" w:cs="仿宋_GB2312"/>
          <w:szCs w:val="24"/>
          <w:highlight w:val="none"/>
          <w:lang w:bidi="ar"/>
        </w:rPr>
        <w:t>生态保护红线一经划定，未经批准，严禁擅自调整。严格控制人为活动尤其是开发建设对生态系统的破坏和扰动。生态保护红线内自然保护地核心保护区外，禁止开发性、生产性建设活动，在符合法律法规的前提下，仅允许合规的对生态功能不造成破坏的有限人为活动。生态保护红线内自然保护区、风景名胜区、饮用水水源保护区等区域的管控，依照法律法规执行。</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7364"/>
      </w:tblGrid>
      <w:tr w14:paraId="0624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vAlign w:val="center"/>
          </w:tcPr>
          <w:p w14:paraId="4502592E">
            <w:pPr>
              <w:pStyle w:val="56"/>
              <w:rPr>
                <w:highlight w:val="none"/>
              </w:rPr>
            </w:pPr>
            <w:r>
              <w:rPr>
                <w:rFonts w:hint="eastAsia"/>
                <w:highlight w:val="none"/>
              </w:rPr>
              <w:t>专栏</w:t>
            </w:r>
            <w:r>
              <w:rPr>
                <w:highlight w:val="none"/>
              </w:rPr>
              <w:t xml:space="preserve"> 3</w:t>
            </w:r>
            <w:r>
              <w:rPr>
                <w:rFonts w:hint="eastAsia"/>
                <w:highlight w:val="none"/>
              </w:rPr>
              <w:t>生态保护红线管理要求</w:t>
            </w:r>
          </w:p>
        </w:tc>
      </w:tr>
      <w:tr w14:paraId="2ACB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Align w:val="center"/>
          </w:tcPr>
          <w:p w14:paraId="32426C0F">
            <w:pPr>
              <w:spacing w:line="500" w:lineRule="exact"/>
              <w:rPr>
                <w:highlight w:val="none"/>
              </w:rPr>
            </w:pPr>
            <w:r>
              <w:rPr>
                <w:rFonts w:hint="eastAsia" w:ascii="仿宋_GB2312" w:hAnsi="宋体" w:eastAsia="仿宋_GB2312" w:cs="仿宋_GB2312"/>
                <w:sz w:val="24"/>
                <w:szCs w:val="24"/>
                <w:highlight w:val="none"/>
                <w:lang w:bidi="ar"/>
              </w:rPr>
              <w:t>严格规范人为活动</w:t>
            </w:r>
          </w:p>
        </w:tc>
        <w:tc>
          <w:tcPr>
            <w:tcW w:w="7364" w:type="dxa"/>
            <w:vAlign w:val="center"/>
          </w:tcPr>
          <w:p w14:paraId="393841E2">
            <w:pPr>
              <w:pStyle w:val="53"/>
              <w:ind w:firstLine="480"/>
              <w:rPr>
                <w:highlight w:val="none"/>
                <w:lang w:bidi="ar"/>
              </w:rPr>
            </w:pPr>
            <w:r>
              <w:rPr>
                <w:rFonts w:hint="eastAsia"/>
                <w:highlight w:val="none"/>
                <w:lang w:bidi="ar"/>
              </w:rPr>
              <w:t>①</w:t>
            </w:r>
            <w:r>
              <w:rPr>
                <w:highlight w:val="none"/>
                <w:lang w:bidi="ar"/>
              </w:rPr>
              <w:t>生态保护红线内，自然保护地核心保护区原则上禁止人为活动。</w:t>
            </w:r>
          </w:p>
          <w:p w14:paraId="3E444B0D">
            <w:pPr>
              <w:pStyle w:val="53"/>
              <w:ind w:firstLine="480"/>
              <w:rPr>
                <w:highlight w:val="none"/>
                <w:lang w:bidi="ar"/>
              </w:rPr>
            </w:pPr>
            <w:r>
              <w:rPr>
                <w:rFonts w:hint="eastAsia"/>
                <w:highlight w:val="none"/>
                <w:lang w:bidi="ar"/>
              </w:rPr>
              <w:t>②</w:t>
            </w:r>
            <w:r>
              <w:rPr>
                <w:highlight w:val="none"/>
                <w:lang w:bidi="ar"/>
              </w:rPr>
              <w:t>生态保护红线内，自然保护地核心保护区外，严格禁止开发性、</w:t>
            </w:r>
            <w:r>
              <w:rPr>
                <w:rFonts w:hint="eastAsia"/>
                <w:highlight w:val="none"/>
                <w:lang w:bidi="ar"/>
              </w:rPr>
              <w:t>生产性建设活动，在符合法律法规的前提下，仅允许对生态功能不造成破坏的有限人为活动（不视为占用生态保护红线）。</w:t>
            </w:r>
          </w:p>
          <w:p w14:paraId="5D00044B">
            <w:pPr>
              <w:pStyle w:val="53"/>
              <w:ind w:firstLine="480"/>
              <w:rPr>
                <w:highlight w:val="none"/>
                <w:lang w:bidi="ar"/>
              </w:rPr>
            </w:pPr>
            <w:r>
              <w:rPr>
                <w:rFonts w:hint="eastAsia"/>
                <w:highlight w:val="none"/>
                <w:lang w:bidi="ar"/>
              </w:rPr>
              <w:t>——管护巡护、保护执法、科学研究、调查监测、测绘导航、防灾减灾救灾、军事国防、疫情防控等活动及相关的必要设施修筑。</w:t>
            </w:r>
          </w:p>
          <w:p w14:paraId="64B19187">
            <w:pPr>
              <w:pStyle w:val="53"/>
              <w:ind w:firstLine="480"/>
              <w:rPr>
                <w:highlight w:val="none"/>
                <w:lang w:bidi="ar"/>
              </w:rPr>
            </w:pPr>
            <w:r>
              <w:rPr>
                <w:rFonts w:hint="eastAsia"/>
                <w:highlight w:val="none"/>
                <w:lang w:bidi="ar"/>
              </w:rPr>
              <w:t>——原住居民和其他合法权益主体，允许在不扩大现有建设用地、耕地、水产养殖规模和放牧强度（符合草畜平衡管理规定）的前提下，开展种植、放牧、捕捞、养殖等活动，修筑生产生活设施。</w:t>
            </w:r>
          </w:p>
          <w:p w14:paraId="0B28D18C">
            <w:pPr>
              <w:pStyle w:val="53"/>
              <w:ind w:firstLine="480"/>
              <w:rPr>
                <w:highlight w:val="none"/>
                <w:lang w:bidi="ar"/>
              </w:rPr>
            </w:pPr>
            <w:r>
              <w:rPr>
                <w:rFonts w:hint="eastAsia"/>
                <w:highlight w:val="none"/>
                <w:lang w:bidi="ar"/>
              </w:rPr>
              <w:t>——经依法批准的考古调查发掘、古生物化石调查发掘、标本采集和文物保护活动。</w:t>
            </w:r>
          </w:p>
          <w:p w14:paraId="37FB91BF">
            <w:pPr>
              <w:pStyle w:val="53"/>
              <w:ind w:firstLine="480"/>
              <w:rPr>
                <w:highlight w:val="none"/>
                <w:lang w:bidi="ar"/>
              </w:rPr>
            </w:pPr>
            <w:r>
              <w:rPr>
                <w:rFonts w:hint="eastAsia"/>
                <w:highlight w:val="none"/>
                <w:lang w:bidi="ar"/>
              </w:rPr>
              <w:t>——按规定对人工商品林进行抚育采伐，或以提升森林质量、优化栖息地、建设生物防火隔离带等为目的的树种更新，依法开展的林业采伐经营。</w:t>
            </w:r>
          </w:p>
          <w:p w14:paraId="49131478">
            <w:pPr>
              <w:pStyle w:val="53"/>
              <w:ind w:firstLine="480"/>
              <w:rPr>
                <w:highlight w:val="none"/>
                <w:lang w:bidi="ar"/>
              </w:rPr>
            </w:pPr>
            <w:r>
              <w:rPr>
                <w:rFonts w:hint="eastAsia"/>
                <w:highlight w:val="none"/>
                <w:lang w:bidi="ar"/>
              </w:rPr>
              <w:t>——不破坏生态功能的适度参观旅游、科普宣教及符合相关规划的配套性服务设施和相关的必要公共设施建设及维护。</w:t>
            </w:r>
          </w:p>
          <w:p w14:paraId="7C050F64">
            <w:pPr>
              <w:pStyle w:val="53"/>
              <w:ind w:firstLine="480"/>
              <w:rPr>
                <w:highlight w:val="none"/>
                <w:lang w:bidi="ar"/>
              </w:rPr>
            </w:pPr>
            <w:r>
              <w:rPr>
                <w:rFonts w:hint="eastAsia"/>
                <w:highlight w:val="none"/>
                <w:lang w:bidi="ar"/>
              </w:rPr>
              <w:t>——必须且无法避让、符合县级以上国土空间规划的线性基础设施、通讯和防洪、供水设施建设和船舶航行、航道疏浚清淤等活动；已有的合法水利、交通运输等设施运行维护改造。</w:t>
            </w:r>
          </w:p>
          <w:p w14:paraId="692C5A53">
            <w:pPr>
              <w:pStyle w:val="53"/>
              <w:ind w:firstLine="480"/>
              <w:rPr>
                <w:highlight w:val="none"/>
                <w:lang w:bidi="ar"/>
              </w:rPr>
            </w:pPr>
            <w:r>
              <w:rPr>
                <w:rFonts w:hint="eastAsia"/>
                <w:highlight w:val="none"/>
                <w:lang w:bidi="ar"/>
              </w:rPr>
              <w:t>——地质调查与矿产资源勘查开采。包括：基础地质调查和战略性矿产资源远景调查等公益性工作；铀矿勘查开采活动，可办理矿业权登记；已依法设立的油气探矿权继续勘查活动，可办理探矿权延续、变更（不含扩大勘查区块范围）、保留、注销，当发现可供开采油气资源并探明储量时，可将开采拟占用的地表范围依照国家相关规定调出生态保护红线；已依法设立的油气采矿权不扩大用地范围，继续开采，可办理采矿权延续、变更（不含扩大矿区范围）、注销；已依法设立的矿泉水和地热采矿权，在不超出已经核定的生产规模、不新增生产设施的前提下继续开采，可办理采矿权延续、变更（不含扩大矿区范围）、注销；已依法设立和新立铬、铜、镍、锂、钴、锆、钾盐、（中）重稀土矿等战略性矿产探矿权开展勘查活动，可办理探矿权登记，因国家战略需要开展开采活动的，可办理采矿权登记。上述勘查开采活动，应落实减缓生态环境影响措施，严格执行绿色勘查、开采及矿山环境生态修复相关要求。</w:t>
            </w:r>
          </w:p>
          <w:p w14:paraId="65920AAD">
            <w:pPr>
              <w:pStyle w:val="53"/>
              <w:ind w:firstLine="480"/>
              <w:rPr>
                <w:highlight w:val="none"/>
                <w:lang w:bidi="ar"/>
              </w:rPr>
            </w:pPr>
            <w:r>
              <w:rPr>
                <w:rFonts w:hint="eastAsia"/>
                <w:highlight w:val="none"/>
                <w:lang w:bidi="ar"/>
              </w:rPr>
              <w:t>——依据县级以上国土空间规划和生态保护修复专项规划开展的生态修复。</w:t>
            </w:r>
          </w:p>
          <w:p w14:paraId="2EB07799">
            <w:pPr>
              <w:pStyle w:val="53"/>
              <w:ind w:firstLine="480"/>
              <w:rPr>
                <w:highlight w:val="none"/>
                <w:lang w:bidi="ar"/>
              </w:rPr>
            </w:pPr>
            <w:r>
              <w:rPr>
                <w:rFonts w:hint="eastAsia"/>
                <w:highlight w:val="none"/>
                <w:lang w:bidi="ar"/>
              </w:rPr>
              <w:t>——法律法规规定允许的其他人为活动。</w:t>
            </w:r>
          </w:p>
          <w:p w14:paraId="42E8FFE0">
            <w:pPr>
              <w:pStyle w:val="53"/>
              <w:ind w:firstLine="480"/>
              <w:rPr>
                <w:highlight w:val="none"/>
                <w:lang w:bidi="ar"/>
              </w:rPr>
            </w:pPr>
            <w:r>
              <w:rPr>
                <w:rFonts w:hint="eastAsia"/>
                <w:highlight w:val="none"/>
                <w:lang w:bidi="ar"/>
              </w:rPr>
              <w:t>上述有限人为活动，涉及新增建设用地的，在报批农用地转用、土地征收时，附省人民政府出具符合生态保护红线内允许有限人为活动的认定意见；不涉及新增建设用地的，按有关规定进行管理。上述活动涉及自然保护地的，应征求林业和草原主管部门或自然保护地管理机构意见。</w:t>
            </w:r>
          </w:p>
          <w:p w14:paraId="7FACFF4D">
            <w:pPr>
              <w:pStyle w:val="53"/>
              <w:ind w:firstLine="480"/>
              <w:rPr>
                <w:highlight w:val="none"/>
                <w:lang w:bidi="ar"/>
              </w:rPr>
            </w:pPr>
            <w:r>
              <w:rPr>
                <w:rFonts w:hint="eastAsia"/>
                <w:highlight w:val="none"/>
                <w:lang w:bidi="ar"/>
              </w:rPr>
              <w:t>生态保护红线内自然保护区、风景名胜区、饮用水水源保护区等区域，依照法律法规执行。</w:t>
            </w:r>
          </w:p>
        </w:tc>
      </w:tr>
      <w:tr w14:paraId="4F58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Align w:val="center"/>
          </w:tcPr>
          <w:p w14:paraId="4D8000E4">
            <w:pPr>
              <w:spacing w:line="500" w:lineRule="exact"/>
              <w:rPr>
                <w:rFonts w:ascii="仿宋_GB2312" w:hAnsi="宋体" w:eastAsia="仿宋_GB2312" w:cs="仿宋_GB2312"/>
                <w:sz w:val="24"/>
                <w:szCs w:val="24"/>
                <w:highlight w:val="none"/>
                <w:lang w:bidi="ar"/>
              </w:rPr>
            </w:pPr>
            <w:r>
              <w:rPr>
                <w:rFonts w:hint="eastAsia" w:ascii="仿宋_GB2312" w:hAnsi="宋体" w:eastAsia="仿宋_GB2312" w:cs="仿宋_GB2312"/>
                <w:sz w:val="24"/>
                <w:szCs w:val="24"/>
                <w:highlight w:val="none"/>
                <w:lang w:bidi="ar"/>
              </w:rPr>
              <w:t>严格占用生态保护红线审批</w:t>
            </w:r>
          </w:p>
        </w:tc>
        <w:tc>
          <w:tcPr>
            <w:tcW w:w="7364" w:type="dxa"/>
            <w:vAlign w:val="center"/>
          </w:tcPr>
          <w:p w14:paraId="42AF0232">
            <w:pPr>
              <w:pStyle w:val="53"/>
              <w:ind w:firstLine="480"/>
              <w:rPr>
                <w:highlight w:val="none"/>
                <w:lang w:bidi="ar"/>
              </w:rPr>
            </w:pPr>
            <w:r>
              <w:rPr>
                <w:rFonts w:hint="eastAsia"/>
                <w:highlight w:val="none"/>
                <w:lang w:bidi="ar"/>
              </w:rPr>
              <w:t>除允许的有限人为活动之外，确需占用生态保护红线的国家重大项目，按规定由自然资源部进行用地预审后，报国务院批准。报批农用地转用、土地征收时，附省人民政府基于国土空间规划“一张图”和用途管制要求的不可避让论证意见，说明占用生态保护红线的必要性、节约集约和减缓生态环境影响措施。</w:t>
            </w:r>
          </w:p>
          <w:p w14:paraId="4EF40A0F">
            <w:pPr>
              <w:pStyle w:val="53"/>
              <w:ind w:firstLine="480"/>
              <w:rPr>
                <w:highlight w:val="none"/>
                <w:lang w:bidi="ar"/>
              </w:rPr>
            </w:pPr>
            <w:r>
              <w:rPr>
                <w:rFonts w:hint="eastAsia"/>
                <w:highlight w:val="none"/>
                <w:lang w:bidi="ar"/>
              </w:rPr>
              <w:t>①</w:t>
            </w:r>
            <w:r>
              <w:rPr>
                <w:highlight w:val="none"/>
                <w:lang w:bidi="ar"/>
              </w:rPr>
              <w:t>占用生态保护红线的国家重大项目，应严格落实生态环境分区管控要求，依法开展环境影响评价。</w:t>
            </w:r>
          </w:p>
          <w:p w14:paraId="0332CFBF">
            <w:pPr>
              <w:pStyle w:val="53"/>
              <w:ind w:firstLine="480"/>
              <w:rPr>
                <w:highlight w:val="none"/>
                <w:lang w:bidi="ar"/>
              </w:rPr>
            </w:pPr>
            <w:r>
              <w:rPr>
                <w:rFonts w:hint="eastAsia"/>
                <w:highlight w:val="none"/>
                <w:lang w:bidi="ar"/>
              </w:rPr>
              <w:t>②</w:t>
            </w:r>
            <w:r>
              <w:rPr>
                <w:highlight w:val="none"/>
                <w:lang w:bidi="ar"/>
              </w:rPr>
              <w:t>生态保护红线内允许的有限人为活动和国家重大项目占用生态保护红线涉及临时用地的，按照自然资源部关于规范临时用地管理的有关要求，参照临时占用永久基本农田规定办理，严格落实恢复责任。</w:t>
            </w:r>
          </w:p>
        </w:tc>
      </w:tr>
      <w:tr w14:paraId="2F0A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Align w:val="center"/>
          </w:tcPr>
          <w:p w14:paraId="143C2822">
            <w:pPr>
              <w:spacing w:line="500" w:lineRule="exact"/>
              <w:rPr>
                <w:rFonts w:ascii="仿宋_GB2312" w:hAnsi="宋体" w:eastAsia="仿宋_GB2312" w:cs="仿宋_GB2312"/>
                <w:sz w:val="24"/>
                <w:szCs w:val="24"/>
                <w:highlight w:val="none"/>
                <w:lang w:bidi="ar"/>
              </w:rPr>
            </w:pPr>
            <w:r>
              <w:rPr>
                <w:rFonts w:hint="eastAsia" w:ascii="仿宋_GB2312" w:hAnsi="宋体" w:eastAsia="仿宋_GB2312" w:cs="仿宋_GB2312"/>
                <w:sz w:val="24"/>
                <w:szCs w:val="24"/>
                <w:highlight w:val="none"/>
                <w:lang w:bidi="ar"/>
              </w:rPr>
              <w:t>稳妥有序处理历史遗留问题</w:t>
            </w:r>
          </w:p>
        </w:tc>
        <w:tc>
          <w:tcPr>
            <w:tcW w:w="7364" w:type="dxa"/>
            <w:vAlign w:val="center"/>
          </w:tcPr>
          <w:p w14:paraId="62DC5267">
            <w:pPr>
              <w:pStyle w:val="53"/>
              <w:ind w:firstLine="480"/>
              <w:rPr>
                <w:highlight w:val="none"/>
                <w:lang w:bidi="ar"/>
              </w:rPr>
            </w:pPr>
            <w:r>
              <w:rPr>
                <w:rFonts w:hint="eastAsia"/>
                <w:highlight w:val="none"/>
                <w:lang w:bidi="ar"/>
              </w:rPr>
              <w:t>①</w:t>
            </w:r>
            <w:r>
              <w:rPr>
                <w:highlight w:val="none"/>
                <w:lang w:bidi="ar"/>
              </w:rPr>
              <w:t>生态保护红线经国务院批准后，对需逐步退出的矿业权等，按照尊重历史、实事求是的原则，结合实际制定退出计划，明确时序安排、补偿安置、生态修复等要求，确保生态安全和社会稳定。</w:t>
            </w:r>
          </w:p>
          <w:p w14:paraId="39522025">
            <w:pPr>
              <w:pStyle w:val="53"/>
              <w:ind w:firstLine="480"/>
              <w:rPr>
                <w:highlight w:val="none"/>
                <w:lang w:bidi="ar"/>
              </w:rPr>
            </w:pPr>
            <w:r>
              <w:rPr>
                <w:rFonts w:hint="eastAsia"/>
                <w:highlight w:val="none"/>
                <w:lang w:bidi="ar"/>
              </w:rPr>
              <w:t>②</w:t>
            </w:r>
            <w:r>
              <w:rPr>
                <w:highlight w:val="none"/>
                <w:lang w:bidi="ar"/>
              </w:rPr>
              <w:t>鼓励有条件的地方通过租赁、转换、购买等方式，对人工商品林实行统一管护，并将重要生态区位的人工商品林按规定逐步转为公益</w:t>
            </w:r>
            <w:r>
              <w:rPr>
                <w:rFonts w:hint="eastAsia"/>
                <w:highlight w:val="none"/>
                <w:lang w:bidi="ar"/>
              </w:rPr>
              <w:t>林。</w:t>
            </w:r>
          </w:p>
          <w:p w14:paraId="1EA80668">
            <w:pPr>
              <w:pStyle w:val="53"/>
              <w:ind w:firstLine="480"/>
              <w:rPr>
                <w:highlight w:val="none"/>
                <w:lang w:bidi="ar"/>
              </w:rPr>
            </w:pPr>
            <w:r>
              <w:rPr>
                <w:rFonts w:hint="eastAsia"/>
                <w:highlight w:val="none"/>
                <w:lang w:bidi="ar"/>
              </w:rPr>
              <w:t>③</w:t>
            </w:r>
            <w:r>
              <w:rPr>
                <w:highlight w:val="none"/>
                <w:lang w:bidi="ar"/>
              </w:rPr>
              <w:t>零星分布的已有水电、风电、光伏设施，按照相关法律法规规定进行管理，严禁扩大现有规模与范围，项目到期后由建设单位负责做好生态修复。</w:t>
            </w:r>
          </w:p>
        </w:tc>
      </w:tr>
    </w:tbl>
    <w:p w14:paraId="09A4078F">
      <w:pPr>
        <w:pStyle w:val="60"/>
        <w:ind w:left="0" w:firstLine="640" w:firstLineChars="200"/>
        <w:rPr>
          <w:highlight w:val="none"/>
        </w:rPr>
      </w:pPr>
      <w:bookmarkStart w:id="66" w:name="_Toc198237304"/>
      <w:r>
        <w:rPr>
          <w:rFonts w:hint="eastAsia"/>
          <w:highlight w:val="none"/>
        </w:rPr>
        <w:t>科学划定村庄建设面积</w:t>
      </w:r>
      <w:bookmarkEnd w:id="66"/>
    </w:p>
    <w:p w14:paraId="74C29D5D">
      <w:pPr>
        <w:pStyle w:val="15"/>
        <w:ind w:firstLine="640"/>
        <w:rPr>
          <w:rFonts w:hAnsi="仿宋_GB2312" w:cs="仿宋_GB2312"/>
          <w:szCs w:val="24"/>
          <w:highlight w:val="none"/>
          <w:lang w:bidi="ar"/>
        </w:rPr>
      </w:pPr>
      <w:r>
        <w:rPr>
          <w:rFonts w:hint="eastAsia" w:hAnsi="仿宋_GB2312" w:cs="仿宋_GB2312"/>
          <w:szCs w:val="24"/>
          <w:highlight w:val="none"/>
          <w:lang w:bidi="ar"/>
        </w:rPr>
        <w:t>结合村庄发展布局，到2035年，江西沟镇村庄建设边界面积控制在</w:t>
      </w:r>
      <w:r>
        <w:rPr>
          <w:rFonts w:hint="eastAsia" w:hAnsi="仿宋_GB2312" w:cs="仿宋_GB2312"/>
          <w:szCs w:val="24"/>
          <w:highlight w:val="none"/>
          <w:lang w:val="en-US" w:eastAsia="zh-CN" w:bidi="ar"/>
        </w:rPr>
        <w:t>234.13</w:t>
      </w:r>
      <w:r>
        <w:rPr>
          <w:rFonts w:hint="eastAsia" w:hAnsi="仿宋_GB2312" w:cs="仿宋_GB2312"/>
          <w:szCs w:val="24"/>
          <w:highlight w:val="none"/>
          <w:lang w:bidi="ar"/>
        </w:rPr>
        <w:t>公顷。</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81C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center"/>
          </w:tcPr>
          <w:p w14:paraId="67BA109F">
            <w:pPr>
              <w:pStyle w:val="56"/>
              <w:rPr>
                <w:rFonts w:cs="仿宋_GB2312"/>
                <w:highlight w:val="none"/>
                <w:lang w:bidi="ar"/>
              </w:rPr>
            </w:pPr>
            <w:r>
              <w:rPr>
                <w:rFonts w:hint="eastAsia"/>
                <w:highlight w:val="none"/>
              </w:rPr>
              <w:t xml:space="preserve">专栏 </w:t>
            </w:r>
            <w:r>
              <w:rPr>
                <w:highlight w:val="none"/>
              </w:rPr>
              <w:t>4</w:t>
            </w:r>
            <w:r>
              <w:rPr>
                <w:rFonts w:hint="eastAsia"/>
                <w:highlight w:val="none"/>
              </w:rPr>
              <w:t>村庄建设用地控制线范围内管理原则</w:t>
            </w:r>
          </w:p>
        </w:tc>
      </w:tr>
      <w:tr w14:paraId="363C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center"/>
          </w:tcPr>
          <w:p w14:paraId="2D8BCF40">
            <w:pPr>
              <w:pStyle w:val="53"/>
              <w:ind w:firstLine="480"/>
              <w:rPr>
                <w:highlight w:val="none"/>
                <w:lang w:bidi="ar"/>
              </w:rPr>
            </w:pPr>
            <w:r>
              <w:rPr>
                <w:rFonts w:hint="eastAsia"/>
                <w:highlight w:val="none"/>
                <w:lang w:bidi="ar"/>
              </w:rPr>
              <w:t>（1）乡（镇）村兴办企业需要使用土地的，应当持有关批准文件，向县级以上地方人民政府土地行政主管部门提出申请，按照省、自治区、直辖市规定的批准权限，由县级以上人民政府批准；其中，涉及占用农用</w:t>
            </w:r>
            <w:r>
              <w:rPr>
                <w:rFonts w:hint="eastAsia"/>
                <w:highlight w:val="none"/>
                <w:lang w:eastAsia="zh-CN" w:bidi="ar"/>
              </w:rPr>
              <w:t>地的</w:t>
            </w:r>
            <w:r>
              <w:rPr>
                <w:rFonts w:hint="eastAsia"/>
                <w:highlight w:val="none"/>
                <w:lang w:bidi="ar"/>
              </w:rPr>
              <w:t>，依法办理农用地转用审批手续。</w:t>
            </w:r>
          </w:p>
          <w:p w14:paraId="679A8B36">
            <w:pPr>
              <w:pStyle w:val="53"/>
              <w:ind w:firstLine="480"/>
              <w:rPr>
                <w:highlight w:val="none"/>
                <w:lang w:bidi="ar"/>
              </w:rPr>
            </w:pPr>
            <w:r>
              <w:rPr>
                <w:rFonts w:hint="eastAsia"/>
                <w:highlight w:val="none"/>
                <w:lang w:bidi="ar"/>
              </w:rPr>
              <w:t>（2）乡（镇）村公共设施、公益事业</w:t>
            </w:r>
            <w:r>
              <w:rPr>
                <w:rFonts w:hint="eastAsia"/>
                <w:highlight w:val="none"/>
                <w:lang w:eastAsia="zh-CN" w:bidi="ar"/>
              </w:rPr>
              <w:t>建设</w:t>
            </w:r>
            <w:r>
              <w:rPr>
                <w:rFonts w:hint="eastAsia"/>
                <w:highlight w:val="none"/>
                <w:lang w:bidi="ar"/>
              </w:rPr>
              <w:t>，需要使用土地的，先经乡（镇）人民政府审核，其他审批程序同于乡（镇）村兴办企业用地。</w:t>
            </w:r>
          </w:p>
          <w:p w14:paraId="2EDB82F7">
            <w:pPr>
              <w:pStyle w:val="53"/>
              <w:ind w:firstLine="480"/>
              <w:rPr>
                <w:rFonts w:cs="仿宋_GB2312"/>
                <w:szCs w:val="24"/>
                <w:highlight w:val="none"/>
                <w:lang w:bidi="ar"/>
              </w:rPr>
            </w:pPr>
            <w:r>
              <w:rPr>
                <w:rFonts w:hint="eastAsia"/>
                <w:highlight w:val="none"/>
                <w:lang w:bidi="ar"/>
              </w:rPr>
              <w:t>（3）农村村民住宅用地，经乡（镇）人民政府审核，由县级人民政府批准；其中，涉及占用农用地的，依法办理农用地转用审批手续。</w:t>
            </w:r>
          </w:p>
        </w:tc>
      </w:tr>
    </w:tbl>
    <w:p w14:paraId="615355CC">
      <w:pPr>
        <w:pStyle w:val="60"/>
        <w:ind w:left="0" w:firstLine="640" w:firstLineChars="200"/>
        <w:rPr>
          <w:highlight w:val="none"/>
        </w:rPr>
      </w:pPr>
      <w:bookmarkStart w:id="67" w:name="_Toc198237305"/>
      <w:r>
        <w:rPr>
          <w:rFonts w:hint="eastAsia"/>
          <w:highlight w:val="none"/>
        </w:rPr>
        <w:t>严格落实城镇开发边界</w:t>
      </w:r>
      <w:bookmarkEnd w:id="67"/>
    </w:p>
    <w:p w14:paraId="09ACC43C">
      <w:pPr>
        <w:pStyle w:val="15"/>
        <w:ind w:firstLine="640"/>
        <w:rPr>
          <w:rFonts w:hAnsi="仿宋_GB2312" w:cs="仿宋_GB2312"/>
          <w:szCs w:val="24"/>
          <w:highlight w:val="none"/>
          <w:lang w:bidi="ar"/>
        </w:rPr>
      </w:pPr>
      <w:r>
        <w:rPr>
          <w:rFonts w:hint="eastAsia" w:hAnsi="仿宋_GB2312" w:cs="仿宋_GB2312"/>
          <w:szCs w:val="24"/>
          <w:highlight w:val="none"/>
          <w:lang w:bidi="ar"/>
        </w:rPr>
        <w:t>落实上位规划划定的城镇开发边界，保障项目划入城镇开发边界，明确布局、规模和管控要求。严格按照面积上限要求，</w:t>
      </w:r>
      <w:r>
        <w:rPr>
          <w:rFonts w:hint="eastAsia" w:hAnsi="仿宋_GB2312" w:cs="仿宋_GB2312"/>
          <w:szCs w:val="24"/>
          <w:highlight w:val="none"/>
          <w:u w:val="single"/>
          <w:lang w:bidi="ar"/>
        </w:rPr>
        <w:t>到2035年，江西沟镇城镇开发边界面积控制在2020年现状城镇建设用地规模的1.04倍，合理落实城镇开发边界48.36公顷。</w:t>
      </w:r>
      <w:r>
        <w:rPr>
          <w:rFonts w:hint="eastAsia" w:hAnsi="仿宋_GB2312" w:cs="仿宋_GB2312"/>
          <w:szCs w:val="24"/>
          <w:highlight w:val="none"/>
          <w:lang w:bidi="ar"/>
        </w:rPr>
        <w:t>均为城镇集中建设区，无弹性发展区和特别用途区。</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464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5000" w:type="pct"/>
          </w:tcPr>
          <w:p w14:paraId="5F171A9C">
            <w:pPr>
              <w:pStyle w:val="56"/>
              <w:rPr>
                <w:b/>
                <w:sz w:val="21"/>
                <w:szCs w:val="28"/>
                <w:highlight w:val="none"/>
              </w:rPr>
            </w:pPr>
            <w:r>
              <w:rPr>
                <w:rFonts w:hint="eastAsia"/>
                <w:highlight w:val="none"/>
              </w:rPr>
              <w:t>专栏5 城镇开发边界管理规则</w:t>
            </w:r>
          </w:p>
        </w:tc>
      </w:tr>
      <w:tr w14:paraId="36DF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5000" w:type="pct"/>
          </w:tcPr>
          <w:p w14:paraId="74AE2C99">
            <w:pPr>
              <w:pStyle w:val="53"/>
              <w:ind w:firstLine="480"/>
              <w:rPr>
                <w:highlight w:val="none"/>
                <w:lang w:bidi="ar"/>
              </w:rPr>
            </w:pPr>
            <w:bookmarkStart w:id="68" w:name="_Hlk133223133"/>
            <w:r>
              <w:rPr>
                <w:rFonts w:hint="eastAsia"/>
                <w:highlight w:val="none"/>
                <w:lang w:bidi="ar"/>
              </w:rPr>
              <w:t>城镇开发边界内，各类建设活动严格实行用途管制，按照规划用途依法办理有关手续，并加强与水体保护线、绿地系统线、基础设施建设控制线、历史文化保护线等协同管控。严格城镇开发边界外的空间准入，原则上除特殊用地外，只能用于农业生产、乡村振兴、生态保护和交通等基础设施建设，不得进行城镇集中建设，不得设立各类开发区。</w:t>
            </w:r>
          </w:p>
          <w:p w14:paraId="58F1EA62">
            <w:pPr>
              <w:pStyle w:val="53"/>
              <w:ind w:firstLine="480"/>
              <w:rPr>
                <w:highlight w:val="none"/>
                <w:lang w:bidi="ar"/>
              </w:rPr>
            </w:pPr>
            <w:r>
              <w:rPr>
                <w:rFonts w:hint="eastAsia"/>
                <w:highlight w:val="none"/>
                <w:lang w:bidi="ar"/>
              </w:rPr>
              <w:t>①集中建设区用于布局城市、建制镇和新区、开发区等各类城镇集中建设。</w:t>
            </w:r>
          </w:p>
          <w:p w14:paraId="53B994BB">
            <w:pPr>
              <w:pStyle w:val="53"/>
              <w:ind w:firstLine="480"/>
              <w:rPr>
                <w:highlight w:val="none"/>
                <w:lang w:bidi="ar"/>
              </w:rPr>
            </w:pPr>
            <w:r>
              <w:rPr>
                <w:rFonts w:hint="eastAsia"/>
                <w:highlight w:val="none"/>
                <w:lang w:bidi="ar"/>
              </w:rPr>
              <w:t>②弹性发展区在满足特定条件下方可进行城镇开发和集中建设。在不突破规划城镇建设用地规模的前提下，城镇建设用地布局可在弹性发展区范围内进行调整。</w:t>
            </w:r>
          </w:p>
          <w:p w14:paraId="118BAFB0">
            <w:pPr>
              <w:pStyle w:val="53"/>
              <w:ind w:firstLine="480"/>
              <w:rPr>
                <w:highlight w:val="none"/>
              </w:rPr>
            </w:pPr>
            <w:r>
              <w:rPr>
                <w:rFonts w:hint="eastAsia"/>
                <w:highlight w:val="none"/>
                <w:lang w:bidi="ar"/>
              </w:rPr>
              <w:t>③特别用途区原则上禁止任何城镇集中建设行为，实施建设用地总量控制，原则上不得新增除市政基础设施、交通物流基础设施、生态修复工程、必要的配套及游憩设施外的其他城镇建设用地。</w:t>
            </w:r>
            <w:bookmarkEnd w:id="68"/>
          </w:p>
        </w:tc>
      </w:tr>
    </w:tbl>
    <w:p w14:paraId="2A91B742">
      <w:pPr>
        <w:pStyle w:val="60"/>
        <w:ind w:left="0" w:firstLine="640" w:firstLineChars="200"/>
        <w:rPr>
          <w:highlight w:val="none"/>
        </w:rPr>
      </w:pPr>
      <w:bookmarkStart w:id="69" w:name="_Toc198237306"/>
      <w:r>
        <w:rPr>
          <w:rFonts w:hint="eastAsia"/>
          <w:highlight w:val="none"/>
        </w:rPr>
        <w:t>强化自然灾害综合风险防控</w:t>
      </w:r>
      <w:bookmarkEnd w:id="69"/>
    </w:p>
    <w:p w14:paraId="33302509">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地质灾害风险区。</w:t>
      </w:r>
      <w:r>
        <w:rPr>
          <w:rFonts w:hint="eastAsia" w:hAnsi="仿宋_GB2312" w:cs="仿宋_GB2312"/>
          <w:szCs w:val="24"/>
          <w:highlight w:val="none"/>
          <w:lang w:bidi="ar"/>
        </w:rPr>
        <w:t>镇域地质灾害主要类型包括滑坡、崩塌、泥石流等。地质灾害高风险区主要分布于镇域南侧，高风险区面积约265.68平方千米。地质灾害低风险区分布于镇区以及元者村、莫热村、大仓村中部区域，低风险区面积约275.74平方千米。中风险区主要分布于青海湖沿岸及元者村西部，中风险区面积约162.61平方千米。城乡建设应充分考虑地质灾害风险影响，分类明确风险管控措施，高风险区应采取地质灾害避险搬迁、排危除险等整治措施严控风险。中风险区应落实风险管控措施，采取地质灾害综合整治措施开展治理，全力确保安全。低风险区要按规定落实地质灾害防范措施，开展城乡建设。单独选址项目应按照地质灾害防治相关要求，开展地质灾害危险性评估并配套实施相关防护工程。</w:t>
      </w:r>
    </w:p>
    <w:p w14:paraId="59099DBD">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洪涝风险控制线。</w:t>
      </w:r>
      <w:r>
        <w:rPr>
          <w:rFonts w:hint="eastAsia" w:hAnsi="仿宋_GB2312" w:cs="仿宋_GB2312"/>
          <w:szCs w:val="24"/>
          <w:highlight w:val="none"/>
          <w:lang w:bidi="ar"/>
        </w:rPr>
        <w:t>以水利部门依法划定的河湖管理范围为基础，将镇域主要水库、河湖湿地等洪涝水行泄、调蓄的自然空间划入洪涝风险控制线，保障防洪排涝系统完整性和通达性，</w:t>
      </w:r>
      <w:r>
        <w:rPr>
          <w:rFonts w:hint="eastAsia" w:hAnsi="仿宋_GB2312" w:cs="仿宋_GB2312"/>
          <w:szCs w:val="24"/>
          <w:highlight w:val="none"/>
          <w:u w:val="single"/>
          <w:lang w:bidi="ar"/>
        </w:rPr>
        <w:t>洪涝风险控制线总面积5.13平方千米。</w:t>
      </w:r>
      <w:r>
        <w:rPr>
          <w:rFonts w:hint="eastAsia" w:hAnsi="仿宋_GB2312" w:cs="仿宋_GB2312"/>
          <w:szCs w:val="24"/>
          <w:highlight w:val="none"/>
          <w:lang w:bidi="ar"/>
        </w:rPr>
        <w:t>对洪涝风险控制线内的耕地，在不妨碍行洪、蓄洪和输水等功能的前提下，依法依规分类处理。城市建设和发展不得占用洪涝行泄空间；对妨碍行洪、影响河势稳定、危害水工程安全的已建项目，依法限期拆除并恢复原状。对桥梁、码头等审批类项目进行防洪影响评价，消除不利影响。</w:t>
      </w:r>
    </w:p>
    <w:p w14:paraId="17073B32">
      <w:pPr>
        <w:pStyle w:val="3"/>
        <w:numPr>
          <w:ilvl w:val="0"/>
          <w:numId w:val="10"/>
        </w:numPr>
        <w:rPr>
          <w:highlight w:val="none"/>
          <w:lang w:val="zh-CN"/>
        </w:rPr>
      </w:pPr>
      <w:bookmarkStart w:id="70" w:name="_Toc198237504"/>
      <w:bookmarkStart w:id="71" w:name="_Toc28721"/>
      <w:bookmarkStart w:id="72" w:name="_Toc198237307"/>
      <w:r>
        <w:rPr>
          <w:rFonts w:hint="eastAsia"/>
          <w:highlight w:val="none"/>
          <w:lang w:val="zh-CN"/>
        </w:rPr>
        <w:t>严格落实主体功能区布局</w:t>
      </w:r>
      <w:bookmarkEnd w:id="70"/>
      <w:bookmarkEnd w:id="71"/>
      <w:bookmarkEnd w:id="72"/>
    </w:p>
    <w:p w14:paraId="0B76BA0B">
      <w:pPr>
        <w:pStyle w:val="60"/>
        <w:ind w:left="0" w:firstLine="640" w:firstLineChars="200"/>
        <w:rPr>
          <w:highlight w:val="none"/>
        </w:rPr>
      </w:pPr>
      <w:bookmarkStart w:id="73" w:name="_Toc198237308"/>
      <w:r>
        <w:rPr>
          <w:rFonts w:hint="eastAsia"/>
          <w:highlight w:val="none"/>
        </w:rPr>
        <w:t>落实主体功能区布局</w:t>
      </w:r>
      <w:bookmarkEnd w:id="73"/>
    </w:p>
    <w:p w14:paraId="2564F1A6">
      <w:pPr>
        <w:pStyle w:val="15"/>
        <w:ind w:firstLine="640"/>
        <w:rPr>
          <w:highlight w:val="none"/>
          <w:lang w:bidi="ar"/>
        </w:rPr>
      </w:pPr>
      <w:r>
        <w:rPr>
          <w:rFonts w:hint="eastAsia" w:hAnsi="仿宋_GB2312" w:cs="仿宋_GB2312"/>
          <w:szCs w:val="24"/>
          <w:highlight w:val="none"/>
          <w:lang w:bidi="ar"/>
        </w:rPr>
        <w:t>落实共和县国土空间总体规划对江西沟镇主体功能区定位要求，江西沟镇为</w:t>
      </w:r>
      <w:r>
        <w:rPr>
          <w:rFonts w:hint="eastAsia"/>
          <w:highlight w:val="none"/>
          <w:lang w:bidi="ar"/>
        </w:rPr>
        <w:t>城市化地区</w:t>
      </w:r>
      <w:r>
        <w:rPr>
          <w:rFonts w:hint="eastAsia" w:hAnsi="仿宋_GB2312" w:cs="仿宋_GB2312"/>
          <w:szCs w:val="24"/>
          <w:highlight w:val="none"/>
          <w:lang w:bidi="ar"/>
        </w:rPr>
        <w:t>，</w:t>
      </w:r>
      <w:r>
        <w:rPr>
          <w:rFonts w:hint="eastAsia"/>
          <w:highlight w:val="none"/>
          <w:lang w:bidi="ar"/>
        </w:rPr>
        <w:t>是全县人口、产业集聚的主要载体。</w:t>
      </w:r>
    </w:p>
    <w:p w14:paraId="002BFA94">
      <w:pPr>
        <w:pStyle w:val="60"/>
        <w:ind w:left="0" w:firstLine="640" w:firstLineChars="200"/>
        <w:rPr>
          <w:highlight w:val="none"/>
        </w:rPr>
      </w:pPr>
      <w:bookmarkStart w:id="74" w:name="_Toc198237309"/>
      <w:r>
        <w:rPr>
          <w:rFonts w:hint="eastAsia"/>
          <w:highlight w:val="none"/>
        </w:rPr>
        <w:t>加强主体功能区管控</w:t>
      </w:r>
      <w:bookmarkEnd w:id="74"/>
    </w:p>
    <w:p w14:paraId="5D10172D">
      <w:pPr>
        <w:pStyle w:val="15"/>
        <w:ind w:firstLine="640"/>
        <w:rPr>
          <w:rFonts w:hAnsi="仿宋_GB2312" w:cs="仿宋_GB2312"/>
          <w:szCs w:val="24"/>
          <w:highlight w:val="none"/>
          <w:lang w:bidi="ar"/>
        </w:rPr>
      </w:pPr>
      <w:r>
        <w:rPr>
          <w:rFonts w:hint="eastAsia" w:hAnsi="仿宋_GB2312" w:cs="仿宋_GB2312"/>
          <w:szCs w:val="24"/>
          <w:highlight w:val="none"/>
          <w:lang w:bidi="ar"/>
        </w:rPr>
        <w:t>是全县人口和产业主要集聚地区，辐射带动区域经济社会发展，提高地区综合竞争力，成为带动泛共和盆地崛起的协调发展、绿色发展、高质发展、特色发展和安全发展的先行区域。鼓励人口向城市化地区转移和集聚，重点保障民生设施、产业和基础设施项目的用地，完善城乡建设用地增减挂钩制度，提高建设用地的集约节约利用程度。精致配置各项服务配套设施，持续完善基础设施配置，因地制宜建设各具特色的高原美丽城镇，探索高原牧区城镇化的新路径。</w:t>
      </w:r>
    </w:p>
    <w:p w14:paraId="444CA2AE">
      <w:pPr>
        <w:pStyle w:val="3"/>
        <w:numPr>
          <w:ilvl w:val="0"/>
          <w:numId w:val="10"/>
        </w:numPr>
        <w:rPr>
          <w:highlight w:val="none"/>
          <w:lang w:val="zh-CN"/>
        </w:rPr>
      </w:pPr>
      <w:bookmarkStart w:id="75" w:name="_Toc198237505"/>
      <w:bookmarkStart w:id="76" w:name="_Toc198237310"/>
      <w:bookmarkStart w:id="77" w:name="_Toc7391"/>
      <w:r>
        <w:rPr>
          <w:rFonts w:hint="eastAsia"/>
          <w:highlight w:val="none"/>
          <w:lang w:val="zh-CN"/>
        </w:rPr>
        <w:t>构建国土空间开发保护新格局</w:t>
      </w:r>
      <w:bookmarkEnd w:id="75"/>
      <w:bookmarkEnd w:id="76"/>
      <w:bookmarkEnd w:id="77"/>
    </w:p>
    <w:p w14:paraId="4B09C481">
      <w:pPr>
        <w:pStyle w:val="60"/>
        <w:ind w:left="0" w:firstLine="640" w:firstLineChars="200"/>
        <w:rPr>
          <w:highlight w:val="none"/>
        </w:rPr>
      </w:pPr>
      <w:bookmarkStart w:id="78" w:name="_Toc198237311"/>
      <w:r>
        <w:rPr>
          <w:rFonts w:hint="eastAsia"/>
          <w:highlight w:val="none"/>
        </w:rPr>
        <w:t>国土空间开发保护总体格局</w:t>
      </w:r>
      <w:bookmarkEnd w:id="78"/>
    </w:p>
    <w:p w14:paraId="1AEE9F68">
      <w:pPr>
        <w:pStyle w:val="15"/>
        <w:ind w:firstLine="640"/>
        <w:rPr>
          <w:rFonts w:hAnsi="仿宋_GB2312" w:cs="仿宋_GB2312"/>
          <w:szCs w:val="24"/>
          <w:highlight w:val="none"/>
          <w:lang w:bidi="ar"/>
        </w:rPr>
      </w:pPr>
      <w:r>
        <w:rPr>
          <w:rFonts w:hint="eastAsia" w:hAnsi="仿宋_GB2312" w:cs="仿宋_GB2312"/>
          <w:szCs w:val="24"/>
          <w:highlight w:val="none"/>
          <w:lang w:bidi="ar"/>
        </w:rPr>
        <w:t>按照“三区全覆盖、三线不交叉”的原则，构建江西沟镇国土空间开发保护总体格局，科学划定江西沟镇生态、农业、建设三类空间以及落实生态保护红线、永久基本农田、城镇开发边界、村庄建设实体边界等，并将其作为经济结构调整、城乡产业发展、新型城镇化推进不可逾越的红线。</w:t>
      </w:r>
    </w:p>
    <w:p w14:paraId="4F662BF3">
      <w:pPr>
        <w:pStyle w:val="15"/>
        <w:ind w:firstLine="640"/>
        <w:rPr>
          <w:rFonts w:hAnsi="仿宋_GB2312" w:cs="仿宋_GB2312"/>
          <w:szCs w:val="24"/>
          <w:highlight w:val="none"/>
          <w:lang w:bidi="ar"/>
        </w:rPr>
      </w:pPr>
      <w:r>
        <w:rPr>
          <w:rFonts w:hint="eastAsia" w:hAnsi="仿宋_GB2312" w:cs="仿宋_GB2312"/>
          <w:szCs w:val="24"/>
          <w:highlight w:val="none"/>
          <w:lang w:bidi="ar"/>
        </w:rPr>
        <w:t>根据资源环境承载能力评价和国土空间开发适宜性评价，突出山、水、林、田、湖、草、沙的空间特征，将江西沟镇国土空间规划为“一大屏障、一轴引领、双核驱动、两区、三廊”的总体开发保护格局。</w:t>
      </w:r>
    </w:p>
    <w:p w14:paraId="1DB0FAF2">
      <w:pPr>
        <w:pStyle w:val="15"/>
        <w:ind w:firstLine="643"/>
        <w:rPr>
          <w:rFonts w:hAnsi="仿宋_GB2312" w:cs="仿宋_GB2312"/>
          <w:szCs w:val="24"/>
          <w:highlight w:val="none"/>
          <w:lang w:bidi="ar"/>
        </w:rPr>
      </w:pPr>
      <w:r>
        <w:rPr>
          <w:rFonts w:hint="eastAsia" w:hAnsi="仿宋_GB2312" w:cs="仿宋_GB2312"/>
          <w:b/>
          <w:szCs w:val="24"/>
          <w:highlight w:val="none"/>
          <w:lang w:bidi="ar"/>
        </w:rPr>
        <w:t>一大屏障：</w:t>
      </w:r>
      <w:r>
        <w:rPr>
          <w:rFonts w:hint="eastAsia" w:hAnsi="仿宋_GB2312" w:cs="仿宋_GB2312"/>
          <w:szCs w:val="24"/>
          <w:highlight w:val="none"/>
          <w:lang w:bidi="ar"/>
        </w:rPr>
        <w:t>依青海南山山系构筑的生态屏障。</w:t>
      </w:r>
    </w:p>
    <w:p w14:paraId="2997DE72">
      <w:pPr>
        <w:pStyle w:val="15"/>
        <w:ind w:firstLine="643"/>
        <w:rPr>
          <w:rFonts w:hAnsi="仿宋_GB2312" w:cs="仿宋_GB2312"/>
          <w:szCs w:val="24"/>
          <w:highlight w:val="none"/>
          <w:lang w:bidi="ar"/>
        </w:rPr>
      </w:pPr>
      <w:r>
        <w:rPr>
          <w:rFonts w:hint="eastAsia" w:hAnsi="仿宋_GB2312" w:cs="仿宋_GB2312"/>
          <w:b/>
          <w:szCs w:val="24"/>
          <w:highlight w:val="none"/>
          <w:lang w:bidi="ar"/>
        </w:rPr>
        <w:t>一轴引领：</w:t>
      </w:r>
      <w:r>
        <w:rPr>
          <w:rFonts w:hint="eastAsia" w:hAnsi="仿宋_GB2312" w:cs="仿宋_GB2312"/>
          <w:szCs w:val="24"/>
          <w:highlight w:val="none"/>
          <w:lang w:bidi="ar"/>
        </w:rPr>
        <w:t>城镇综合发展轴。</w:t>
      </w:r>
    </w:p>
    <w:p w14:paraId="423D8EA9">
      <w:pPr>
        <w:pStyle w:val="15"/>
        <w:ind w:firstLine="643"/>
        <w:rPr>
          <w:rFonts w:hAnsi="仿宋_GB2312" w:cs="仿宋_GB2312"/>
          <w:szCs w:val="24"/>
          <w:highlight w:val="none"/>
          <w:lang w:bidi="ar"/>
        </w:rPr>
      </w:pPr>
      <w:r>
        <w:rPr>
          <w:rFonts w:hint="eastAsia" w:hAnsi="仿宋_GB2312" w:cs="仿宋_GB2312"/>
          <w:b/>
          <w:szCs w:val="24"/>
          <w:highlight w:val="none"/>
          <w:lang w:bidi="ar"/>
        </w:rPr>
        <w:t>两核驱动：</w:t>
      </w:r>
      <w:r>
        <w:rPr>
          <w:rFonts w:hint="eastAsia" w:hAnsi="仿宋_GB2312" w:cs="仿宋_GB2312"/>
          <w:szCs w:val="24"/>
          <w:highlight w:val="none"/>
          <w:lang w:bidi="ar"/>
        </w:rPr>
        <w:t>公共服务</w:t>
      </w:r>
      <w:r>
        <w:rPr>
          <w:rFonts w:hint="eastAsia" w:hAnsi="仿宋_GB2312" w:cs="仿宋_GB2312"/>
          <w:szCs w:val="24"/>
          <w:highlight w:val="none"/>
          <w:lang w:eastAsia="zh-CN" w:bidi="ar"/>
        </w:rPr>
        <w:t>核心</w:t>
      </w:r>
      <w:r>
        <w:rPr>
          <w:rFonts w:hint="eastAsia" w:hAnsi="仿宋_GB2312" w:cs="仿宋_GB2312"/>
          <w:szCs w:val="24"/>
          <w:highlight w:val="none"/>
          <w:lang w:bidi="ar"/>
        </w:rPr>
        <w:t>、旅游休闲体验核心。</w:t>
      </w:r>
    </w:p>
    <w:p w14:paraId="4E96BBAA">
      <w:pPr>
        <w:pStyle w:val="15"/>
        <w:ind w:firstLine="643"/>
        <w:rPr>
          <w:rFonts w:hAnsi="仿宋_GB2312" w:cs="仿宋_GB2312"/>
          <w:szCs w:val="24"/>
          <w:highlight w:val="none"/>
          <w:lang w:bidi="ar"/>
        </w:rPr>
      </w:pPr>
      <w:r>
        <w:rPr>
          <w:rFonts w:hint="eastAsia" w:hAnsi="仿宋_GB2312" w:cs="仿宋_GB2312"/>
          <w:b/>
          <w:szCs w:val="24"/>
          <w:highlight w:val="none"/>
          <w:lang w:bidi="ar"/>
        </w:rPr>
        <w:t>两区：</w:t>
      </w:r>
      <w:r>
        <w:rPr>
          <w:rFonts w:hint="eastAsia" w:hAnsi="仿宋_GB2312" w:cs="仿宋_GB2312"/>
          <w:szCs w:val="24"/>
          <w:highlight w:val="none"/>
          <w:lang w:bidi="ar"/>
        </w:rPr>
        <w:t>高效粮食生产区、休闲农业种植区。</w:t>
      </w:r>
    </w:p>
    <w:p w14:paraId="318AD2F6">
      <w:pPr>
        <w:pStyle w:val="15"/>
        <w:ind w:firstLine="643"/>
        <w:rPr>
          <w:rFonts w:hAnsi="仿宋_GB2312" w:cs="仿宋_GB2312"/>
          <w:szCs w:val="24"/>
          <w:highlight w:val="none"/>
          <w:lang w:bidi="ar"/>
        </w:rPr>
      </w:pPr>
      <w:r>
        <w:rPr>
          <w:rFonts w:hint="eastAsia" w:hAnsi="仿宋_GB2312" w:cs="仿宋_GB2312"/>
          <w:b/>
          <w:szCs w:val="24"/>
          <w:highlight w:val="none"/>
          <w:lang w:bidi="ar"/>
        </w:rPr>
        <w:t>三廊：</w:t>
      </w:r>
      <w:r>
        <w:rPr>
          <w:rFonts w:hint="eastAsia" w:hAnsi="仿宋_GB2312" w:cs="仿宋_GB2312"/>
          <w:szCs w:val="24"/>
          <w:highlight w:val="none"/>
          <w:lang w:bidi="ar"/>
        </w:rPr>
        <w:t>构建以镇域内河道为骨架的生态廊道。</w:t>
      </w:r>
    </w:p>
    <w:p w14:paraId="5E818343">
      <w:pPr>
        <w:pStyle w:val="3"/>
        <w:numPr>
          <w:ilvl w:val="0"/>
          <w:numId w:val="10"/>
        </w:numPr>
        <w:rPr>
          <w:highlight w:val="none"/>
          <w:lang w:val="zh-CN"/>
        </w:rPr>
      </w:pPr>
      <w:bookmarkStart w:id="79" w:name="_Toc198237312"/>
      <w:bookmarkStart w:id="80" w:name="_Toc198237506"/>
      <w:bookmarkStart w:id="81" w:name="_Toc8338"/>
      <w:r>
        <w:rPr>
          <w:rFonts w:hint="eastAsia"/>
          <w:highlight w:val="none"/>
          <w:lang w:val="zh-CN"/>
        </w:rPr>
        <w:t>国土空间规划分区与用途管制</w:t>
      </w:r>
      <w:bookmarkEnd w:id="79"/>
      <w:bookmarkEnd w:id="80"/>
      <w:bookmarkEnd w:id="81"/>
    </w:p>
    <w:p w14:paraId="7EA00F43">
      <w:pPr>
        <w:pStyle w:val="60"/>
        <w:ind w:left="0" w:firstLine="640" w:firstLineChars="200"/>
        <w:rPr>
          <w:highlight w:val="none"/>
        </w:rPr>
      </w:pPr>
      <w:bookmarkStart w:id="82" w:name="_Toc198237313"/>
      <w:r>
        <w:rPr>
          <w:rFonts w:hint="eastAsia"/>
          <w:highlight w:val="none"/>
        </w:rPr>
        <w:t>生态保护区</w:t>
      </w:r>
      <w:bookmarkEnd w:id="82"/>
    </w:p>
    <w:p w14:paraId="5D7682A3">
      <w:pPr>
        <w:pStyle w:val="15"/>
        <w:ind w:firstLine="640"/>
        <w:rPr>
          <w:rFonts w:hAnsi="仿宋_GB2312" w:cs="仿宋_GB2312"/>
          <w:szCs w:val="24"/>
          <w:highlight w:val="none"/>
          <w:lang w:bidi="ar"/>
        </w:rPr>
      </w:pPr>
      <w:r>
        <w:rPr>
          <w:rFonts w:hint="eastAsia" w:hAnsi="仿宋_GB2312" w:cs="仿宋_GB2312"/>
          <w:szCs w:val="24"/>
          <w:highlight w:val="none"/>
          <w:lang w:bidi="ar"/>
        </w:rPr>
        <w:t>落实“三区三线”划定成果，对生态功能重要区域及生态环境敏感脆弱区域进行严格保护。遵循生态系统完整性，维护自然地貌特征，改善陆地生态系统，维护水系网格的系统性、整体性和连通性，划定生态保护区</w:t>
      </w:r>
      <w:r>
        <w:rPr>
          <w:rFonts w:hAnsi="仿宋_GB2312" w:cs="仿宋_GB2312"/>
          <w:szCs w:val="24"/>
          <w:highlight w:val="none"/>
          <w:lang w:bidi="ar"/>
        </w:rPr>
        <w:t>116.90</w:t>
      </w:r>
      <w:r>
        <w:rPr>
          <w:rFonts w:hint="eastAsia" w:hAnsi="仿宋_GB2312" w:cs="仿宋_GB2312"/>
          <w:szCs w:val="24"/>
          <w:highlight w:val="none"/>
          <w:lang w:bidi="ar"/>
        </w:rPr>
        <w:t>平方千米。</w:t>
      </w:r>
    </w:p>
    <w:p w14:paraId="45893750">
      <w:pPr>
        <w:pStyle w:val="60"/>
        <w:ind w:left="0" w:firstLine="640" w:firstLineChars="200"/>
        <w:rPr>
          <w:highlight w:val="none"/>
        </w:rPr>
      </w:pPr>
      <w:bookmarkStart w:id="83" w:name="_Toc198237314"/>
      <w:r>
        <w:rPr>
          <w:rFonts w:hint="eastAsia"/>
          <w:highlight w:val="none"/>
        </w:rPr>
        <w:t>生态控制区</w:t>
      </w:r>
      <w:bookmarkEnd w:id="83"/>
    </w:p>
    <w:p w14:paraId="3C1BCE3B">
      <w:pPr>
        <w:pStyle w:val="15"/>
        <w:ind w:firstLine="640"/>
        <w:rPr>
          <w:rFonts w:hint="eastAsia" w:hAnsi="仿宋_GB2312" w:cs="仿宋_GB2312"/>
          <w:szCs w:val="24"/>
          <w:highlight w:val="none"/>
          <w:lang w:bidi="ar"/>
        </w:rPr>
      </w:pPr>
      <w:r>
        <w:rPr>
          <w:rFonts w:hint="eastAsia" w:hAnsi="仿宋_GB2312" w:cs="仿宋_GB2312"/>
          <w:szCs w:val="24"/>
          <w:highlight w:val="none"/>
          <w:lang w:bidi="ar"/>
        </w:rPr>
        <w:t>生态控制区是生态保护区之外，具有特殊重要生态功能或生态敏感脆弱，需要予以保留原貌、强化生态保育和生态建设、限制开发建设的自然区域。本次规划落实上位划定的生态控制区</w:t>
      </w:r>
      <w:r>
        <w:rPr>
          <w:rFonts w:hint="eastAsia" w:hAnsi="仿宋_GB2312" w:cs="仿宋_GB2312"/>
          <w:szCs w:val="24"/>
          <w:highlight w:val="none"/>
          <w:lang w:val="en-US" w:eastAsia="zh-CN" w:bidi="ar"/>
        </w:rPr>
        <w:t>7.48</w:t>
      </w:r>
      <w:r>
        <w:rPr>
          <w:rFonts w:hint="eastAsia" w:hAnsi="仿宋_GB2312" w:cs="仿宋_GB2312"/>
          <w:szCs w:val="24"/>
          <w:highlight w:val="none"/>
          <w:lang w:bidi="ar"/>
        </w:rPr>
        <w:t>平方千米。</w:t>
      </w:r>
    </w:p>
    <w:p w14:paraId="11C382EE">
      <w:pPr>
        <w:pStyle w:val="60"/>
        <w:ind w:left="0" w:firstLine="640" w:firstLineChars="200"/>
        <w:rPr>
          <w:highlight w:val="none"/>
        </w:rPr>
      </w:pPr>
      <w:bookmarkStart w:id="84" w:name="_Toc198237315"/>
      <w:r>
        <w:rPr>
          <w:rFonts w:hint="eastAsia"/>
          <w:highlight w:val="none"/>
        </w:rPr>
        <w:t>农田保护区</w:t>
      </w:r>
      <w:bookmarkEnd w:id="84"/>
    </w:p>
    <w:p w14:paraId="1482A19B">
      <w:pPr>
        <w:pStyle w:val="15"/>
        <w:ind w:firstLine="640"/>
        <w:rPr>
          <w:rFonts w:hAnsi="仿宋_GB2312" w:cs="仿宋_GB2312"/>
          <w:szCs w:val="24"/>
          <w:highlight w:val="none"/>
          <w:lang w:bidi="ar"/>
        </w:rPr>
      </w:pPr>
      <w:bookmarkStart w:id="85" w:name="_Hlk148444735"/>
      <w:r>
        <w:rPr>
          <w:rFonts w:hint="eastAsia" w:hAnsi="仿宋_GB2312" w:cs="仿宋_GB2312"/>
          <w:szCs w:val="24"/>
          <w:highlight w:val="none"/>
          <w:lang w:bidi="ar"/>
        </w:rPr>
        <w:t>落实县级国土空间规划“三区三线”划定成果，将相对集中需严格保护的永久基本农田纳入农田保护区，本次规划落实上位划定的农田保护区面积为</w:t>
      </w:r>
      <w:r>
        <w:rPr>
          <w:rFonts w:hAnsi="仿宋_GB2312" w:cs="仿宋_GB2312"/>
          <w:szCs w:val="24"/>
          <w:highlight w:val="none"/>
          <w:lang w:bidi="ar"/>
        </w:rPr>
        <w:t>67.06</w:t>
      </w:r>
      <w:r>
        <w:rPr>
          <w:rFonts w:hint="eastAsia" w:hAnsi="仿宋_GB2312" w:cs="仿宋_GB2312"/>
          <w:szCs w:val="24"/>
          <w:highlight w:val="none"/>
          <w:lang w:bidi="ar"/>
        </w:rPr>
        <w:t>平方千米。</w:t>
      </w:r>
    </w:p>
    <w:bookmarkEnd w:id="85"/>
    <w:p w14:paraId="727E732C">
      <w:pPr>
        <w:pStyle w:val="60"/>
        <w:ind w:left="0" w:firstLine="640" w:firstLineChars="200"/>
        <w:rPr>
          <w:highlight w:val="none"/>
        </w:rPr>
      </w:pPr>
      <w:bookmarkStart w:id="86" w:name="_Toc198237316"/>
      <w:r>
        <w:rPr>
          <w:rFonts w:hint="eastAsia"/>
          <w:highlight w:val="none"/>
        </w:rPr>
        <w:t>城镇发展区</w:t>
      </w:r>
      <w:bookmarkEnd w:id="86"/>
    </w:p>
    <w:p w14:paraId="78156434">
      <w:pPr>
        <w:pStyle w:val="15"/>
        <w:ind w:firstLine="640"/>
        <w:rPr>
          <w:rFonts w:hAnsi="仿宋_GB2312" w:cs="仿宋_GB2312"/>
          <w:szCs w:val="24"/>
          <w:highlight w:val="none"/>
          <w:lang w:bidi="ar"/>
        </w:rPr>
      </w:pPr>
      <w:bookmarkStart w:id="87" w:name="_Hlk148444768"/>
      <w:r>
        <w:rPr>
          <w:rFonts w:hint="eastAsia" w:hAnsi="仿宋_GB2312" w:cs="仿宋_GB2312"/>
          <w:szCs w:val="24"/>
          <w:highlight w:val="none"/>
          <w:lang w:bidi="ar"/>
        </w:rPr>
        <w:t>落实“三区三线”划定成果，将城镇集中开发建设并符合城镇生产、生活需要的区域划定为城镇发展区，规划划定城镇发展区</w:t>
      </w:r>
      <w:r>
        <w:rPr>
          <w:rFonts w:hint="eastAsia" w:hAnsi="仿宋_GB2312" w:cs="仿宋_GB2312"/>
          <w:szCs w:val="24"/>
          <w:highlight w:val="none"/>
          <w:lang w:val="en-US" w:eastAsia="zh-CN" w:bidi="ar"/>
        </w:rPr>
        <w:t>0.</w:t>
      </w:r>
      <w:r>
        <w:rPr>
          <w:rFonts w:hint="eastAsia" w:hAnsi="仿宋_GB2312" w:cs="仿宋_GB2312"/>
          <w:szCs w:val="24"/>
          <w:highlight w:val="none"/>
          <w:lang w:bidi="ar"/>
        </w:rPr>
        <w:t>48</w:t>
      </w:r>
      <w:r>
        <w:rPr>
          <w:rFonts w:hint="eastAsia" w:hAnsi="仿宋_GB2312" w:cs="仿宋_GB2312"/>
          <w:szCs w:val="24"/>
          <w:highlight w:val="none"/>
          <w:lang w:val="en-US" w:eastAsia="zh-CN" w:bidi="ar"/>
        </w:rPr>
        <w:t>平方千米</w:t>
      </w:r>
      <w:r>
        <w:rPr>
          <w:rFonts w:hint="eastAsia" w:hAnsi="仿宋_GB2312" w:cs="仿宋_GB2312"/>
          <w:szCs w:val="24"/>
          <w:highlight w:val="none"/>
          <w:lang w:bidi="ar"/>
        </w:rPr>
        <w:t>，均为城镇集中建设区。</w:t>
      </w:r>
    </w:p>
    <w:bookmarkEnd w:id="87"/>
    <w:p w14:paraId="67B21D98">
      <w:pPr>
        <w:pStyle w:val="60"/>
        <w:ind w:left="0" w:firstLine="640" w:firstLineChars="200"/>
        <w:rPr>
          <w:highlight w:val="none"/>
        </w:rPr>
      </w:pPr>
      <w:bookmarkStart w:id="88" w:name="_Toc198237317"/>
      <w:r>
        <w:rPr>
          <w:rFonts w:hint="eastAsia"/>
          <w:highlight w:val="none"/>
        </w:rPr>
        <w:t>乡村发展区</w:t>
      </w:r>
      <w:bookmarkEnd w:id="88"/>
    </w:p>
    <w:p w14:paraId="46C87C3C">
      <w:pPr>
        <w:pStyle w:val="15"/>
        <w:ind w:firstLine="640"/>
        <w:rPr>
          <w:rFonts w:hAnsi="仿宋_GB2312" w:cs="仿宋_GB2312"/>
          <w:szCs w:val="24"/>
          <w:highlight w:val="none"/>
          <w:lang w:bidi="ar"/>
        </w:rPr>
      </w:pPr>
      <w:r>
        <w:rPr>
          <w:rFonts w:hint="eastAsia" w:hAnsi="仿宋_GB2312" w:cs="仿宋_GB2312"/>
          <w:szCs w:val="24"/>
          <w:highlight w:val="none"/>
          <w:lang w:bidi="ar"/>
        </w:rPr>
        <w:t>将永久基本农田保护区外的一般耕地、部分林地、村庄用地等以农业生产、林地保育、乡村发展为主的区域划定为乡村发展区，重点优化农业产业结构，有序推进村庄用地更新改造，提升农村人居环境。规划划定乡村发展区</w:t>
      </w:r>
      <w:r>
        <w:rPr>
          <w:rFonts w:hint="eastAsia" w:hAnsi="仿宋_GB2312" w:cs="仿宋_GB2312"/>
          <w:szCs w:val="24"/>
          <w:highlight w:val="none"/>
          <w:lang w:val="en-US" w:eastAsia="zh-CN" w:bidi="ar"/>
        </w:rPr>
        <w:t>473.84</w:t>
      </w:r>
      <w:r>
        <w:rPr>
          <w:rFonts w:hint="eastAsia" w:hAnsi="仿宋_GB2312" w:cs="仿宋_GB2312"/>
          <w:szCs w:val="24"/>
          <w:highlight w:val="none"/>
          <w:lang w:bidi="ar"/>
        </w:rPr>
        <w:t>平方千米，其中村庄建设区</w:t>
      </w:r>
      <w:r>
        <w:rPr>
          <w:rFonts w:hint="eastAsia" w:hAnsi="仿宋_GB2312" w:cs="仿宋_GB2312"/>
          <w:szCs w:val="24"/>
          <w:highlight w:val="none"/>
          <w:lang w:val="en-US" w:eastAsia="zh-CN" w:bidi="ar"/>
        </w:rPr>
        <w:t>4.69</w:t>
      </w:r>
      <w:r>
        <w:rPr>
          <w:rFonts w:hint="eastAsia" w:hAnsi="仿宋_GB2312" w:cs="仿宋_GB2312"/>
          <w:szCs w:val="24"/>
          <w:highlight w:val="none"/>
          <w:lang w:bidi="ar"/>
        </w:rPr>
        <w:t>平方千米，一般农业区</w:t>
      </w:r>
      <w:r>
        <w:rPr>
          <w:rFonts w:hint="eastAsia" w:hAnsi="仿宋_GB2312" w:cs="仿宋_GB2312"/>
          <w:szCs w:val="24"/>
          <w:highlight w:val="none"/>
          <w:lang w:val="en-US" w:eastAsia="zh-CN" w:bidi="ar"/>
        </w:rPr>
        <w:t>8.48</w:t>
      </w:r>
      <w:r>
        <w:rPr>
          <w:rFonts w:hint="eastAsia" w:hAnsi="仿宋_GB2312" w:cs="仿宋_GB2312"/>
          <w:szCs w:val="24"/>
          <w:highlight w:val="none"/>
          <w:lang w:bidi="ar"/>
        </w:rPr>
        <w:t>平方千米，林业发展区43.9</w:t>
      </w:r>
      <w:r>
        <w:rPr>
          <w:rFonts w:hint="eastAsia" w:hAnsi="仿宋_GB2312" w:cs="仿宋_GB2312"/>
          <w:szCs w:val="24"/>
          <w:highlight w:val="none"/>
          <w:lang w:val="en-US" w:eastAsia="zh-CN" w:bidi="ar"/>
        </w:rPr>
        <w:t>1</w:t>
      </w:r>
      <w:r>
        <w:rPr>
          <w:rFonts w:hint="eastAsia" w:hAnsi="仿宋_GB2312" w:cs="仿宋_GB2312"/>
          <w:szCs w:val="24"/>
          <w:highlight w:val="none"/>
          <w:lang w:bidi="ar"/>
        </w:rPr>
        <w:t>平方千米，牧业发展区</w:t>
      </w:r>
      <w:r>
        <w:rPr>
          <w:rFonts w:hint="eastAsia" w:hAnsi="仿宋_GB2312" w:cs="仿宋_GB2312"/>
          <w:szCs w:val="24"/>
          <w:highlight w:val="none"/>
          <w:lang w:val="en-US" w:eastAsia="zh-CN" w:bidi="ar"/>
        </w:rPr>
        <w:t>416.75</w:t>
      </w:r>
      <w:r>
        <w:rPr>
          <w:rFonts w:hint="eastAsia" w:hAnsi="仿宋_GB2312" w:cs="仿宋_GB2312"/>
          <w:szCs w:val="24"/>
          <w:highlight w:val="none"/>
          <w:lang w:bidi="ar"/>
        </w:rPr>
        <w:t>平方千米。</w:t>
      </w:r>
    </w:p>
    <w:p w14:paraId="19AD0198">
      <w:pPr>
        <w:rPr>
          <w:highlight w:val="none"/>
        </w:rPr>
      </w:pPr>
    </w:p>
    <w:p w14:paraId="568AADB1">
      <w:pPr>
        <w:pStyle w:val="3"/>
        <w:numPr>
          <w:ilvl w:val="0"/>
          <w:numId w:val="10"/>
        </w:numPr>
        <w:rPr>
          <w:highlight w:val="none"/>
          <w:lang w:val="zh-CN"/>
        </w:rPr>
      </w:pPr>
      <w:bookmarkStart w:id="89" w:name="_Toc198237318"/>
      <w:bookmarkStart w:id="90" w:name="_Toc24692"/>
      <w:bookmarkStart w:id="91" w:name="_Toc198237507"/>
      <w:r>
        <w:rPr>
          <w:rFonts w:hint="eastAsia"/>
          <w:highlight w:val="none"/>
          <w:lang w:val="zh-CN"/>
        </w:rPr>
        <w:t>用途结构调整</w:t>
      </w:r>
      <w:bookmarkEnd w:id="89"/>
      <w:bookmarkEnd w:id="90"/>
      <w:bookmarkEnd w:id="91"/>
    </w:p>
    <w:p w14:paraId="21364E59">
      <w:pPr>
        <w:pStyle w:val="60"/>
        <w:ind w:left="0" w:firstLine="640" w:firstLineChars="200"/>
        <w:rPr>
          <w:highlight w:val="none"/>
        </w:rPr>
      </w:pPr>
      <w:bookmarkStart w:id="92" w:name="_Toc198237319"/>
      <w:r>
        <w:rPr>
          <w:rFonts w:hint="eastAsia"/>
          <w:highlight w:val="none"/>
        </w:rPr>
        <w:t>国土空间用途结构调整</w:t>
      </w:r>
      <w:bookmarkEnd w:id="92"/>
    </w:p>
    <w:p w14:paraId="27043460">
      <w:pPr>
        <w:pStyle w:val="15"/>
        <w:ind w:firstLine="640"/>
        <w:rPr>
          <w:rFonts w:hint="eastAsia" w:eastAsia="仿宋_GB2312"/>
          <w:highlight w:val="none"/>
          <w:lang w:val="en-US" w:eastAsia="zh-CN"/>
        </w:rPr>
      </w:pPr>
      <w:r>
        <w:rPr>
          <w:rFonts w:hint="eastAsia" w:ascii="楷体_GB2312" w:hAnsi="楷体_GB2312" w:eastAsia="楷体_GB2312" w:cs="楷体_GB2312"/>
          <w:highlight w:val="none"/>
        </w:rPr>
        <w:t>耕地。</w:t>
      </w:r>
      <w:r>
        <w:rPr>
          <w:rFonts w:hint="eastAsia"/>
          <w:highlight w:val="none"/>
        </w:rPr>
        <w:t>严格落实共和县下达的耕地保护目标及永久基本农田保护要求，落实耕地占补平衡和进出平衡，重点引导其他草地开发和即可恢复类土地复耕，规划期末耕地面积69.41平方千米</w:t>
      </w:r>
      <w:r>
        <w:rPr>
          <w:rFonts w:hint="eastAsia"/>
          <w:highlight w:val="none"/>
          <w:lang w:eastAsia="zh-CN"/>
        </w:rPr>
        <w:t>。</w:t>
      </w:r>
    </w:p>
    <w:p w14:paraId="78E48683">
      <w:pPr>
        <w:pStyle w:val="15"/>
        <w:ind w:firstLine="640"/>
        <w:rPr>
          <w:rFonts w:hint="eastAsia" w:eastAsia="仿宋_GB2312"/>
          <w:highlight w:val="none"/>
          <w:lang w:eastAsia="zh-CN"/>
        </w:rPr>
      </w:pPr>
      <w:r>
        <w:rPr>
          <w:rFonts w:hint="eastAsia" w:ascii="楷体_GB2312" w:hAnsi="楷体_GB2312" w:eastAsia="楷体_GB2312" w:cs="楷体_GB2312"/>
          <w:highlight w:val="none"/>
        </w:rPr>
        <w:t>园地。</w:t>
      </w:r>
      <w:r>
        <w:rPr>
          <w:rFonts w:hint="eastAsia"/>
          <w:highlight w:val="none"/>
        </w:rPr>
        <w:t>统筹耕地保护与种植结构调整的关系，保护现有园地，适当调整复垦低产低效、残次园地，保持园地面积基本稳定</w:t>
      </w:r>
      <w:r>
        <w:rPr>
          <w:rFonts w:hint="eastAsia"/>
          <w:highlight w:val="none"/>
          <w:lang w:eastAsia="zh-CN"/>
        </w:rPr>
        <w:t>。</w:t>
      </w:r>
    </w:p>
    <w:p w14:paraId="6830488C">
      <w:pPr>
        <w:pStyle w:val="15"/>
        <w:ind w:firstLine="640"/>
        <w:rPr>
          <w:rFonts w:hint="eastAsia" w:eastAsia="仿宋_GB2312"/>
          <w:highlight w:val="none"/>
          <w:lang w:eastAsia="zh-CN"/>
        </w:rPr>
      </w:pPr>
      <w:r>
        <w:rPr>
          <w:rFonts w:hint="eastAsia" w:ascii="楷体_GB2312" w:hAnsi="楷体_GB2312" w:eastAsia="楷体_GB2312" w:cs="楷体_GB2312"/>
          <w:highlight w:val="none"/>
        </w:rPr>
        <w:t>林地。</w:t>
      </w:r>
      <w:r>
        <w:rPr>
          <w:rFonts w:hint="eastAsia"/>
          <w:highlight w:val="none"/>
        </w:rPr>
        <w:t>积极推进国土绿化工程，规划期末林地面积44.96平方千米</w:t>
      </w:r>
      <w:r>
        <w:rPr>
          <w:rFonts w:hint="eastAsia"/>
          <w:highlight w:val="none"/>
          <w:lang w:eastAsia="zh-CN"/>
        </w:rPr>
        <w:t>。</w:t>
      </w:r>
    </w:p>
    <w:p w14:paraId="27DA669D">
      <w:pPr>
        <w:pStyle w:val="15"/>
        <w:ind w:firstLine="640"/>
        <w:rPr>
          <w:rFonts w:hint="eastAsia" w:eastAsia="仿宋_GB2312"/>
          <w:highlight w:val="none"/>
          <w:lang w:eastAsia="zh-CN"/>
        </w:rPr>
      </w:pPr>
      <w:r>
        <w:rPr>
          <w:rFonts w:hint="eastAsia" w:ascii="楷体_GB2312" w:hAnsi="楷体_GB2312" w:eastAsia="楷体_GB2312" w:cs="楷体_GB2312"/>
          <w:highlight w:val="none"/>
        </w:rPr>
        <w:t>草地。</w:t>
      </w:r>
      <w:r>
        <w:rPr>
          <w:rFonts w:hint="eastAsia"/>
          <w:highlight w:val="none"/>
        </w:rPr>
        <w:t>严格基本草原保护制度，实施草畜平衡，推进其他草地向牧草地转化；规划支持乡村振兴发展空间，保障重点村用地需求，规划期末</w:t>
      </w:r>
      <w:r>
        <w:rPr>
          <w:rFonts w:hint="eastAsia"/>
          <w:highlight w:val="none"/>
          <w:lang w:val="en-US" w:eastAsia="zh-CN"/>
        </w:rPr>
        <w:t>草地</w:t>
      </w:r>
      <w:r>
        <w:rPr>
          <w:rFonts w:hint="eastAsia"/>
          <w:highlight w:val="none"/>
        </w:rPr>
        <w:t>面积</w:t>
      </w:r>
      <w:r>
        <w:rPr>
          <w:highlight w:val="none"/>
        </w:rPr>
        <w:t>512.49</w:t>
      </w:r>
      <w:r>
        <w:rPr>
          <w:rFonts w:hint="eastAsia"/>
          <w:highlight w:val="none"/>
        </w:rPr>
        <w:t>平方千米</w:t>
      </w:r>
      <w:r>
        <w:rPr>
          <w:rFonts w:hint="eastAsia"/>
          <w:highlight w:val="none"/>
          <w:lang w:eastAsia="zh-CN"/>
        </w:rPr>
        <w:t>。</w:t>
      </w:r>
    </w:p>
    <w:p w14:paraId="7D2E72E9">
      <w:pPr>
        <w:pStyle w:val="15"/>
        <w:ind w:firstLine="640"/>
        <w:rPr>
          <w:rFonts w:hint="eastAsia" w:eastAsia="仿宋_GB2312"/>
          <w:highlight w:val="none"/>
          <w:lang w:eastAsia="zh-CN"/>
        </w:rPr>
      </w:pPr>
      <w:r>
        <w:rPr>
          <w:rFonts w:hint="eastAsia" w:ascii="楷体_GB2312" w:hAnsi="楷体_GB2312" w:eastAsia="楷体_GB2312" w:cs="楷体_GB2312"/>
          <w:highlight w:val="none"/>
        </w:rPr>
        <w:t>湿地和陆地水域。</w:t>
      </w:r>
      <w:r>
        <w:rPr>
          <w:rFonts w:hint="eastAsia"/>
          <w:highlight w:val="none"/>
        </w:rPr>
        <w:t>按照生态优先原则，严格保护湿地、河流、湖泊、滩涂等自然保护区域，严格控制对具有重要生态功能的未利用地开发。规划期末湿地面积14.20平方千米</w:t>
      </w:r>
      <w:r>
        <w:rPr>
          <w:rFonts w:hint="eastAsia"/>
          <w:highlight w:val="none"/>
          <w:lang w:eastAsia="zh-CN"/>
        </w:rPr>
        <w:t>，</w:t>
      </w:r>
      <w:r>
        <w:rPr>
          <w:rFonts w:hint="eastAsia"/>
          <w:highlight w:val="none"/>
        </w:rPr>
        <w:t>规划期末陆地水域面积16.85平方千米</w:t>
      </w:r>
      <w:r>
        <w:rPr>
          <w:rFonts w:hint="eastAsia"/>
          <w:highlight w:val="none"/>
          <w:lang w:eastAsia="zh-CN"/>
        </w:rPr>
        <w:t>。</w:t>
      </w:r>
    </w:p>
    <w:p w14:paraId="36EAC909">
      <w:pPr>
        <w:pStyle w:val="15"/>
        <w:ind w:firstLine="640"/>
        <w:rPr>
          <w:rFonts w:hint="eastAsia" w:eastAsia="仿宋_GB2312"/>
          <w:highlight w:val="none"/>
          <w:lang w:eastAsia="zh-CN"/>
        </w:rPr>
      </w:pPr>
      <w:r>
        <w:rPr>
          <w:rFonts w:hint="eastAsia" w:ascii="楷体_GB2312" w:hAnsi="楷体_GB2312" w:eastAsia="楷体_GB2312" w:cs="楷体_GB2312"/>
          <w:highlight w:val="none"/>
        </w:rPr>
        <w:t>农业设施建设用地。</w:t>
      </w:r>
      <w:r>
        <w:rPr>
          <w:rFonts w:hint="eastAsia"/>
          <w:highlight w:val="none"/>
        </w:rPr>
        <w:t>规划重点增加养殖合作社等畜禽养殖设施建设用地，规划期末农业设施建设用地面积3.55平方千米</w:t>
      </w:r>
      <w:r>
        <w:rPr>
          <w:rFonts w:hint="eastAsia"/>
          <w:highlight w:val="none"/>
          <w:lang w:eastAsia="zh-CN"/>
        </w:rPr>
        <w:t>。</w:t>
      </w:r>
    </w:p>
    <w:p w14:paraId="1A374786">
      <w:pPr>
        <w:pStyle w:val="15"/>
        <w:ind w:firstLine="640"/>
        <w:rPr>
          <w:rFonts w:hAnsi="仿宋_GB2312" w:cs="仿宋_GB2312"/>
          <w:szCs w:val="24"/>
          <w:highlight w:val="none"/>
          <w:lang w:bidi="ar"/>
        </w:rPr>
      </w:pPr>
      <w:r>
        <w:rPr>
          <w:rFonts w:hint="eastAsia" w:ascii="楷体_GB2312" w:hAnsi="楷体_GB2312" w:eastAsia="楷体_GB2312" w:cs="楷体_GB2312"/>
          <w:highlight w:val="none"/>
        </w:rPr>
        <w:t>城镇用地。</w:t>
      </w:r>
      <w:r>
        <w:rPr>
          <w:rFonts w:hint="eastAsia" w:hAnsi="仿宋_GB2312" w:cs="仿宋_GB2312"/>
          <w:szCs w:val="24"/>
          <w:highlight w:val="none"/>
          <w:lang w:bidi="ar"/>
        </w:rPr>
        <w:t>规划期末城镇建设用地面积0.48平方千米。主要包括城镇开发边界内的用地。</w:t>
      </w:r>
    </w:p>
    <w:p w14:paraId="7762D203">
      <w:pPr>
        <w:pStyle w:val="15"/>
        <w:ind w:firstLine="640"/>
        <w:rPr>
          <w:rFonts w:hint="eastAsia" w:eastAsia="仿宋_GB2312"/>
          <w:highlight w:val="none"/>
          <w:lang w:eastAsia="zh-CN"/>
        </w:rPr>
      </w:pPr>
      <w:r>
        <w:rPr>
          <w:rFonts w:hint="eastAsia" w:ascii="楷体_GB2312" w:hAnsi="楷体_GB2312" w:eastAsia="楷体_GB2312" w:cs="楷体_GB2312"/>
          <w:highlight w:val="none"/>
        </w:rPr>
        <w:t>村庄用地。</w:t>
      </w:r>
      <w:r>
        <w:rPr>
          <w:rFonts w:hint="eastAsia"/>
          <w:highlight w:val="none"/>
        </w:rPr>
        <w:t>优化村庄用地布局结构，合理控制建设用地规模。通过整理腾退的建设用地，在保障项目区农民安置、基础设施建设等用地前提下，重点用于农村一二三产业融合发展，促进产业振兴，规划期末村庄用地基本保持不变。</w:t>
      </w:r>
      <w:r>
        <w:rPr>
          <w:rFonts w:hint="eastAsia"/>
          <w:highlight w:val="none"/>
          <w:lang w:val="en-US" w:eastAsia="zh-CN"/>
        </w:rPr>
        <w:t>至2035年</w:t>
      </w:r>
      <w:r>
        <w:rPr>
          <w:rFonts w:hint="eastAsia"/>
          <w:highlight w:val="none"/>
        </w:rPr>
        <w:t>村庄建设用地面积2.06平方千米</w:t>
      </w:r>
      <w:r>
        <w:rPr>
          <w:rFonts w:hint="eastAsia"/>
          <w:highlight w:val="none"/>
          <w:lang w:eastAsia="zh-CN"/>
        </w:rPr>
        <w:t>。</w:t>
      </w:r>
    </w:p>
    <w:p w14:paraId="616283AA">
      <w:pPr>
        <w:pStyle w:val="15"/>
        <w:ind w:firstLine="640"/>
        <w:rPr>
          <w:highlight w:val="none"/>
        </w:rPr>
      </w:pPr>
      <w:r>
        <w:rPr>
          <w:rFonts w:hint="eastAsia" w:ascii="楷体_GB2312" w:hAnsi="楷体_GB2312" w:eastAsia="楷体_GB2312" w:cs="楷体_GB2312"/>
          <w:highlight w:val="none"/>
        </w:rPr>
        <w:t>区域基础设施用地。</w:t>
      </w:r>
      <w:r>
        <w:rPr>
          <w:rFonts w:hint="eastAsia"/>
          <w:highlight w:val="none"/>
        </w:rPr>
        <w:t>保障江西沟镇基础设施建设，</w:t>
      </w:r>
      <w:r>
        <w:rPr>
          <w:rFonts w:hint="eastAsia"/>
          <w:highlight w:val="none"/>
          <w:lang w:val="en-US" w:eastAsia="zh-CN"/>
        </w:rPr>
        <w:t>至2035年</w:t>
      </w:r>
      <w:r>
        <w:rPr>
          <w:rFonts w:hint="eastAsia"/>
          <w:highlight w:val="none"/>
        </w:rPr>
        <w:t>规划区域基础设施用地面积1.19平方千米。</w:t>
      </w:r>
    </w:p>
    <w:p w14:paraId="0F0127B7">
      <w:pPr>
        <w:rPr>
          <w:highlight w:val="none"/>
        </w:rPr>
      </w:pPr>
      <w:r>
        <w:rPr>
          <w:rFonts w:hint="eastAsia"/>
          <w:highlight w:val="none"/>
        </w:rPr>
        <w:br w:type="page"/>
      </w:r>
    </w:p>
    <w:p w14:paraId="3A5D47A9">
      <w:pPr>
        <w:pStyle w:val="2"/>
        <w:ind w:left="0" w:firstLine="0"/>
        <w:rPr>
          <w:highlight w:val="none"/>
        </w:rPr>
      </w:pPr>
      <w:bookmarkStart w:id="93" w:name="_Toc198237320"/>
      <w:bookmarkStart w:id="94" w:name="_Toc198237508"/>
      <w:bookmarkStart w:id="95" w:name="_Toc18252"/>
      <w:r>
        <w:rPr>
          <w:rFonts w:hint="eastAsia"/>
          <w:highlight w:val="none"/>
        </w:rPr>
        <w:t>优化生态空间格局，筑牢</w:t>
      </w:r>
      <w:r>
        <w:rPr>
          <w:rFonts w:hint="eastAsia"/>
          <w:highlight w:val="none"/>
          <w:lang w:val="en-US" w:eastAsia="zh-CN"/>
        </w:rPr>
        <w:t>环湖</w:t>
      </w:r>
      <w:r>
        <w:rPr>
          <w:rFonts w:hint="eastAsia"/>
          <w:highlight w:val="none"/>
        </w:rPr>
        <w:t>生态屏障</w:t>
      </w:r>
      <w:bookmarkEnd w:id="93"/>
      <w:bookmarkEnd w:id="94"/>
      <w:bookmarkEnd w:id="95"/>
    </w:p>
    <w:p w14:paraId="6907E83D">
      <w:pPr>
        <w:pStyle w:val="3"/>
        <w:numPr>
          <w:ilvl w:val="0"/>
          <w:numId w:val="11"/>
        </w:numPr>
        <w:rPr>
          <w:highlight w:val="none"/>
          <w:lang w:val="zh-CN"/>
        </w:rPr>
      </w:pPr>
      <w:bookmarkStart w:id="96" w:name="_Toc18681"/>
      <w:bookmarkStart w:id="97" w:name="_Toc198237321"/>
      <w:bookmarkStart w:id="98" w:name="_Toc26326"/>
      <w:bookmarkStart w:id="99" w:name="_Toc31098"/>
      <w:bookmarkStart w:id="100" w:name="_Toc198237509"/>
      <w:r>
        <w:rPr>
          <w:rFonts w:hint="eastAsia"/>
          <w:highlight w:val="none"/>
          <w:lang w:val="zh-CN"/>
        </w:rPr>
        <w:t>保护生态空间，构建山清水秀的良好生态景观</w:t>
      </w:r>
      <w:bookmarkEnd w:id="96"/>
      <w:bookmarkEnd w:id="97"/>
      <w:bookmarkEnd w:id="98"/>
      <w:bookmarkEnd w:id="99"/>
      <w:bookmarkEnd w:id="100"/>
    </w:p>
    <w:p w14:paraId="6F655CED">
      <w:pPr>
        <w:pStyle w:val="60"/>
        <w:ind w:left="0" w:firstLine="640" w:firstLineChars="200"/>
        <w:rPr>
          <w:highlight w:val="none"/>
        </w:rPr>
      </w:pPr>
      <w:bookmarkStart w:id="101" w:name="_Toc198237322"/>
      <w:r>
        <w:rPr>
          <w:rFonts w:hint="eastAsia"/>
          <w:highlight w:val="none"/>
        </w:rPr>
        <w:t>落实以国家公园为主体的自然保护地体系</w:t>
      </w:r>
      <w:bookmarkEnd w:id="101"/>
    </w:p>
    <w:p w14:paraId="1EAAD81A">
      <w:pPr>
        <w:pStyle w:val="15"/>
        <w:ind w:firstLine="640"/>
        <w:rPr>
          <w:rFonts w:hAnsi="仿宋_GB2312" w:cs="仿宋_GB2312"/>
          <w:highlight w:val="none"/>
        </w:rPr>
      </w:pPr>
      <w:r>
        <w:rPr>
          <w:rFonts w:hint="eastAsia" w:ascii="楷体_GB2312" w:hAnsi="仿宋_GB2312" w:eastAsia="楷体_GB2312" w:cs="仿宋_GB2312"/>
          <w:highlight w:val="none"/>
        </w:rPr>
        <w:t>自然保护地体系。</w:t>
      </w:r>
      <w:r>
        <w:rPr>
          <w:rFonts w:hint="eastAsia" w:hAnsi="仿宋_GB2312" w:cs="仿宋_GB2312"/>
          <w:highlight w:val="none"/>
        </w:rPr>
        <w:t>江西沟镇自然保护地总面积650.57平方千米，其中青海湖国家级自然保护区面积116.90平方千米，青海湖国家级风景名胜区面积533.67平方千米。</w:t>
      </w:r>
    </w:p>
    <w:p w14:paraId="1B31156B">
      <w:pPr>
        <w:pStyle w:val="15"/>
        <w:ind w:firstLine="640"/>
        <w:rPr>
          <w:rFonts w:hAnsi="仿宋_GB2312" w:cs="仿宋_GB2312"/>
          <w:highlight w:val="none"/>
        </w:rPr>
      </w:pPr>
      <w:r>
        <w:rPr>
          <w:rFonts w:hint="eastAsia" w:ascii="楷体_GB2312" w:hAnsi="仿宋_GB2312" w:eastAsia="楷体_GB2312" w:cs="仿宋_GB2312"/>
          <w:highlight w:val="none"/>
        </w:rPr>
        <w:t>助力国家公园创建。</w:t>
      </w:r>
      <w:r>
        <w:rPr>
          <w:rFonts w:hint="eastAsia" w:hAnsi="仿宋_GB2312" w:cs="仿宋_GB2312"/>
          <w:highlight w:val="none"/>
        </w:rPr>
        <w:t>高站位高标准助力青海湖国家公园创建工作，统筹湖里和岸上、水源和流域，全面实施山水林田湖草沙一体化保护和系统治理，使创建国家公园和打造国际生态旅游目的地相得益彰。通过环湖流域生态综合治理，恢复林草植被，治理风沙，防止荒漠化，稳定并逐步增加环湖河流入湖流量，遏制地区生态环境恶化状况，拯救濒危物种普氏原羚栖息环境，不断提升青海湖生态系统的多样性、稳定性和持续性。</w:t>
      </w:r>
    </w:p>
    <w:p w14:paraId="450F77A6">
      <w:pPr>
        <w:pStyle w:val="60"/>
        <w:ind w:left="0" w:firstLine="640" w:firstLineChars="200"/>
        <w:rPr>
          <w:highlight w:val="none"/>
        </w:rPr>
      </w:pPr>
      <w:bookmarkStart w:id="102" w:name="_Toc198237323"/>
      <w:r>
        <w:rPr>
          <w:rFonts w:hint="eastAsia"/>
          <w:highlight w:val="none"/>
        </w:rPr>
        <w:t>加强自然保护地管控</w:t>
      </w:r>
      <w:bookmarkEnd w:id="102"/>
    </w:p>
    <w:p w14:paraId="7D6DE39B">
      <w:pPr>
        <w:pStyle w:val="15"/>
        <w:ind w:firstLine="640"/>
        <w:rPr>
          <w:rFonts w:hAnsi="仿宋_GB2312" w:cs="仿宋_GB2312"/>
          <w:highlight w:val="none"/>
        </w:rPr>
      </w:pPr>
      <w:r>
        <w:rPr>
          <w:rFonts w:hint="eastAsia" w:hAnsi="仿宋_GB2312" w:cs="仿宋_GB2312"/>
          <w:highlight w:val="none"/>
        </w:rPr>
        <w:t>严格落实对自然保护地核心保护区和一般控制区的管控要求。加强自然保护地管控，保护生态系统的原真性和完整性，维持和恢复珍稀濒危野生动植物种群数量及赖以生存的栖息环境。坚持生态优先、绿色发展，巩固和扩大生态安全屏障建设成果。以助力青海湖国家公园创建为重点，全面提升自然生态系统稳定性和生态功能，打造山水林田湖草沙生命共同体。</w:t>
      </w:r>
    </w:p>
    <w:p w14:paraId="7BC1BC5F">
      <w:pPr>
        <w:pStyle w:val="3"/>
        <w:numPr>
          <w:ilvl w:val="0"/>
          <w:numId w:val="11"/>
        </w:numPr>
        <w:rPr>
          <w:highlight w:val="none"/>
          <w:lang w:val="zh-CN"/>
        </w:rPr>
      </w:pPr>
      <w:bookmarkStart w:id="103" w:name="_Toc198237324"/>
      <w:bookmarkStart w:id="104" w:name="_Toc30765"/>
      <w:bookmarkStart w:id="105" w:name="_Toc198237510"/>
      <w:bookmarkStart w:id="106" w:name="_Toc25670"/>
      <w:bookmarkStart w:id="107" w:name="_Toc26778"/>
      <w:r>
        <w:rPr>
          <w:rFonts w:hint="eastAsia"/>
          <w:highlight w:val="none"/>
          <w:lang w:val="zh-CN"/>
        </w:rPr>
        <w:t>建设生物多样性保护网络</w:t>
      </w:r>
      <w:bookmarkEnd w:id="103"/>
      <w:bookmarkEnd w:id="104"/>
      <w:bookmarkEnd w:id="105"/>
      <w:bookmarkEnd w:id="106"/>
      <w:bookmarkEnd w:id="107"/>
    </w:p>
    <w:p w14:paraId="52648D82">
      <w:pPr>
        <w:pStyle w:val="60"/>
        <w:ind w:left="0" w:firstLine="640" w:firstLineChars="200"/>
        <w:rPr>
          <w:highlight w:val="none"/>
        </w:rPr>
      </w:pPr>
      <w:bookmarkStart w:id="108" w:name="_Toc198237325"/>
      <w:r>
        <w:rPr>
          <w:rFonts w:hint="eastAsia"/>
          <w:highlight w:val="none"/>
        </w:rPr>
        <w:t>加强生物多样性关键区建设</w:t>
      </w:r>
      <w:bookmarkEnd w:id="108"/>
    </w:p>
    <w:p w14:paraId="76959DF3">
      <w:pPr>
        <w:pStyle w:val="15"/>
        <w:ind w:firstLine="640"/>
        <w:rPr>
          <w:rFonts w:hAnsi="仿宋_GB2312" w:cs="仿宋_GB2312"/>
          <w:highlight w:val="none"/>
        </w:rPr>
      </w:pPr>
      <w:r>
        <w:rPr>
          <w:rFonts w:hint="eastAsia" w:hAnsi="仿宋_GB2312" w:cs="仿宋_GB2312"/>
          <w:highlight w:val="none"/>
        </w:rPr>
        <w:t>依托河湖、森林、湿地、高山草甸等生态空间，以国家公园建设为重点，按照维护自然生态系统完整性、原真性的要求，推进环青海湖地区、青海湖南部生物多样性建设，提高自然生态系统的稳定性。加强现有生物多样性分布空间保护力度，落实物种迁地保护，保障野生动植物园、野生动物繁育基地、监测站点等</w:t>
      </w:r>
      <w:r>
        <w:rPr>
          <w:rFonts w:hint="eastAsia" w:hAnsi="仿宋_GB2312" w:cs="仿宋_GB2312"/>
          <w:highlight w:val="none"/>
          <w:lang w:eastAsia="zh-CN"/>
        </w:rPr>
        <w:t>保护</w:t>
      </w:r>
      <w:r>
        <w:rPr>
          <w:rFonts w:hint="eastAsia" w:hAnsi="仿宋_GB2312" w:cs="仿宋_GB2312"/>
          <w:highlight w:val="none"/>
        </w:rPr>
        <w:t>用地。</w:t>
      </w:r>
    </w:p>
    <w:p w14:paraId="64D9586E">
      <w:pPr>
        <w:pStyle w:val="15"/>
        <w:ind w:firstLine="640"/>
        <w:rPr>
          <w:rFonts w:hAnsi="仿宋_GB2312" w:cs="仿宋_GB2312"/>
          <w:highlight w:val="none"/>
        </w:rPr>
      </w:pPr>
      <w:r>
        <w:rPr>
          <w:rFonts w:hint="eastAsia" w:ascii="楷体_GB2312" w:hAnsi="仿宋_GB2312" w:eastAsia="楷体_GB2312" w:cs="仿宋_GB2312"/>
          <w:highlight w:val="none"/>
        </w:rPr>
        <w:t>环青海湖地区。</w:t>
      </w:r>
      <w:r>
        <w:rPr>
          <w:rFonts w:hint="eastAsia" w:hAnsi="仿宋_GB2312" w:cs="仿宋_GB2312"/>
          <w:highlight w:val="none"/>
        </w:rPr>
        <w:t>促进流域、林地、草地、湿地生态系统和生物多样性生态系统良性循环，加强裸鲤、鸟类以及</w:t>
      </w:r>
      <w:r>
        <w:rPr>
          <w:rFonts w:hint="eastAsia" w:hAnsi="仿宋_GB2312" w:cs="仿宋_GB2312"/>
          <w:highlight w:val="none"/>
          <w:lang w:eastAsia="zh-CN"/>
        </w:rPr>
        <w:t>其他</w:t>
      </w:r>
      <w:r>
        <w:rPr>
          <w:rFonts w:hint="eastAsia" w:hAnsi="仿宋_GB2312" w:cs="仿宋_GB2312"/>
          <w:highlight w:val="none"/>
        </w:rPr>
        <w:t>珍稀野生动物保护，加大沙漠化土地治理力度。</w:t>
      </w:r>
    </w:p>
    <w:p w14:paraId="01225632">
      <w:pPr>
        <w:pStyle w:val="15"/>
        <w:ind w:firstLine="640"/>
        <w:rPr>
          <w:rFonts w:hAnsi="仿宋_GB2312" w:cs="仿宋_GB2312"/>
          <w:highlight w:val="none"/>
        </w:rPr>
      </w:pPr>
      <w:r>
        <w:rPr>
          <w:rFonts w:hint="eastAsia" w:ascii="楷体_GB2312" w:hAnsi="仿宋_GB2312" w:eastAsia="楷体_GB2312" w:cs="仿宋_GB2312"/>
          <w:highlight w:val="none"/>
        </w:rPr>
        <w:t>青海湖湖南区域。</w:t>
      </w:r>
      <w:r>
        <w:rPr>
          <w:rFonts w:hint="eastAsia" w:hAnsi="仿宋_GB2312" w:cs="仿宋_GB2312"/>
          <w:highlight w:val="none"/>
        </w:rPr>
        <w:t>保护候鸟、湟鱼洄游等重点空间，落实第六次青海湖封湖育鱼行动，畅通河流洄游通道，加强产卵场保护。</w:t>
      </w:r>
    </w:p>
    <w:p w14:paraId="1D5174AA">
      <w:pPr>
        <w:pStyle w:val="60"/>
        <w:ind w:left="0" w:firstLine="640" w:firstLineChars="200"/>
        <w:rPr>
          <w:highlight w:val="none"/>
        </w:rPr>
      </w:pPr>
      <w:bookmarkStart w:id="109" w:name="_Toc198237326"/>
      <w:r>
        <w:rPr>
          <w:rFonts w:hint="eastAsia"/>
          <w:highlight w:val="none"/>
        </w:rPr>
        <w:t>保护水生生物资源</w:t>
      </w:r>
      <w:bookmarkEnd w:id="109"/>
    </w:p>
    <w:p w14:paraId="58F54F96">
      <w:pPr>
        <w:pStyle w:val="15"/>
        <w:ind w:firstLine="640"/>
        <w:rPr>
          <w:rFonts w:hAnsi="仿宋_GB2312" w:cs="仿宋_GB2312"/>
          <w:highlight w:val="none"/>
        </w:rPr>
      </w:pPr>
      <w:r>
        <w:rPr>
          <w:rFonts w:hint="eastAsia" w:hAnsi="仿宋_GB2312" w:cs="仿宋_GB2312"/>
          <w:highlight w:val="none"/>
        </w:rPr>
        <w:t>加强重点珍稀水生生物重要栖息地和水产种质资源完整性保护，保护青海湖裸鲤等主要水生生物洄游通道，改善水生生物栖息地生存环境，推进水产种质资源保护区建设。严格执行涉及青海湖禁渔期、禁渔区管理等有关法律法规及政策规定，依法查处非法捕捞、销售珍稀水生生物行为。科学规范开展土著鱼类增殖放流，补充和恢复天然水域鱼类种质资源，维护水生生物多样性。</w:t>
      </w:r>
    </w:p>
    <w:p w14:paraId="55FB0AD0">
      <w:pPr>
        <w:pStyle w:val="60"/>
        <w:ind w:left="0" w:firstLine="640" w:firstLineChars="200"/>
        <w:rPr>
          <w:highlight w:val="none"/>
        </w:rPr>
      </w:pPr>
      <w:bookmarkStart w:id="110" w:name="_Toc198237327"/>
      <w:r>
        <w:rPr>
          <w:rFonts w:hint="eastAsia"/>
          <w:highlight w:val="none"/>
        </w:rPr>
        <w:t>完善生物多样性保护措施</w:t>
      </w:r>
      <w:bookmarkEnd w:id="110"/>
    </w:p>
    <w:p w14:paraId="1ADAC381">
      <w:pPr>
        <w:pStyle w:val="15"/>
        <w:ind w:firstLine="640"/>
        <w:rPr>
          <w:rFonts w:hAnsi="仿宋_GB2312" w:cs="仿宋_GB2312"/>
          <w:highlight w:val="none"/>
        </w:rPr>
      </w:pPr>
      <w:r>
        <w:rPr>
          <w:rFonts w:hint="eastAsia" w:hAnsi="仿宋_GB2312" w:cs="仿宋_GB2312"/>
          <w:highlight w:val="none"/>
        </w:rPr>
        <w:t>加强生物多样性调查与监测，开展珍稀濒危野生动植物调查、监测与评估，编制野生动植物名录，完善生物多样性监测网络体系和</w:t>
      </w:r>
      <w:r>
        <w:rPr>
          <w:rFonts w:hint="eastAsia" w:hAnsi="仿宋_GB2312" w:cs="仿宋_GB2312"/>
          <w:highlight w:val="none"/>
          <w:lang w:eastAsia="zh-CN"/>
        </w:rPr>
        <w:t>救助</w:t>
      </w:r>
      <w:r>
        <w:rPr>
          <w:rFonts w:hint="eastAsia" w:hAnsi="仿宋_GB2312" w:cs="仿宋_GB2312"/>
          <w:highlight w:val="none"/>
        </w:rPr>
        <w:t>体系。强化栖息地整体系统保护，建设野生动植物及栖息地保护监测平台，实施受损栖息地修复、野生动物廊道建设等专项工程，健全野生动植物保护基地、迁徙廊道、救护站等，营造适宜野生动物栖息的环境。实施迁地人工繁育保护，开展人工种群繁育野化实验，保存恢复和扩大野生种群。强化草原生物灾害监测预警，加强草原有害生物及外来入侵物种防治，不断提高绿色防治水平。加强生物遗传资源保护基础能力建设，推动建立野生生物遗传资源基因库，积极建设作物种质资源库。</w:t>
      </w:r>
    </w:p>
    <w:p w14:paraId="558ADB97">
      <w:pPr>
        <w:pStyle w:val="3"/>
        <w:numPr>
          <w:ilvl w:val="0"/>
          <w:numId w:val="11"/>
        </w:numPr>
        <w:rPr>
          <w:highlight w:val="none"/>
          <w:lang w:val="zh-CN"/>
        </w:rPr>
      </w:pPr>
      <w:bookmarkStart w:id="111" w:name="_Toc21408"/>
      <w:bookmarkStart w:id="112" w:name="_Toc19402"/>
      <w:bookmarkStart w:id="113" w:name="_Toc198237511"/>
      <w:bookmarkStart w:id="114" w:name="_Toc10387"/>
      <w:bookmarkStart w:id="115" w:name="_Toc198237328"/>
      <w:r>
        <w:rPr>
          <w:rFonts w:hint="eastAsia"/>
          <w:highlight w:val="none"/>
          <w:lang w:val="zh-CN"/>
        </w:rPr>
        <w:t>增强水资源刚性约束和管控</w:t>
      </w:r>
      <w:bookmarkEnd w:id="111"/>
      <w:bookmarkEnd w:id="112"/>
      <w:bookmarkEnd w:id="113"/>
      <w:bookmarkEnd w:id="114"/>
      <w:bookmarkEnd w:id="115"/>
    </w:p>
    <w:p w14:paraId="4B1724BE">
      <w:pPr>
        <w:pStyle w:val="60"/>
        <w:ind w:left="0" w:firstLine="640" w:firstLineChars="200"/>
        <w:rPr>
          <w:highlight w:val="none"/>
        </w:rPr>
      </w:pPr>
      <w:bookmarkStart w:id="116" w:name="_Toc198237329"/>
      <w:r>
        <w:rPr>
          <w:rFonts w:hint="eastAsia"/>
          <w:highlight w:val="none"/>
        </w:rPr>
        <w:t>严格水资源刚性约束</w:t>
      </w:r>
      <w:bookmarkEnd w:id="116"/>
    </w:p>
    <w:p w14:paraId="51E974A6">
      <w:pPr>
        <w:pStyle w:val="15"/>
        <w:ind w:firstLine="640"/>
        <w:rPr>
          <w:rFonts w:hAnsi="仿宋_GB2312" w:cs="仿宋_GB2312"/>
          <w:highlight w:val="none"/>
          <w:u w:val="single"/>
        </w:rPr>
      </w:pPr>
      <w:r>
        <w:rPr>
          <w:rFonts w:hint="eastAsia" w:hAnsi="仿宋_GB2312" w:cs="仿宋_GB2312"/>
          <w:highlight w:val="none"/>
        </w:rPr>
        <w:t>坚持以水定地、以水定产、以水定城、以水定人，严格落实用水总量、用水效率和水环境功能区限制纳污“三条红线”，落实水资源消耗总量和强度双控制，以水资源最大刚性约束抑制不合理用水需求，促进发展规模、产业布局与水资源承载能力相协调。</w:t>
      </w:r>
      <w:r>
        <w:rPr>
          <w:rFonts w:hint="eastAsia" w:hAnsi="仿宋_GB2312" w:cs="仿宋_GB2312"/>
          <w:highlight w:val="none"/>
          <w:u w:val="single"/>
        </w:rPr>
        <w:t>2035年，江西沟镇用水总量控制在县级下达指标内。</w:t>
      </w:r>
    </w:p>
    <w:p w14:paraId="042CE62A">
      <w:pPr>
        <w:pStyle w:val="60"/>
        <w:ind w:left="0" w:firstLine="640" w:firstLineChars="200"/>
        <w:rPr>
          <w:highlight w:val="none"/>
        </w:rPr>
      </w:pPr>
      <w:bookmarkStart w:id="117" w:name="_Toc198237330"/>
      <w:r>
        <w:rPr>
          <w:rFonts w:hint="eastAsia"/>
          <w:highlight w:val="none"/>
        </w:rPr>
        <w:t>强化水资源节约利用</w:t>
      </w:r>
      <w:bookmarkEnd w:id="117"/>
    </w:p>
    <w:p w14:paraId="49869546">
      <w:pPr>
        <w:pStyle w:val="15"/>
        <w:ind w:firstLine="640"/>
        <w:rPr>
          <w:rFonts w:hAnsi="仿宋_GB2312" w:cs="仿宋_GB2312"/>
          <w:highlight w:val="none"/>
        </w:rPr>
      </w:pPr>
      <w:r>
        <w:rPr>
          <w:rFonts w:hint="eastAsia" w:hAnsi="仿宋_GB2312" w:cs="仿宋_GB2312"/>
          <w:highlight w:val="none"/>
        </w:rPr>
        <w:t>保障粮食安全，提高农业节水水平支撑灌面增长，逐步降低农业用水占比，筑牢生态屏障</w:t>
      </w:r>
      <w:r>
        <w:rPr>
          <w:rFonts w:hint="eastAsia" w:hAnsi="仿宋_GB2312" w:cs="仿宋_GB2312"/>
          <w:highlight w:val="none"/>
          <w:lang w:eastAsia="zh-CN"/>
        </w:rPr>
        <w:t>，</w:t>
      </w:r>
      <w:r>
        <w:rPr>
          <w:rFonts w:hint="eastAsia" w:hAnsi="仿宋_GB2312" w:cs="仿宋_GB2312"/>
          <w:highlight w:val="none"/>
        </w:rPr>
        <w:t>推进沙化土地治理，预留生态环境用水，坚持底线约束，提高用水效率，保障城乡生活用水，提高生活节水水平，推进江西沟镇节水型社会建设。</w:t>
      </w:r>
    </w:p>
    <w:p w14:paraId="4B198B3A">
      <w:pPr>
        <w:pStyle w:val="60"/>
        <w:ind w:left="0" w:firstLine="640" w:firstLineChars="200"/>
        <w:rPr>
          <w:highlight w:val="none"/>
        </w:rPr>
      </w:pPr>
      <w:bookmarkStart w:id="118" w:name="_Toc198237331"/>
      <w:r>
        <w:rPr>
          <w:rFonts w:hint="eastAsia"/>
          <w:highlight w:val="none"/>
        </w:rPr>
        <w:t>加强河湖水域空间管控</w:t>
      </w:r>
      <w:bookmarkEnd w:id="118"/>
    </w:p>
    <w:p w14:paraId="2DFF0005">
      <w:pPr>
        <w:pStyle w:val="15"/>
        <w:ind w:firstLine="640"/>
        <w:rPr>
          <w:rFonts w:hAnsi="仿宋_GB2312" w:cs="仿宋_GB2312"/>
          <w:highlight w:val="none"/>
        </w:rPr>
      </w:pPr>
      <w:r>
        <w:rPr>
          <w:rFonts w:hint="eastAsia" w:ascii="楷体_GB2312" w:hAnsi="仿宋_GB2312" w:eastAsia="楷体_GB2312" w:cs="仿宋_GB2312"/>
          <w:highlight w:val="none"/>
        </w:rPr>
        <w:t>河湖水域布局。</w:t>
      </w:r>
      <w:r>
        <w:rPr>
          <w:rFonts w:hint="eastAsia" w:hAnsi="仿宋_GB2312" w:cs="仿宋_GB2312"/>
          <w:highlight w:val="none"/>
        </w:rPr>
        <w:t>江西沟镇水域主要由青海湖以及高山流水径流组成，主要包括哈琼沟、多君曲、哈尔根沟等流域。</w:t>
      </w:r>
    </w:p>
    <w:p w14:paraId="2AB09264">
      <w:pPr>
        <w:pStyle w:val="15"/>
        <w:ind w:firstLine="640"/>
        <w:rPr>
          <w:rFonts w:hAnsi="仿宋_GB2312" w:cs="仿宋_GB2312"/>
          <w:highlight w:val="none"/>
        </w:rPr>
      </w:pPr>
      <w:r>
        <w:rPr>
          <w:rFonts w:hint="eastAsia" w:ascii="楷体_GB2312" w:hAnsi="仿宋_GB2312" w:eastAsia="楷体_GB2312" w:cs="仿宋_GB2312"/>
          <w:highlight w:val="none"/>
        </w:rPr>
        <w:t>河湖水域空间管控。</w:t>
      </w:r>
      <w:r>
        <w:rPr>
          <w:rFonts w:hint="eastAsia" w:hAnsi="仿宋_GB2312" w:cs="仿宋_GB2312"/>
          <w:highlight w:val="none"/>
        </w:rPr>
        <w:t>强化河湖水域岸线空间管控，保护河湖水域岸线资源，严格落实青海湖等河湖管理范围线。严格水域岸线空间管控，有效保护岸线资源，落实河湖岸线保护与利用规划，明确岸线功能分区、优化岸线空间布局、规范岸线开发利用活动。</w:t>
      </w:r>
    </w:p>
    <w:p w14:paraId="52ECC03F">
      <w:pPr>
        <w:pStyle w:val="3"/>
        <w:numPr>
          <w:ilvl w:val="0"/>
          <w:numId w:val="11"/>
        </w:numPr>
        <w:rPr>
          <w:highlight w:val="none"/>
          <w:lang w:val="zh-CN"/>
        </w:rPr>
      </w:pPr>
      <w:bookmarkStart w:id="119" w:name="_Toc198237332"/>
      <w:bookmarkStart w:id="120" w:name="_Toc29568"/>
      <w:bookmarkStart w:id="121" w:name="_Toc198237512"/>
      <w:bookmarkStart w:id="122" w:name="_Toc23411"/>
      <w:bookmarkStart w:id="123" w:name="_Toc14609"/>
      <w:r>
        <w:rPr>
          <w:rFonts w:hint="eastAsia"/>
          <w:highlight w:val="none"/>
          <w:lang w:val="zh-CN"/>
        </w:rPr>
        <w:t>加强生态资源保护与利用</w:t>
      </w:r>
      <w:bookmarkEnd w:id="119"/>
      <w:bookmarkEnd w:id="120"/>
      <w:bookmarkEnd w:id="121"/>
      <w:bookmarkEnd w:id="122"/>
      <w:bookmarkEnd w:id="123"/>
    </w:p>
    <w:p w14:paraId="5F981A62">
      <w:pPr>
        <w:pStyle w:val="60"/>
        <w:ind w:left="0" w:firstLine="640" w:firstLineChars="200"/>
        <w:rPr>
          <w:highlight w:val="none"/>
        </w:rPr>
      </w:pPr>
      <w:bookmarkStart w:id="124" w:name="_Toc198237333"/>
      <w:r>
        <w:rPr>
          <w:rFonts w:hint="eastAsia"/>
          <w:highlight w:val="none"/>
        </w:rPr>
        <w:t>森林资源保护与利用</w:t>
      </w:r>
      <w:bookmarkEnd w:id="124"/>
    </w:p>
    <w:p w14:paraId="69391836">
      <w:pPr>
        <w:pStyle w:val="15"/>
        <w:ind w:firstLine="640"/>
        <w:rPr>
          <w:rFonts w:hAnsi="仿宋_GB2312" w:cs="仿宋_GB2312"/>
          <w:highlight w:val="none"/>
        </w:rPr>
      </w:pPr>
      <w:r>
        <w:rPr>
          <w:rFonts w:hint="eastAsia" w:hAnsi="仿宋_GB2312" w:cs="仿宋_GB2312"/>
          <w:highlight w:val="none"/>
        </w:rPr>
        <w:t>建立以水土保持林、水源涵养林为主体的森林生态体系，加大重点地区生态治理力度，有效遏制水土流失，改善生态环境；稳定自然保护区面积，部分退化湿地生态系统得到治理与恢复；继续深化集体林权制度改革，实施森林经营、低效林改造，充分发挥林地生产潜力，提高林地质量；规范林地、林木流转制度；</w:t>
      </w:r>
      <w:bookmarkStart w:id="125" w:name="_Hlk149991856"/>
      <w:r>
        <w:rPr>
          <w:rFonts w:hint="eastAsia" w:hAnsi="仿宋_GB2312" w:cs="仿宋_GB2312"/>
          <w:highlight w:val="none"/>
        </w:rPr>
        <w:t>促进发展林下产业，推进体制机制创新。</w:t>
      </w:r>
      <w:bookmarkEnd w:id="125"/>
      <w:r>
        <w:rPr>
          <w:rFonts w:hint="eastAsia" w:hAnsi="仿宋_GB2312" w:cs="仿宋_GB2312"/>
          <w:highlight w:val="none"/>
        </w:rPr>
        <w:t>重点加强天然公益林、生态林的保护，严格控制天然林地转为其他用途，除国防建设、国家重大工程项目建设特殊需要外，禁止占用保护重点区域的天然林地，林地保有量保持稳定。到2035年，全镇森林覆盖率不低于4.80%。</w:t>
      </w:r>
    </w:p>
    <w:p w14:paraId="4E62BE10">
      <w:pPr>
        <w:pStyle w:val="60"/>
        <w:ind w:left="0" w:firstLine="640" w:firstLineChars="200"/>
        <w:rPr>
          <w:highlight w:val="none"/>
        </w:rPr>
      </w:pPr>
      <w:bookmarkStart w:id="126" w:name="_Toc198237334"/>
      <w:r>
        <w:rPr>
          <w:rFonts w:hint="eastAsia"/>
          <w:highlight w:val="none"/>
        </w:rPr>
        <w:t>湿地资源保护与利用</w:t>
      </w:r>
      <w:bookmarkEnd w:id="126"/>
    </w:p>
    <w:p w14:paraId="3D223B9D">
      <w:pPr>
        <w:pStyle w:val="15"/>
        <w:ind w:firstLine="640"/>
        <w:rPr>
          <w:rFonts w:hAnsi="仿宋_GB2312" w:cs="仿宋_GB2312"/>
          <w:highlight w:val="none"/>
        </w:rPr>
      </w:pPr>
      <w:r>
        <w:rPr>
          <w:rFonts w:hint="eastAsia" w:hAnsi="仿宋_GB2312" w:cs="仿宋_GB2312"/>
          <w:highlight w:val="none"/>
        </w:rPr>
        <w:t>坚持保护优先、严格管理、系统治理、科学修复、合理利用的原则，加强湿地保护，保持既有空间不减少，并通过生态修复逐步恢复增加湿地面积，健全湿地保护体系，维护湿地生态功能及生物多样性。依托生态本底优势，扎实推进山水林田湖草沙生态保护和修复，强化青海湖自然岸线湿地生态系统的保护与恢复。重点保护青海湖自然保护地湿地资源。通过推进湿地生态恢复、湿地生物多样性恢复、青海湖水生态保护修复等建设工程，恢复和扩大蓄水面积，加强湖滩湖荡湿地保护，开展退化湿地修复、湿地植被修复，提升水源涵养和水土保持功能。到2035年，江西沟镇镇湿地保护率达到95.21%。</w:t>
      </w:r>
    </w:p>
    <w:p w14:paraId="6555BAAB">
      <w:pPr>
        <w:pStyle w:val="60"/>
        <w:ind w:left="0" w:firstLine="640" w:firstLineChars="200"/>
        <w:rPr>
          <w:highlight w:val="none"/>
        </w:rPr>
      </w:pPr>
      <w:bookmarkStart w:id="127" w:name="_Toc198237335"/>
      <w:r>
        <w:rPr>
          <w:rFonts w:hint="eastAsia"/>
          <w:highlight w:val="none"/>
        </w:rPr>
        <w:t>荒漠资源保护与利用</w:t>
      </w:r>
      <w:bookmarkEnd w:id="127"/>
    </w:p>
    <w:p w14:paraId="24E71AA6">
      <w:pPr>
        <w:pStyle w:val="15"/>
        <w:ind w:firstLine="640"/>
        <w:rPr>
          <w:rFonts w:hAnsi="仿宋_GB2312" w:cs="仿宋_GB2312"/>
          <w:highlight w:val="none"/>
        </w:rPr>
      </w:pPr>
      <w:r>
        <w:rPr>
          <w:rFonts w:hint="eastAsia" w:hAnsi="仿宋_GB2312" w:cs="仿宋_GB2312"/>
          <w:highlight w:val="none"/>
        </w:rPr>
        <w:t>持续推进青海湖周边沙漠生态系统的复原、保护和利用，维护沙漠生态系统功能，增强沙漠生物多样性。在保护生态系统的前提下，发展沙漠生态观光旅游，打造生态沙漠游憩</w:t>
      </w:r>
      <w:r>
        <w:rPr>
          <w:rFonts w:hint="eastAsia" w:hAnsi="仿宋_GB2312" w:cs="仿宋_GB2312"/>
          <w:highlight w:val="none"/>
          <w:lang w:eastAsia="zh-CN"/>
        </w:rPr>
        <w:t>胜地</w:t>
      </w:r>
      <w:r>
        <w:rPr>
          <w:rFonts w:hint="eastAsia" w:hAnsi="仿宋_GB2312" w:cs="仿宋_GB2312"/>
          <w:highlight w:val="none"/>
        </w:rPr>
        <w:t>。推进清洁能源发展与防沙治沙相结合，实现太阳能产业、生态环境保护、生态畜牧业发展有机结合。</w:t>
      </w:r>
    </w:p>
    <w:p w14:paraId="50F614B1">
      <w:pPr>
        <w:pStyle w:val="3"/>
        <w:numPr>
          <w:ilvl w:val="0"/>
          <w:numId w:val="11"/>
        </w:numPr>
        <w:rPr>
          <w:highlight w:val="none"/>
          <w:lang w:val="zh-CN"/>
        </w:rPr>
      </w:pPr>
      <w:bookmarkStart w:id="128" w:name="_Toc198237513"/>
      <w:bookmarkStart w:id="129" w:name="_Toc31724"/>
      <w:bookmarkStart w:id="130" w:name="_Toc26813"/>
      <w:bookmarkStart w:id="131" w:name="_Toc26129"/>
      <w:bookmarkStart w:id="132" w:name="_Toc198237336"/>
      <w:r>
        <w:rPr>
          <w:rFonts w:hint="eastAsia"/>
          <w:highlight w:val="none"/>
          <w:lang w:val="zh-CN"/>
        </w:rPr>
        <w:t>实施山水林田湖草沙一体化保护和系统治理</w:t>
      </w:r>
      <w:bookmarkEnd w:id="128"/>
      <w:bookmarkEnd w:id="129"/>
      <w:bookmarkEnd w:id="130"/>
      <w:bookmarkEnd w:id="131"/>
      <w:bookmarkEnd w:id="132"/>
    </w:p>
    <w:p w14:paraId="0B84A199">
      <w:pPr>
        <w:pStyle w:val="60"/>
        <w:ind w:left="0" w:firstLine="640" w:firstLineChars="200"/>
        <w:rPr>
          <w:highlight w:val="none"/>
        </w:rPr>
      </w:pPr>
      <w:bookmarkStart w:id="133" w:name="_Toc198237337"/>
      <w:r>
        <w:rPr>
          <w:rFonts w:hint="eastAsia"/>
          <w:highlight w:val="none"/>
        </w:rPr>
        <w:t>加强重点生态功能区生态保护修复</w:t>
      </w:r>
      <w:bookmarkEnd w:id="133"/>
    </w:p>
    <w:p w14:paraId="7A380F25">
      <w:pPr>
        <w:pStyle w:val="15"/>
        <w:ind w:firstLine="640"/>
        <w:rPr>
          <w:rFonts w:hAnsi="仿宋_GB2312" w:cs="仿宋_GB2312"/>
          <w:highlight w:val="none"/>
        </w:rPr>
      </w:pPr>
      <w:r>
        <w:rPr>
          <w:rFonts w:hint="eastAsia" w:hAnsi="仿宋_GB2312" w:cs="仿宋_GB2312"/>
          <w:highlight w:val="none"/>
        </w:rPr>
        <w:t>坚持山水林田湖草沙生命共同体理念，遵循自然生态系统的整体性、系统性及其内在规律，以自然恢复为主、人工修复为辅，强化自然生态系统原真性与完整性的保护和修复。针对江西沟镇生态脆弱、功能退化的现实问题，按照因地制宜、分区施策的原则，实施山水林田湖草沙一体化保护和系统治理，提升生态系统稳定性。</w:t>
      </w:r>
    </w:p>
    <w:p w14:paraId="4F63CBF6">
      <w:pPr>
        <w:pStyle w:val="60"/>
        <w:ind w:left="0" w:firstLine="640" w:firstLineChars="200"/>
        <w:rPr>
          <w:highlight w:val="none"/>
        </w:rPr>
      </w:pPr>
      <w:bookmarkStart w:id="134" w:name="_Toc198237338"/>
      <w:r>
        <w:rPr>
          <w:rFonts w:hint="eastAsia"/>
          <w:highlight w:val="none"/>
        </w:rPr>
        <w:t>实施山水林田湖草沙治理工程</w:t>
      </w:r>
      <w:bookmarkEnd w:id="134"/>
    </w:p>
    <w:p w14:paraId="42948BB6">
      <w:pPr>
        <w:pStyle w:val="15"/>
        <w:ind w:firstLine="640"/>
        <w:rPr>
          <w:rFonts w:hAnsi="仿宋_GB2312" w:cs="仿宋_GB2312"/>
          <w:highlight w:val="none"/>
        </w:rPr>
      </w:pPr>
      <w:r>
        <w:rPr>
          <w:rFonts w:hint="eastAsia" w:hAnsi="仿宋_GB2312" w:cs="仿宋_GB2312"/>
          <w:highlight w:val="none"/>
        </w:rPr>
        <w:t>推进青海湖流域水环境综合治理工程，提升草原、森林、湿地、河湖、荒漠等自然生态系统自我修复能力，筑牢生态安全格局。统筹协调推进“三北”防护林、天然林保护工程，鼓励乔灌草结合、工程和生物措施相统一的生态修复工程，促进各项生态工程实施相得益彰。加大乡村河湖湿地生态系统保护和恢复力度。大力推进荒漠化、水土流失综合治理，加强生态清洁小流域建设，推进绿色小水电改造。实施生物多样性保护工程，加强野生动植物保护。</w:t>
      </w:r>
    </w:p>
    <w:p w14:paraId="57C09BCF">
      <w:pPr>
        <w:pStyle w:val="60"/>
        <w:ind w:left="0" w:firstLine="640" w:firstLineChars="200"/>
        <w:rPr>
          <w:highlight w:val="none"/>
        </w:rPr>
      </w:pPr>
      <w:bookmarkStart w:id="135" w:name="_Toc198237339"/>
      <w:r>
        <w:rPr>
          <w:rFonts w:hint="eastAsia"/>
          <w:highlight w:val="none"/>
        </w:rPr>
        <w:t>强化水生态保护与水环境治理</w:t>
      </w:r>
      <w:bookmarkEnd w:id="135"/>
    </w:p>
    <w:p w14:paraId="1326341C">
      <w:pPr>
        <w:pStyle w:val="15"/>
        <w:ind w:firstLine="640"/>
        <w:rPr>
          <w:rFonts w:hAnsi="仿宋_GB2312" w:cs="仿宋_GB2312"/>
          <w:highlight w:val="none"/>
        </w:rPr>
      </w:pPr>
      <w:r>
        <w:rPr>
          <w:rFonts w:hint="eastAsia" w:ascii="楷体_GB2312" w:hAnsi="仿宋_GB2312" w:eastAsia="楷体_GB2312" w:cs="仿宋_GB2312"/>
          <w:highlight w:val="none"/>
        </w:rPr>
        <w:t>强化水生态保护与修复。</w:t>
      </w:r>
      <w:r>
        <w:rPr>
          <w:rFonts w:hint="eastAsia" w:hAnsi="仿宋_GB2312" w:cs="仿宋_GB2312"/>
          <w:highlight w:val="none"/>
        </w:rPr>
        <w:t>构建流域尺度的生态保护与修复单元，统筹实施水生态保护与修复工程。推进小流域生态综合治理，实施城镇周边水系连通等水生态保护修复项目，实现水生态保护与修复精细化管理，系统推进江西沟流域水环境保护、水生态修复、水污染防治和水资源管理。</w:t>
      </w:r>
    </w:p>
    <w:p w14:paraId="3BA9DCD4">
      <w:pPr>
        <w:pStyle w:val="15"/>
        <w:ind w:firstLine="640"/>
        <w:rPr>
          <w:rFonts w:hAnsi="仿宋_GB2312" w:cs="仿宋_GB2312"/>
          <w:highlight w:val="none"/>
        </w:rPr>
      </w:pPr>
      <w:r>
        <w:rPr>
          <w:rFonts w:hint="eastAsia" w:ascii="楷体_GB2312" w:hAnsi="仿宋_GB2312" w:eastAsia="楷体_GB2312" w:cs="仿宋_GB2312"/>
          <w:highlight w:val="none"/>
        </w:rPr>
        <w:t>加大水环境污染防治。</w:t>
      </w:r>
      <w:r>
        <w:rPr>
          <w:rFonts w:hint="eastAsia" w:hAnsi="仿宋_GB2312" w:cs="仿宋_GB2312"/>
          <w:highlight w:val="none"/>
        </w:rPr>
        <w:t>从严核定水环境功能区纳污能力，严格控制入河湖排污总量，加强水污染防治和污染减排。持续推进水环境污染综合治理。推进河流治理，开展生态清洁小流域建设。江西沟镇内河流水环境功能区水质目标为Ⅱ类。至2035年，江西沟镇水环境功能区水质达标率达到100%。</w:t>
      </w:r>
    </w:p>
    <w:p w14:paraId="7E8995DE">
      <w:pPr>
        <w:pStyle w:val="60"/>
        <w:ind w:left="0" w:firstLine="640" w:firstLineChars="200"/>
        <w:rPr>
          <w:highlight w:val="none"/>
        </w:rPr>
      </w:pPr>
      <w:bookmarkStart w:id="136" w:name="_Toc198237340"/>
      <w:r>
        <w:rPr>
          <w:rFonts w:hint="eastAsia"/>
          <w:highlight w:val="none"/>
        </w:rPr>
        <w:t>加强水土流失防治</w:t>
      </w:r>
      <w:bookmarkEnd w:id="136"/>
    </w:p>
    <w:p w14:paraId="7F475237">
      <w:pPr>
        <w:pStyle w:val="15"/>
        <w:ind w:firstLine="640"/>
        <w:rPr>
          <w:rFonts w:hAnsi="仿宋_GB2312" w:cs="仿宋_GB2312"/>
          <w:highlight w:val="none"/>
        </w:rPr>
      </w:pPr>
      <w:r>
        <w:rPr>
          <w:rFonts w:hint="eastAsia" w:ascii="楷体_GB2312" w:hAnsi="仿宋_GB2312" w:eastAsia="楷体_GB2312" w:cs="仿宋_GB2312"/>
          <w:highlight w:val="none"/>
        </w:rPr>
        <w:t>重点加强青海湖区域的水土流失防治。</w:t>
      </w:r>
      <w:r>
        <w:rPr>
          <w:rFonts w:hint="eastAsia" w:hAnsi="仿宋_GB2312" w:cs="仿宋_GB2312"/>
          <w:highlight w:val="none"/>
        </w:rPr>
        <w:t>以地表植被建设、侵蚀沟道治理为重点，完善流域水土流失预防和治理措施体系，因地制宜推进生态清洁小流域建设，着力构建城镇及其周边小流域生态优美、生活宜居的生态环境，维护水土资源可持续利用。深化水土保持生态建设，实施水土保持工程，突出加强青海湖区域水蚀生态维护保土区水土流失治理。到2035年，严格落实上级下达的水土流失治理任务。</w:t>
      </w:r>
    </w:p>
    <w:p w14:paraId="6E2A0FD3">
      <w:pPr>
        <w:pStyle w:val="60"/>
        <w:ind w:left="0" w:firstLine="640" w:firstLineChars="200"/>
        <w:rPr>
          <w:highlight w:val="none"/>
        </w:rPr>
      </w:pPr>
      <w:bookmarkStart w:id="137" w:name="_Toc198237341"/>
      <w:r>
        <w:rPr>
          <w:rFonts w:hint="eastAsia"/>
          <w:highlight w:val="none"/>
        </w:rPr>
        <w:t>实施沙化土地综合治理</w:t>
      </w:r>
      <w:bookmarkEnd w:id="137"/>
    </w:p>
    <w:p w14:paraId="5EADF7A1">
      <w:pPr>
        <w:pStyle w:val="15"/>
        <w:ind w:firstLine="640"/>
        <w:rPr>
          <w:rFonts w:hAnsi="仿宋_GB2312" w:cs="仿宋_GB2312"/>
          <w:highlight w:val="none"/>
        </w:rPr>
      </w:pPr>
      <w:r>
        <w:rPr>
          <w:rFonts w:hint="eastAsia" w:ascii="楷体_GB2312" w:hAnsi="仿宋_GB2312" w:eastAsia="楷体_GB2312" w:cs="仿宋_GB2312"/>
          <w:highlight w:val="none"/>
        </w:rPr>
        <w:t>实施环青海湖地区荒漠化土地治理。</w:t>
      </w:r>
      <w:r>
        <w:rPr>
          <w:rFonts w:hint="eastAsia" w:hAnsi="仿宋_GB2312" w:cs="仿宋_GB2312"/>
          <w:highlight w:val="none"/>
        </w:rPr>
        <w:t>对江西沟镇沙漠化土地实施封沙育林育草工程，遏制沙漠化蔓延。遵循自然规律，自然恢复和人工修复相结合，积极探索以放牧为主合理利用草场的生产经营方向，采取“沙漠+光伏+设施牧草种植”和飞播种草等治沙模式防止土地沙化，构建以林为主、林草结合的防风固沙林体系。</w:t>
      </w:r>
    </w:p>
    <w:p w14:paraId="5301BD92">
      <w:pPr>
        <w:pStyle w:val="60"/>
        <w:ind w:left="0" w:firstLine="640" w:firstLineChars="200"/>
        <w:rPr>
          <w:highlight w:val="none"/>
        </w:rPr>
      </w:pPr>
      <w:bookmarkStart w:id="138" w:name="_Toc198237342"/>
      <w:r>
        <w:rPr>
          <w:rFonts w:hint="eastAsia"/>
          <w:highlight w:val="none"/>
        </w:rPr>
        <w:t>强化土壤污染防治</w:t>
      </w:r>
      <w:bookmarkEnd w:id="138"/>
    </w:p>
    <w:p w14:paraId="04D25AF7">
      <w:pPr>
        <w:pStyle w:val="15"/>
        <w:ind w:firstLine="640"/>
        <w:rPr>
          <w:rFonts w:hAnsi="仿宋_GB2312" w:cs="仿宋_GB2312"/>
          <w:highlight w:val="none"/>
        </w:rPr>
      </w:pPr>
      <w:r>
        <w:rPr>
          <w:rFonts w:hint="eastAsia" w:hAnsi="仿宋_GB2312" w:cs="仿宋_GB2312"/>
          <w:highlight w:val="none"/>
        </w:rPr>
        <w:t>完成全镇土壤污染源排查与整治，按照“分区分类”的原则，实施以风险管控为主的治理策略，加强土壤污染源头防控，严格控制新增污染，实施重点污染源综合防控，推动受污染耕地安全利用，加强污染地块风险管控与修复，防控重点区域土壤污染风险。保障工业园区环保基础设施用地，实施关闭搬迁企业或历史遗留污染源整治，持续推进重金属污染综合防控治理，加强固体废物污染防治，实行污染地块全过程闭环管理。</w:t>
      </w:r>
    </w:p>
    <w:p w14:paraId="14F86FCE">
      <w:pPr>
        <w:pStyle w:val="60"/>
        <w:ind w:left="0" w:firstLine="640" w:firstLineChars="200"/>
        <w:rPr>
          <w:highlight w:val="none"/>
        </w:rPr>
      </w:pPr>
      <w:bookmarkStart w:id="139" w:name="_Toc198237343"/>
      <w:r>
        <w:rPr>
          <w:rFonts w:hint="eastAsia"/>
          <w:highlight w:val="none"/>
        </w:rPr>
        <w:t>积极推进国土绿化工程</w:t>
      </w:r>
      <w:bookmarkEnd w:id="139"/>
    </w:p>
    <w:p w14:paraId="159CCC73">
      <w:pPr>
        <w:pStyle w:val="15"/>
        <w:ind w:firstLine="640"/>
        <w:rPr>
          <w:rFonts w:hAnsi="仿宋_GB2312" w:cs="仿宋_GB2312"/>
          <w:highlight w:val="none"/>
        </w:rPr>
      </w:pPr>
      <w:r>
        <w:rPr>
          <w:rFonts w:hint="eastAsia" w:hAnsi="仿宋_GB2312" w:cs="仿宋_GB2312"/>
          <w:highlight w:val="none"/>
        </w:rPr>
        <w:t>深入开展国土绿化巩固提升行动，增强生态系统功能和生态产品供给能力，提升生态系统碳汇增量，筑牢国土生态安全屏障，增进人民生态福祉。依托三北防护林、天然林保护、防沙治沙等国家重点工程，结合实际情况，按照宜林则林、宜草则草的原则实施人工造林，继续推进国土绿化。不断拓展绿化空间，对重点生态脆弱区、宜林沙化土地、裸土地等实施造林绿化，有序安排年度绿化任务。到2035年，规划造林绿化空间</w:t>
      </w:r>
      <w:r>
        <w:rPr>
          <w:rFonts w:hint="eastAsia" w:hAnsi="仿宋_GB2312" w:cs="仿宋_GB2312"/>
          <w:highlight w:val="none"/>
          <w:lang w:val="en-US" w:eastAsia="zh-CN"/>
        </w:rPr>
        <w:t>1.61公顷</w:t>
      </w:r>
      <w:r>
        <w:rPr>
          <w:rFonts w:hint="eastAsia" w:hAnsi="仿宋_GB2312" w:cs="仿宋_GB2312"/>
          <w:highlight w:val="none"/>
        </w:rPr>
        <w:t>，主要分布在江西沟镇中部地区，并落实到国土空间规划“一张图”上。</w:t>
      </w:r>
    </w:p>
    <w:p w14:paraId="5648015A">
      <w:pPr>
        <w:widowControl/>
        <w:jc w:val="left"/>
        <w:rPr>
          <w:rFonts w:ascii="仿宋_GB2312" w:hAnsi="仿宋_GB2312" w:eastAsia="仿宋_GB2312" w:cs="仿宋_GB2312"/>
          <w:sz w:val="32"/>
          <w:highlight w:val="none"/>
        </w:rPr>
      </w:pPr>
      <w:r>
        <w:rPr>
          <w:rFonts w:hAnsi="仿宋_GB2312" w:cs="仿宋_GB2312"/>
          <w:highlight w:val="none"/>
        </w:rPr>
        <w:br w:type="page"/>
      </w:r>
    </w:p>
    <w:p w14:paraId="3C402B66">
      <w:pPr>
        <w:pStyle w:val="2"/>
        <w:ind w:left="0" w:firstLine="0"/>
        <w:rPr>
          <w:highlight w:val="none"/>
        </w:rPr>
      </w:pPr>
      <w:bookmarkStart w:id="140" w:name="_Toc198237514"/>
      <w:bookmarkStart w:id="141" w:name="_Toc21759"/>
      <w:bookmarkStart w:id="142" w:name="_Toc198237344"/>
      <w:bookmarkStart w:id="143" w:name="_Toc14599"/>
      <w:r>
        <w:rPr>
          <w:rFonts w:hint="eastAsia"/>
          <w:highlight w:val="none"/>
          <w:lang w:val="en-US" w:eastAsia="zh-CN"/>
        </w:rPr>
        <w:t>严格落实耕地保护，提标升级农业空间</w:t>
      </w:r>
      <w:bookmarkEnd w:id="140"/>
      <w:bookmarkEnd w:id="141"/>
      <w:bookmarkEnd w:id="142"/>
      <w:bookmarkEnd w:id="143"/>
    </w:p>
    <w:p w14:paraId="04CDB310">
      <w:pPr>
        <w:pStyle w:val="3"/>
        <w:numPr>
          <w:ilvl w:val="0"/>
          <w:numId w:val="12"/>
        </w:numPr>
        <w:rPr>
          <w:rFonts w:hint="eastAsia"/>
          <w:highlight w:val="none"/>
          <w:lang w:val="zh-CN"/>
        </w:rPr>
      </w:pPr>
      <w:bookmarkStart w:id="144" w:name="_Toc10479"/>
      <w:bookmarkStart w:id="145" w:name="_Toc198237515"/>
      <w:bookmarkStart w:id="146" w:name="_Toc16121"/>
      <w:bookmarkStart w:id="147" w:name="_Toc198237345"/>
      <w:bookmarkStart w:id="148" w:name="_Toc7286"/>
      <w:r>
        <w:rPr>
          <w:rFonts w:hint="eastAsia"/>
          <w:highlight w:val="none"/>
          <w:lang w:val="zh-CN"/>
        </w:rPr>
        <w:t>实施耕地数量、质量、生态“三位一体”保护</w:t>
      </w:r>
      <w:bookmarkEnd w:id="144"/>
      <w:bookmarkEnd w:id="145"/>
      <w:bookmarkEnd w:id="146"/>
      <w:bookmarkEnd w:id="147"/>
      <w:bookmarkEnd w:id="148"/>
    </w:p>
    <w:p w14:paraId="625B1978">
      <w:pPr>
        <w:pStyle w:val="60"/>
        <w:ind w:left="0" w:firstLine="640" w:firstLineChars="200"/>
        <w:rPr>
          <w:rFonts w:hint="eastAsia" w:hAnsi="Times New Roman" w:cs="Times New Roman"/>
          <w:highlight w:val="none"/>
        </w:rPr>
      </w:pPr>
      <w:bookmarkStart w:id="149" w:name="_Toc198237346"/>
      <w:r>
        <w:rPr>
          <w:rFonts w:hint="eastAsia" w:hAnsi="Times New Roman" w:cs="Times New Roman"/>
          <w:highlight w:val="none"/>
        </w:rPr>
        <w:t>坚持最严格的耕地保护制度</w:t>
      </w:r>
      <w:bookmarkEnd w:id="149"/>
    </w:p>
    <w:p w14:paraId="5BECF452">
      <w:pPr>
        <w:pStyle w:val="15"/>
        <w:ind w:firstLine="640"/>
        <w:rPr>
          <w:rFonts w:hAnsi="仿宋_GB2312" w:cs="仿宋_GB2312"/>
          <w:szCs w:val="24"/>
          <w:highlight w:val="none"/>
          <w:lang w:bidi="ar"/>
        </w:rPr>
      </w:pPr>
      <w:r>
        <w:rPr>
          <w:rFonts w:hint="eastAsia" w:hAnsi="仿宋_GB2312" w:cs="仿宋_GB2312"/>
          <w:szCs w:val="24"/>
          <w:highlight w:val="none"/>
          <w:lang w:bidi="ar"/>
        </w:rPr>
        <w:t>落实“合理利用土地、切实保护耕地”的基本国策，切实保护耕地资源，将10.2586万亩耕地和9.9353万亩永久基本农田位置下达至各村，健全落实耕地保护和粮食安全责任考核机制，签订耕地保护和粮食安全责任书，压实耕地保护主体责任，对耕地保护和粮食安全完成情况定期考核，实行耕地保护党政同责、终身追责。严守耕地保护红线，突出耕地数量、质量、生态“三位一体”保护。强化耕地种植用途管控，依法落实耕地利用优先序，合理引导农业种植结构调整，耕地主要用于粮食和油料、蔬菜及饲草饲料生产，永久基本农田主要用于粮食生产，高标准农田原则上全部用于粮食生产。严格控制非农建设占用耕地，确需占用耕地的，应尽量占用等级较低的耕地，实施建设项目占用耕地表土剥离再利用。建立耕地污染风险评估和污染土壤修复制度，有效保护优质耕地，逐步提高现有耕地质量。因地制宜，分类规划，综合配套，全面提高农业抗御自然灾害的能力。</w:t>
      </w:r>
    </w:p>
    <w:p w14:paraId="2C65E4ED">
      <w:pPr>
        <w:pStyle w:val="60"/>
        <w:ind w:left="0" w:firstLine="640" w:firstLineChars="200"/>
        <w:rPr>
          <w:rFonts w:hint="eastAsia" w:hAnsi="Times New Roman" w:cs="Times New Roman"/>
          <w:highlight w:val="none"/>
        </w:rPr>
      </w:pPr>
      <w:bookmarkStart w:id="150" w:name="_Toc198237347"/>
      <w:r>
        <w:rPr>
          <w:rFonts w:hint="eastAsia" w:hAnsi="Times New Roman" w:cs="Times New Roman"/>
          <w:highlight w:val="none"/>
        </w:rPr>
        <w:t>严格落实耕地占补平衡</w:t>
      </w:r>
      <w:bookmarkEnd w:id="150"/>
    </w:p>
    <w:p w14:paraId="5C0C2A98">
      <w:pPr>
        <w:pStyle w:val="15"/>
        <w:ind w:firstLine="640"/>
        <w:rPr>
          <w:rFonts w:hAnsi="仿宋_GB2312" w:cs="仿宋_GB2312"/>
          <w:szCs w:val="24"/>
          <w:highlight w:val="none"/>
          <w:lang w:bidi="ar"/>
        </w:rPr>
      </w:pPr>
      <w:r>
        <w:rPr>
          <w:rFonts w:hint="eastAsia" w:hAnsi="仿宋_GB2312" w:cs="仿宋_GB2312"/>
          <w:szCs w:val="24"/>
          <w:highlight w:val="none"/>
          <w:lang w:bidi="ar"/>
        </w:rPr>
        <w:t>各类非农建设选址布局尽量不占或少占耕地，特别是永久基本农田。确需依法占用的，必须严格落实“占一补一、占优补优”的占补平衡要求，做到补充的耕地数量不减少、质量不降低、产能不下降。严格落实耕地占补平衡责任，大力实施土地整治，落实补充耕地任务，规范耕地占补平衡指标交易，强化耕地“占补平衡”后期管理。</w:t>
      </w:r>
    </w:p>
    <w:p w14:paraId="59CAE288">
      <w:pPr>
        <w:pStyle w:val="60"/>
        <w:ind w:left="0" w:firstLine="640" w:firstLineChars="200"/>
        <w:rPr>
          <w:rFonts w:hint="eastAsia" w:hAnsi="Times New Roman" w:cs="Times New Roman"/>
          <w:highlight w:val="none"/>
        </w:rPr>
      </w:pPr>
      <w:bookmarkStart w:id="151" w:name="_Toc198237348"/>
      <w:r>
        <w:rPr>
          <w:rFonts w:hint="eastAsia" w:hAnsi="Times New Roman" w:cs="Times New Roman"/>
          <w:highlight w:val="none"/>
        </w:rPr>
        <w:t>提升耕地综合生产能力</w:t>
      </w:r>
      <w:bookmarkEnd w:id="151"/>
    </w:p>
    <w:p w14:paraId="57616906">
      <w:pPr>
        <w:pStyle w:val="15"/>
        <w:ind w:firstLine="640"/>
        <w:rPr>
          <w:rFonts w:hAnsi="仿宋_GB2312" w:cs="仿宋_GB2312"/>
          <w:szCs w:val="24"/>
          <w:highlight w:val="none"/>
          <w:lang w:bidi="ar"/>
        </w:rPr>
      </w:pPr>
      <w:r>
        <w:rPr>
          <w:rFonts w:hint="eastAsia" w:hAnsi="仿宋_GB2312" w:cs="仿宋_GB2312"/>
          <w:szCs w:val="24"/>
          <w:highlight w:val="none"/>
          <w:lang w:bidi="ar"/>
        </w:rPr>
        <w:t>加强农田基础设施建设，改善田间道路、灌排渠道、电力系统并种植农田防护林，开展耕地提质改造，综合运用工程、技术和生物措施，积极开展全域土地综合整治，促进耕地集中连片。开展旱改水、农田连片整治、土壤培肥改良等重大工程，加强高效节水灌溉设施建设和节水技术推广，提高耕地综合生产能力。以种植业生产适宜区为基础，结合永久基本农田集中分布情况，大力推进高标准农田建设，加强灌排设施和田间道路设施配套，培肥土壤，促进零散耕地集中连片和耕地数量、质量、生态</w:t>
      </w:r>
      <w:r>
        <w:rPr>
          <w:rFonts w:hint="eastAsia" w:hAnsi="仿宋_GB2312" w:cs="仿宋_GB2312"/>
          <w:szCs w:val="24"/>
          <w:highlight w:val="none"/>
          <w:lang w:eastAsia="zh-CN" w:bidi="ar"/>
        </w:rPr>
        <w:t>“</w:t>
      </w:r>
      <w:r>
        <w:rPr>
          <w:rFonts w:hint="eastAsia" w:hAnsi="仿宋_GB2312" w:cs="仿宋_GB2312"/>
          <w:szCs w:val="24"/>
          <w:highlight w:val="none"/>
          <w:lang w:bidi="ar"/>
        </w:rPr>
        <w:t>三位一体</w:t>
      </w:r>
      <w:r>
        <w:rPr>
          <w:rFonts w:hint="eastAsia" w:hAnsi="仿宋_GB2312" w:cs="仿宋_GB2312"/>
          <w:szCs w:val="24"/>
          <w:highlight w:val="none"/>
          <w:lang w:eastAsia="zh-CN" w:bidi="ar"/>
        </w:rPr>
        <w:t>”</w:t>
      </w:r>
      <w:r>
        <w:rPr>
          <w:rFonts w:hint="eastAsia" w:hAnsi="仿宋_GB2312" w:cs="仿宋_GB2312"/>
          <w:szCs w:val="24"/>
          <w:highlight w:val="none"/>
          <w:lang w:bidi="ar"/>
        </w:rPr>
        <w:t>保护。加强优质耕地储备，土地整治和新建高标准农田增加的耕地，集中连片、规模较大、有良好的水利和水土保持设施的耕地，应优先划入永久基本农田储备区。在永久基本农田集中分布地区，不得规划新建可能造成污染的建设项目。</w:t>
      </w:r>
    </w:p>
    <w:p w14:paraId="4F07016A">
      <w:pPr>
        <w:pStyle w:val="3"/>
        <w:numPr>
          <w:ilvl w:val="0"/>
          <w:numId w:val="12"/>
        </w:numPr>
        <w:rPr>
          <w:rFonts w:hint="eastAsia"/>
          <w:highlight w:val="none"/>
          <w:lang w:val="zh-CN"/>
        </w:rPr>
      </w:pPr>
      <w:bookmarkStart w:id="152" w:name="_Toc24229"/>
      <w:bookmarkStart w:id="153" w:name="_Toc177"/>
      <w:bookmarkStart w:id="154" w:name="_Toc11543"/>
      <w:bookmarkStart w:id="155" w:name="_Toc198237349"/>
      <w:bookmarkStart w:id="156" w:name="_Toc198237516"/>
      <w:r>
        <w:rPr>
          <w:rFonts w:hint="eastAsia"/>
          <w:highlight w:val="none"/>
          <w:lang w:val="zh-CN"/>
        </w:rPr>
        <w:t>重点拓展农畜产品生产空间</w:t>
      </w:r>
      <w:bookmarkEnd w:id="152"/>
      <w:bookmarkEnd w:id="153"/>
      <w:bookmarkEnd w:id="154"/>
      <w:bookmarkEnd w:id="155"/>
      <w:bookmarkEnd w:id="156"/>
    </w:p>
    <w:p w14:paraId="5ACE3179">
      <w:pPr>
        <w:pStyle w:val="60"/>
        <w:ind w:left="0" w:firstLine="640" w:firstLineChars="200"/>
        <w:rPr>
          <w:rFonts w:hint="eastAsia" w:hAnsi="Times New Roman" w:cs="Times New Roman"/>
          <w:highlight w:val="none"/>
        </w:rPr>
      </w:pPr>
      <w:bookmarkStart w:id="157" w:name="_Toc198237350"/>
      <w:r>
        <w:rPr>
          <w:rFonts w:hint="eastAsia" w:hAnsi="Times New Roman" w:cs="Times New Roman"/>
          <w:highlight w:val="none"/>
        </w:rPr>
        <w:t>提高镇区周边农业生产能力</w:t>
      </w:r>
      <w:bookmarkEnd w:id="157"/>
    </w:p>
    <w:p w14:paraId="334CD35D">
      <w:pPr>
        <w:pStyle w:val="15"/>
        <w:ind w:firstLine="640"/>
        <w:rPr>
          <w:rFonts w:hAnsi="仿宋_GB2312" w:cs="仿宋_GB2312"/>
          <w:szCs w:val="24"/>
          <w:highlight w:val="none"/>
          <w:lang w:bidi="ar"/>
        </w:rPr>
      </w:pPr>
      <w:r>
        <w:rPr>
          <w:rFonts w:hint="eastAsia" w:hAnsi="仿宋_GB2312" w:cs="仿宋_GB2312"/>
          <w:szCs w:val="24"/>
          <w:highlight w:val="none"/>
          <w:lang w:bidi="ar"/>
        </w:rPr>
        <w:t>严格保护镇区周边农业空间，以城镇开发边界为约束有序引导城镇建设。加强镇区周边的农业生产区的水利建设，包括建设灌溉设施，保护水源等。通过流转方式集中形成规模化的农业生产基地，提高土地利用效益；应用高新技术，推广先进农业生产方式，提高农民生产效益，提高农业生产精细化和智能化水平。</w:t>
      </w:r>
    </w:p>
    <w:p w14:paraId="2555598C">
      <w:pPr>
        <w:pStyle w:val="60"/>
        <w:ind w:left="0" w:firstLine="640" w:firstLineChars="200"/>
        <w:rPr>
          <w:rFonts w:hint="eastAsia" w:hAnsi="Times New Roman" w:cs="Times New Roman"/>
          <w:highlight w:val="none"/>
        </w:rPr>
      </w:pPr>
      <w:bookmarkStart w:id="158" w:name="_Toc198237351"/>
      <w:r>
        <w:rPr>
          <w:rFonts w:hint="eastAsia" w:hAnsi="Times New Roman" w:cs="Times New Roman"/>
          <w:highlight w:val="none"/>
        </w:rPr>
        <w:t>发展优质高效特色农业</w:t>
      </w:r>
      <w:bookmarkEnd w:id="158"/>
    </w:p>
    <w:p w14:paraId="565923A1">
      <w:pPr>
        <w:pStyle w:val="15"/>
        <w:ind w:firstLine="640"/>
        <w:rPr>
          <w:rFonts w:hAnsi="仿宋_GB2312" w:cs="仿宋_GB2312"/>
          <w:szCs w:val="24"/>
          <w:highlight w:val="none"/>
          <w:lang w:bidi="ar"/>
        </w:rPr>
      </w:pPr>
      <w:r>
        <w:rPr>
          <w:rFonts w:hint="eastAsia" w:hAnsi="仿宋_GB2312" w:cs="仿宋_GB2312"/>
          <w:szCs w:val="24"/>
          <w:highlight w:val="none"/>
          <w:lang w:bidi="ar"/>
        </w:rPr>
        <w:t>深入实施“藏粮于地、藏粮于技”战略，大力发展青稞、油菜、小麦、蔬菜、饲草产业，稳固粮食生产和重要农产品生产地位，实现绿色有机农畜产品输出和重要农畜产品保障等功能，增加优质农畜产品供给。</w:t>
      </w:r>
      <w:bookmarkStart w:id="159" w:name="_Hlk135522491"/>
      <w:r>
        <w:rPr>
          <w:rFonts w:hint="eastAsia" w:hAnsi="仿宋_GB2312" w:cs="仿宋_GB2312"/>
          <w:szCs w:val="24"/>
          <w:highlight w:val="none"/>
          <w:lang w:bidi="ar"/>
        </w:rPr>
        <w:t>优化农业产业布局，加大扶持力度，保障农牧区基础设施建设和设施农业发展用地需要，建设国家现代农业产业园，保障特色农产品发展空间，打造设施农产品品牌。</w:t>
      </w:r>
      <w:bookmarkEnd w:id="159"/>
    </w:p>
    <w:p w14:paraId="34B8B42D">
      <w:pPr>
        <w:pStyle w:val="3"/>
        <w:numPr>
          <w:ilvl w:val="0"/>
          <w:numId w:val="12"/>
        </w:numPr>
        <w:rPr>
          <w:rFonts w:hint="eastAsia"/>
          <w:highlight w:val="none"/>
          <w:lang w:val="zh-CN"/>
        </w:rPr>
      </w:pPr>
      <w:bookmarkStart w:id="160" w:name="_Toc198237517"/>
      <w:bookmarkStart w:id="161" w:name="_Toc22755"/>
      <w:bookmarkStart w:id="162" w:name="_Toc3670"/>
      <w:bookmarkStart w:id="163" w:name="_Toc2156"/>
      <w:bookmarkStart w:id="164" w:name="_Toc198237352"/>
      <w:r>
        <w:rPr>
          <w:rFonts w:hint="eastAsia"/>
          <w:highlight w:val="none"/>
          <w:lang w:val="zh-CN"/>
        </w:rPr>
        <w:t>强化草地资源保护利用</w:t>
      </w:r>
      <w:bookmarkEnd w:id="160"/>
      <w:bookmarkEnd w:id="161"/>
      <w:bookmarkEnd w:id="162"/>
      <w:bookmarkEnd w:id="163"/>
      <w:bookmarkEnd w:id="164"/>
    </w:p>
    <w:p w14:paraId="2CE4F046">
      <w:pPr>
        <w:pStyle w:val="60"/>
        <w:ind w:left="0" w:firstLine="640" w:firstLineChars="200"/>
        <w:rPr>
          <w:rFonts w:hint="eastAsia" w:hAnsi="Times New Roman" w:cs="Times New Roman"/>
          <w:highlight w:val="none"/>
        </w:rPr>
      </w:pPr>
      <w:bookmarkStart w:id="165" w:name="_Toc198237353"/>
      <w:r>
        <w:rPr>
          <w:rFonts w:hint="eastAsia" w:hAnsi="Times New Roman" w:cs="Times New Roman"/>
          <w:highlight w:val="none"/>
        </w:rPr>
        <w:t>从严落实基本草原保护制度</w:t>
      </w:r>
      <w:bookmarkEnd w:id="165"/>
    </w:p>
    <w:p w14:paraId="65E283AC">
      <w:pPr>
        <w:pStyle w:val="15"/>
        <w:ind w:firstLine="640"/>
        <w:rPr>
          <w:rFonts w:hAnsi="仿宋_GB2312" w:cs="仿宋_GB2312"/>
          <w:szCs w:val="24"/>
          <w:highlight w:val="none"/>
          <w:lang w:bidi="ar"/>
        </w:rPr>
      </w:pPr>
      <w:r>
        <w:rPr>
          <w:rFonts w:hint="eastAsia" w:hAnsi="仿宋_GB2312" w:cs="仿宋_GB2312"/>
          <w:szCs w:val="24"/>
          <w:highlight w:val="none"/>
          <w:lang w:bidi="ar"/>
        </w:rPr>
        <w:t>落实基本草原保护制度，实施更加严格的基本草原保护和管理，确保基本草原面积不减少、质量不下降、用途不改变。加强基本草原保护力度，对基本草原实施严格的轮牧休牧和草畜平衡制度。科学合理利用草原，禁止乱采乱挖草原野生植物和破坏草原植被的其他活动。加强草原监管体系建设，提升执法监督工作水平。到2035年，江西沟镇基本草原面积保持在草原面积的80%以上。</w:t>
      </w:r>
    </w:p>
    <w:p w14:paraId="3DE239F2">
      <w:pPr>
        <w:pStyle w:val="60"/>
        <w:ind w:left="0" w:firstLine="640" w:firstLineChars="200"/>
        <w:rPr>
          <w:rFonts w:hint="eastAsia" w:hAnsi="Times New Roman" w:cs="Times New Roman"/>
          <w:highlight w:val="none"/>
        </w:rPr>
      </w:pPr>
      <w:bookmarkStart w:id="166" w:name="_Toc198237354"/>
      <w:r>
        <w:rPr>
          <w:rFonts w:hint="eastAsia" w:hAnsi="Times New Roman" w:cs="Times New Roman"/>
          <w:highlight w:val="none"/>
        </w:rPr>
        <w:t>合理利用草地资源，保障畜牧业生产空间</w:t>
      </w:r>
      <w:bookmarkEnd w:id="166"/>
    </w:p>
    <w:p w14:paraId="2AD5D84D">
      <w:pPr>
        <w:pStyle w:val="15"/>
        <w:ind w:firstLine="640"/>
        <w:rPr>
          <w:rFonts w:hAnsi="仿宋_GB2312" w:cs="仿宋_GB2312"/>
          <w:szCs w:val="24"/>
          <w:highlight w:val="none"/>
          <w:lang w:bidi="ar"/>
        </w:rPr>
      </w:pPr>
      <w:r>
        <w:rPr>
          <w:rFonts w:hint="eastAsia" w:hAnsi="仿宋_GB2312" w:cs="仿宋_GB2312"/>
          <w:szCs w:val="24"/>
          <w:highlight w:val="none"/>
          <w:lang w:bidi="ar"/>
        </w:rPr>
        <w:t>对牧区生态环境恶劣，退化、沙化、盐渍化严重，不宜放牧，以及位于生态涵养区的草原，继续实施天然草原禁牧补助政策，实行禁牧封育。对禁牧区以外的天然草原根据承载能力核定合理载畜量，继续实施草畜平衡管理，落实奖励政策。以草定畜，优化牧区、农牧结合区和农区资源配置，推行“舍饲圈养、种养结合、农牧互补、牧繁农育”等循环生产模式。高效利用土地种植人工饲草，提升饲草料供给能力。支持暖棚、饲草基地、贮草棚等基础设施建设，引导草场合理放牧和鼓励饲养畜结合。</w:t>
      </w:r>
    </w:p>
    <w:p w14:paraId="68D7BE36">
      <w:pPr>
        <w:pStyle w:val="60"/>
        <w:ind w:left="0" w:firstLine="640" w:firstLineChars="200"/>
        <w:rPr>
          <w:rFonts w:hint="eastAsia" w:hAnsi="Times New Roman" w:cs="Times New Roman"/>
          <w:highlight w:val="none"/>
        </w:rPr>
      </w:pPr>
      <w:bookmarkStart w:id="167" w:name="_Toc198237355"/>
      <w:r>
        <w:rPr>
          <w:rFonts w:hint="eastAsia"/>
          <w:highlight w:val="none"/>
        </w:rPr>
        <w:t>加强退化草地综合治理</w:t>
      </w:r>
      <w:bookmarkEnd w:id="167"/>
    </w:p>
    <w:p w14:paraId="37A91F52">
      <w:pPr>
        <w:pStyle w:val="15"/>
        <w:ind w:firstLine="640"/>
        <w:rPr>
          <w:rFonts w:hAnsi="仿宋_GB2312" w:cs="仿宋_GB2312"/>
          <w:szCs w:val="24"/>
          <w:highlight w:val="none"/>
          <w:lang w:bidi="ar"/>
        </w:rPr>
      </w:pPr>
      <w:r>
        <w:rPr>
          <w:rFonts w:hint="eastAsia" w:hAnsi="仿宋_GB2312" w:cs="仿宋_GB2312"/>
          <w:szCs w:val="24"/>
          <w:highlight w:val="none"/>
          <w:lang w:bidi="ar"/>
        </w:rPr>
        <w:t>根据高寒天然草地退化演替阶段和生态环境的不同，采用封育、松耙补播、施肥、防除毒杂草和鼠害防治等技术措施，以快速恢复退化的草地植被和提高初级生产力。针对草原建设过程中存在的问题，通过实施退化草地、沙化草地综合治理，废弃定居点治理和修复，退化草场补播改良等项目，促进退化草原植被恢复，全面提升草原生态系统功能。到2035年，全镇退化草原得到有效治理和修复，草原生态环境持续向好，综合服务功能显著提升，草原综合植被盖度不低于54.43%。</w:t>
      </w:r>
    </w:p>
    <w:p w14:paraId="6E23505F">
      <w:pPr>
        <w:pStyle w:val="60"/>
        <w:ind w:left="0" w:firstLine="640" w:firstLineChars="200"/>
        <w:rPr>
          <w:rFonts w:hint="eastAsia" w:hAnsi="Times New Roman" w:cs="Times New Roman"/>
          <w:highlight w:val="none"/>
        </w:rPr>
      </w:pPr>
      <w:bookmarkStart w:id="168" w:name="_Toc198237356"/>
      <w:r>
        <w:rPr>
          <w:rFonts w:hint="eastAsia" w:hAnsi="Times New Roman" w:cs="Times New Roman"/>
          <w:highlight w:val="none"/>
        </w:rPr>
        <w:t>积极推进草原复合利用</w:t>
      </w:r>
      <w:bookmarkEnd w:id="168"/>
    </w:p>
    <w:p w14:paraId="5BCF4692">
      <w:pPr>
        <w:pStyle w:val="15"/>
        <w:ind w:firstLine="640"/>
        <w:rPr>
          <w:rFonts w:hAnsi="仿宋_GB2312" w:cs="仿宋_GB2312"/>
          <w:szCs w:val="24"/>
          <w:highlight w:val="none"/>
          <w:lang w:bidi="ar"/>
        </w:rPr>
      </w:pPr>
      <w:bookmarkStart w:id="169" w:name="_Hlk135522906"/>
      <w:r>
        <w:rPr>
          <w:rFonts w:hint="eastAsia" w:hAnsi="仿宋_GB2312" w:cs="仿宋_GB2312"/>
          <w:szCs w:val="24"/>
          <w:highlight w:val="none"/>
          <w:lang w:bidi="ar"/>
        </w:rPr>
        <w:t>充分利用农牧交错带农林草多种资源，提高耦合性发展草牧业，在水资源充足，技术保障能力较好的地区，鼓励和支持利用农闲田、退耕还草地、饲草料地等土地资源，发展人工草地，增强饲草料就地供给保障能力。在生态红线范围外，依靠良好的生态资源，有序推进“绿水青山”向“金山银山”转化，鼓励打造一批草原旅游景区、度假地和精品旅游线路，推动草原旅游和生态康养产业发展，拓宽牧民增收渠道。采取草原轮牧和草场休养等措施，利用牧光互补和科学养殖提高草原复合利用效益。引进现代化的养殖技术和管理方法，提升农牧民的养殖技能和管理水平，有效提高草原畜牧业的效益和可持续性。</w:t>
      </w:r>
      <w:bookmarkEnd w:id="169"/>
    </w:p>
    <w:p w14:paraId="39D324D5">
      <w:pPr>
        <w:pStyle w:val="3"/>
        <w:numPr>
          <w:ilvl w:val="0"/>
          <w:numId w:val="12"/>
        </w:numPr>
        <w:rPr>
          <w:rFonts w:hint="eastAsia"/>
          <w:highlight w:val="none"/>
          <w:lang w:val="zh-CN"/>
        </w:rPr>
      </w:pPr>
      <w:bookmarkStart w:id="170" w:name="_Toc3945"/>
      <w:bookmarkStart w:id="171" w:name="_Toc18421"/>
      <w:bookmarkStart w:id="172" w:name="_Toc198237357"/>
      <w:bookmarkStart w:id="173" w:name="_Toc10615"/>
      <w:bookmarkStart w:id="174" w:name="_Toc198237518"/>
      <w:r>
        <w:rPr>
          <w:rFonts w:hint="eastAsia"/>
          <w:highlight w:val="none"/>
          <w:lang w:val="zh-CN"/>
        </w:rPr>
        <w:t>有序实施农用地综合整治</w:t>
      </w:r>
      <w:bookmarkEnd w:id="170"/>
      <w:bookmarkEnd w:id="171"/>
      <w:bookmarkEnd w:id="172"/>
      <w:bookmarkEnd w:id="173"/>
      <w:bookmarkEnd w:id="174"/>
    </w:p>
    <w:p w14:paraId="7438D864">
      <w:pPr>
        <w:pStyle w:val="60"/>
        <w:ind w:left="0" w:firstLine="640" w:firstLineChars="200"/>
        <w:rPr>
          <w:rFonts w:hint="eastAsia" w:hAnsi="Times New Roman" w:cs="Times New Roman"/>
          <w:highlight w:val="none"/>
        </w:rPr>
      </w:pPr>
      <w:bookmarkStart w:id="175" w:name="_Toc198237358"/>
      <w:r>
        <w:rPr>
          <w:rFonts w:hint="eastAsia" w:hAnsi="Times New Roman" w:cs="Times New Roman"/>
          <w:highlight w:val="none"/>
        </w:rPr>
        <w:t>统筹推进农用地综合整治</w:t>
      </w:r>
      <w:bookmarkEnd w:id="175"/>
    </w:p>
    <w:p w14:paraId="3678D54E">
      <w:pPr>
        <w:pStyle w:val="15"/>
        <w:ind w:firstLine="640"/>
        <w:rPr>
          <w:rFonts w:cs="仿宋_GB2312"/>
          <w:szCs w:val="24"/>
          <w:highlight w:val="none"/>
          <w:lang w:bidi="ar"/>
        </w:rPr>
      </w:pPr>
      <w:r>
        <w:rPr>
          <w:rFonts w:hint="eastAsia" w:hAnsi="仿宋_GB2312" w:cs="仿宋_GB2312"/>
          <w:szCs w:val="24"/>
          <w:highlight w:val="none"/>
          <w:lang w:bidi="ar"/>
        </w:rPr>
        <w:t>突出耕地“三位一体”保护，适应发展现代农业和适度规模经营的需要，统筹推进低效林草地整理、农田基础设施建设、现有耕地提质改造等，增加耕地数量，提高耕地质量，改善农田生态。推进高标准农田建设，实施耕地质量提升行动，加强土地整理、灌</w:t>
      </w:r>
      <w:r>
        <w:rPr>
          <w:rFonts w:hint="eastAsia" w:hAnsi="仿宋_GB2312" w:cs="仿宋_GB2312"/>
          <w:szCs w:val="24"/>
          <w:highlight w:val="none"/>
          <w:lang w:val="en-US" w:eastAsia="zh-CN" w:bidi="ar"/>
        </w:rPr>
        <w:t>溉</w:t>
      </w:r>
      <w:r>
        <w:rPr>
          <w:rFonts w:hint="eastAsia" w:hAnsi="仿宋_GB2312" w:cs="仿宋_GB2312"/>
          <w:szCs w:val="24"/>
          <w:highlight w:val="none"/>
          <w:lang w:bidi="ar"/>
        </w:rPr>
        <w:t>排水、田间道路、农田防护林建设，提高高标准农田比重。加大中低产田改造，实施耕地修复工程和土壤治理项目，积极开展土壤有机质提升。开展全域综合整治，推进江西沟镇域河道治理工程、农田水利配套及整治工程等重点工程建设，提高农田水利配套。适度开发耕地后备资源，</w:t>
      </w:r>
      <w:r>
        <w:rPr>
          <w:rFonts w:hint="eastAsia" w:hAnsi="仿宋_GB2312" w:cs="仿宋_GB2312"/>
          <w:szCs w:val="24"/>
          <w:highlight w:val="none"/>
          <w:lang w:eastAsia="zh-CN" w:bidi="ar"/>
        </w:rPr>
        <w:t>建设</w:t>
      </w:r>
      <w:r>
        <w:rPr>
          <w:rFonts w:hint="eastAsia" w:cs="仿宋_GB2312"/>
          <w:szCs w:val="24"/>
          <w:highlight w:val="none"/>
          <w:lang w:bidi="ar"/>
        </w:rPr>
        <w:t>高原生态良田。</w:t>
      </w:r>
    </w:p>
    <w:p w14:paraId="1F7B9D2A">
      <w:pPr>
        <w:pStyle w:val="15"/>
        <w:ind w:firstLine="640"/>
        <w:rPr>
          <w:highlight w:val="none"/>
        </w:rPr>
      </w:pPr>
    </w:p>
    <w:p w14:paraId="23A7C2D3">
      <w:pPr>
        <w:pStyle w:val="2"/>
        <w:ind w:left="0" w:firstLine="0"/>
        <w:rPr>
          <w:highlight w:val="none"/>
        </w:rPr>
      </w:pPr>
      <w:r>
        <w:rPr>
          <w:highlight w:val="none"/>
        </w:rPr>
        <w:br w:type="page"/>
      </w:r>
      <w:bookmarkStart w:id="176" w:name="_Toc198237519"/>
      <w:bookmarkStart w:id="177" w:name="_Toc29349"/>
      <w:bookmarkStart w:id="178" w:name="_Toc198237359"/>
      <w:bookmarkStart w:id="179" w:name="_Toc14834"/>
      <w:bookmarkStart w:id="180" w:name="_Toc30126"/>
      <w:r>
        <w:rPr>
          <w:rFonts w:hint="eastAsia"/>
          <w:highlight w:val="none"/>
          <w:lang w:val="en-US" w:eastAsia="zh-CN"/>
        </w:rPr>
        <w:t>统筹</w:t>
      </w:r>
      <w:r>
        <w:rPr>
          <w:rFonts w:hint="eastAsia"/>
          <w:highlight w:val="none"/>
        </w:rPr>
        <w:t>优化</w:t>
      </w:r>
      <w:r>
        <w:rPr>
          <w:rFonts w:hint="eastAsia"/>
          <w:highlight w:val="none"/>
          <w:lang w:val="en-US" w:eastAsia="zh-CN"/>
        </w:rPr>
        <w:t>镇村</w:t>
      </w:r>
      <w:r>
        <w:rPr>
          <w:rFonts w:hint="eastAsia"/>
          <w:highlight w:val="none"/>
        </w:rPr>
        <w:t>空间</w:t>
      </w:r>
      <w:bookmarkEnd w:id="176"/>
      <w:bookmarkEnd w:id="177"/>
      <w:bookmarkEnd w:id="178"/>
      <w:r>
        <w:rPr>
          <w:rFonts w:hint="eastAsia"/>
          <w:highlight w:val="none"/>
          <w:lang w:eastAsia="zh-CN"/>
        </w:rPr>
        <w:t>，</w:t>
      </w:r>
      <w:r>
        <w:rPr>
          <w:rFonts w:hint="eastAsia"/>
          <w:highlight w:val="none"/>
          <w:lang w:val="en-US" w:eastAsia="zh-CN"/>
        </w:rPr>
        <w:t>全面推动乡村振兴</w:t>
      </w:r>
      <w:bookmarkEnd w:id="179"/>
    </w:p>
    <w:p w14:paraId="75E9CE5F">
      <w:pPr>
        <w:pStyle w:val="3"/>
        <w:numPr>
          <w:ilvl w:val="1"/>
          <w:numId w:val="13"/>
        </w:numPr>
        <w:tabs>
          <w:tab w:val="left" w:pos="353"/>
        </w:tabs>
        <w:spacing w:before="260" w:after="260" w:line="416" w:lineRule="auto"/>
        <w:rPr>
          <w:highlight w:val="none"/>
          <w:lang w:val="zh-CN"/>
        </w:rPr>
      </w:pPr>
      <w:bookmarkStart w:id="181" w:name="_Toc15316"/>
      <w:bookmarkStart w:id="182" w:name="_Toc198237520"/>
      <w:bookmarkStart w:id="183" w:name="_Toc8861"/>
      <w:bookmarkStart w:id="184" w:name="_Toc198237360"/>
      <w:r>
        <w:rPr>
          <w:rFonts w:hint="eastAsia"/>
          <w:highlight w:val="none"/>
          <w:lang w:val="zh-CN"/>
        </w:rPr>
        <w:t>优化镇村空间体系</w:t>
      </w:r>
      <w:bookmarkEnd w:id="180"/>
      <w:bookmarkEnd w:id="181"/>
      <w:bookmarkEnd w:id="182"/>
      <w:bookmarkEnd w:id="183"/>
      <w:bookmarkEnd w:id="184"/>
    </w:p>
    <w:p w14:paraId="259F1BC8">
      <w:pPr>
        <w:pStyle w:val="60"/>
        <w:ind w:left="0" w:firstLine="640" w:firstLineChars="200"/>
        <w:rPr>
          <w:rFonts w:hint="eastAsia" w:hAnsi="Times New Roman" w:cs="Times New Roman"/>
          <w:highlight w:val="none"/>
        </w:rPr>
      </w:pPr>
      <w:bookmarkStart w:id="185" w:name="_Toc198237361"/>
      <w:r>
        <w:rPr>
          <w:rFonts w:hint="eastAsia" w:hAnsi="Times New Roman" w:cs="Times New Roman"/>
          <w:highlight w:val="none"/>
        </w:rPr>
        <w:t>明确镇村等级规模</w:t>
      </w:r>
      <w:bookmarkEnd w:id="185"/>
    </w:p>
    <w:p w14:paraId="72EFA101">
      <w:pPr>
        <w:pStyle w:val="15"/>
        <w:ind w:firstLine="640"/>
        <w:rPr>
          <w:rFonts w:hint="eastAsia" w:hAnsi="仿宋_GB2312" w:cs="仿宋_GB2312"/>
          <w:highlight w:val="none"/>
          <w:lang w:eastAsia="zh-CN"/>
        </w:rPr>
      </w:pPr>
      <w:r>
        <w:rPr>
          <w:rFonts w:hint="eastAsia" w:hAnsi="仿宋_GB2312" w:cs="仿宋_GB2312"/>
          <w:szCs w:val="24"/>
          <w:highlight w:val="none"/>
          <w:lang w:bidi="ar"/>
        </w:rPr>
        <w:t>通过综合分析江西沟镇现状各村庄的发展潜力，结合各村庄现状规模及基础设施条件，</w:t>
      </w:r>
      <w:r>
        <w:rPr>
          <w:rFonts w:hint="eastAsia" w:hAnsi="仿宋_GB2312" w:cs="仿宋_GB2312"/>
          <w:highlight w:val="none"/>
        </w:rPr>
        <w:t>规划形成“</w:t>
      </w:r>
      <w:r>
        <w:rPr>
          <w:rFonts w:hint="eastAsia" w:hAnsi="仿宋_GB2312" w:cs="仿宋_GB2312"/>
          <w:highlight w:val="none"/>
          <w:lang w:val="en-US" w:eastAsia="zh-CN"/>
        </w:rPr>
        <w:t>镇区</w:t>
      </w:r>
      <w:r>
        <w:rPr>
          <w:rFonts w:hint="eastAsia" w:hAnsi="仿宋_GB2312" w:cs="仿宋_GB2312"/>
          <w:highlight w:val="none"/>
        </w:rPr>
        <w:t>—中心村—基层村”三级镇村体系，推动生产要素向集镇和中心村聚集</w:t>
      </w:r>
      <w:r>
        <w:rPr>
          <w:rFonts w:hint="eastAsia" w:hAnsi="仿宋_GB2312" w:cs="仿宋_GB2312"/>
          <w:highlight w:val="none"/>
          <w:lang w:eastAsia="zh-CN"/>
        </w:rPr>
        <w:t>。</w:t>
      </w:r>
    </w:p>
    <w:p w14:paraId="795C6653">
      <w:pPr>
        <w:pStyle w:val="15"/>
        <w:ind w:firstLine="640"/>
        <w:rPr>
          <w:rFonts w:hAnsi="仿宋_GB2312" w:cs="仿宋_GB2312"/>
          <w:szCs w:val="24"/>
          <w:highlight w:val="none"/>
          <w:lang w:bidi="ar"/>
        </w:rPr>
      </w:pPr>
      <w:r>
        <w:rPr>
          <w:rFonts w:hint="eastAsia" w:hAnsi="仿宋_GB2312" w:cs="仿宋_GB2312"/>
          <w:szCs w:val="24"/>
          <w:highlight w:val="none"/>
          <w:lang w:bidi="ar"/>
        </w:rPr>
        <w:t>第一级：</w:t>
      </w:r>
      <w:r>
        <w:rPr>
          <w:rFonts w:hint="eastAsia" w:hAnsi="仿宋_GB2312" w:cs="仿宋_GB2312"/>
          <w:szCs w:val="24"/>
          <w:highlight w:val="none"/>
          <w:lang w:val="en-US" w:eastAsia="zh-CN" w:bidi="ar"/>
        </w:rPr>
        <w:t>镇区</w:t>
      </w:r>
      <w:r>
        <w:rPr>
          <w:rFonts w:hint="eastAsia" w:hAnsi="仿宋_GB2312" w:cs="仿宋_GB2312"/>
          <w:szCs w:val="24"/>
          <w:highlight w:val="none"/>
          <w:lang w:bidi="ar"/>
        </w:rPr>
        <w:t>，指江西沟镇区，包括大仓村。规划总建设用地约</w:t>
      </w:r>
      <w:r>
        <w:rPr>
          <w:rFonts w:hAnsi="仿宋_GB2312" w:cs="仿宋_GB2312"/>
          <w:szCs w:val="24"/>
          <w:highlight w:val="none"/>
          <w:lang w:bidi="ar"/>
        </w:rPr>
        <w:t>48.3</w:t>
      </w:r>
      <w:r>
        <w:rPr>
          <w:rFonts w:hint="eastAsia" w:hAnsi="仿宋_GB2312" w:cs="仿宋_GB2312"/>
          <w:szCs w:val="24"/>
          <w:highlight w:val="none"/>
          <w:lang w:bidi="ar"/>
        </w:rPr>
        <w:t>6公顷，规划人口规模约0</w:t>
      </w:r>
      <w:r>
        <w:rPr>
          <w:rFonts w:hAnsi="仿宋_GB2312" w:cs="仿宋_GB2312"/>
          <w:szCs w:val="24"/>
          <w:highlight w:val="none"/>
          <w:lang w:bidi="ar"/>
        </w:rPr>
        <w:t>.3</w:t>
      </w:r>
      <w:r>
        <w:rPr>
          <w:rFonts w:hint="eastAsia" w:hAnsi="仿宋_GB2312" w:cs="仿宋_GB2312"/>
          <w:szCs w:val="24"/>
          <w:highlight w:val="none"/>
          <w:lang w:bidi="ar"/>
        </w:rPr>
        <w:t>万人，为整个镇的政治经济文化中心。</w:t>
      </w:r>
    </w:p>
    <w:p w14:paraId="68CE79B5">
      <w:pPr>
        <w:pStyle w:val="15"/>
        <w:ind w:firstLine="640"/>
        <w:rPr>
          <w:rFonts w:hAnsi="仿宋_GB2312" w:cs="仿宋_GB2312"/>
          <w:szCs w:val="24"/>
          <w:highlight w:val="none"/>
          <w:lang w:bidi="ar"/>
        </w:rPr>
      </w:pPr>
      <w:r>
        <w:rPr>
          <w:rFonts w:hint="eastAsia" w:hAnsi="仿宋_GB2312" w:cs="仿宋_GB2312"/>
          <w:szCs w:val="24"/>
          <w:highlight w:val="none"/>
          <w:lang w:bidi="ar"/>
        </w:rPr>
        <w:t>第二级：中心村</w:t>
      </w:r>
      <w:r>
        <w:rPr>
          <w:rFonts w:hAnsi="仿宋_GB2312" w:cs="仿宋_GB2312"/>
          <w:szCs w:val="24"/>
          <w:highlight w:val="none"/>
          <w:lang w:bidi="ar"/>
        </w:rPr>
        <w:t>1</w:t>
      </w:r>
      <w:r>
        <w:rPr>
          <w:rFonts w:hint="eastAsia" w:hAnsi="仿宋_GB2312" w:cs="仿宋_GB2312"/>
          <w:szCs w:val="24"/>
          <w:highlight w:val="none"/>
          <w:lang w:bidi="ar"/>
        </w:rPr>
        <w:t>个，即莫热村，规划人口规模</w:t>
      </w:r>
      <w:r>
        <w:rPr>
          <w:rFonts w:hAnsi="仿宋_GB2312" w:cs="仿宋_GB2312"/>
          <w:szCs w:val="24"/>
          <w:highlight w:val="none"/>
          <w:lang w:bidi="ar"/>
        </w:rPr>
        <w:t>0.2</w:t>
      </w:r>
      <w:r>
        <w:rPr>
          <w:rFonts w:hint="eastAsia" w:hAnsi="仿宋_GB2312" w:cs="仿宋_GB2312"/>
          <w:szCs w:val="24"/>
          <w:highlight w:val="none"/>
          <w:lang w:bidi="ar"/>
        </w:rPr>
        <w:t>万人。</w:t>
      </w:r>
    </w:p>
    <w:p w14:paraId="542002D3">
      <w:pPr>
        <w:pStyle w:val="15"/>
        <w:ind w:firstLine="640"/>
        <w:rPr>
          <w:rFonts w:hAnsi="仿宋_GB2312" w:cs="仿宋_GB2312"/>
          <w:szCs w:val="24"/>
          <w:highlight w:val="none"/>
          <w:lang w:bidi="ar"/>
        </w:rPr>
      </w:pPr>
      <w:r>
        <w:rPr>
          <w:rFonts w:hint="eastAsia" w:hAnsi="仿宋_GB2312" w:cs="仿宋_GB2312"/>
          <w:szCs w:val="24"/>
          <w:highlight w:val="none"/>
          <w:lang w:bidi="ar"/>
        </w:rPr>
        <w:t>第三级：一般村</w:t>
      </w:r>
      <w:r>
        <w:rPr>
          <w:rFonts w:hAnsi="仿宋_GB2312" w:cs="仿宋_GB2312"/>
          <w:szCs w:val="24"/>
          <w:highlight w:val="none"/>
          <w:lang w:bidi="ar"/>
        </w:rPr>
        <w:t>1</w:t>
      </w:r>
      <w:r>
        <w:rPr>
          <w:rFonts w:hint="eastAsia" w:hAnsi="仿宋_GB2312" w:cs="仿宋_GB2312"/>
          <w:szCs w:val="24"/>
          <w:highlight w:val="none"/>
          <w:lang w:bidi="ar"/>
        </w:rPr>
        <w:t>个，即元者村，规划人口规模</w:t>
      </w:r>
      <w:r>
        <w:rPr>
          <w:rFonts w:hAnsi="仿宋_GB2312" w:cs="仿宋_GB2312"/>
          <w:szCs w:val="24"/>
          <w:highlight w:val="none"/>
          <w:lang w:bidi="ar"/>
        </w:rPr>
        <w:t>0.1</w:t>
      </w:r>
      <w:r>
        <w:rPr>
          <w:rFonts w:hint="eastAsia" w:hAnsi="仿宋_GB2312" w:cs="仿宋_GB2312"/>
          <w:szCs w:val="24"/>
          <w:highlight w:val="none"/>
          <w:lang w:bidi="ar"/>
        </w:rPr>
        <w:t>万人。</w:t>
      </w:r>
    </w:p>
    <w:p w14:paraId="6B192BF8">
      <w:pPr>
        <w:pStyle w:val="60"/>
        <w:ind w:left="0" w:firstLine="640" w:firstLineChars="200"/>
        <w:rPr>
          <w:rFonts w:hint="eastAsia" w:hAnsi="Times New Roman" w:cs="Times New Roman"/>
          <w:highlight w:val="none"/>
        </w:rPr>
      </w:pPr>
      <w:bookmarkStart w:id="186" w:name="_Toc198237362"/>
      <w:r>
        <w:rPr>
          <w:rFonts w:hint="eastAsia" w:hAnsi="Times New Roman" w:cs="Times New Roman"/>
          <w:highlight w:val="none"/>
        </w:rPr>
        <w:t>提升城镇职能定位</w:t>
      </w:r>
      <w:bookmarkEnd w:id="186"/>
    </w:p>
    <w:p w14:paraId="3FB8C8B2">
      <w:pPr>
        <w:pStyle w:val="15"/>
        <w:ind w:firstLine="640"/>
        <w:rPr>
          <w:rFonts w:hAnsi="仿宋_GB2312" w:cs="仿宋_GB2312"/>
          <w:szCs w:val="24"/>
          <w:highlight w:val="none"/>
          <w:lang w:bidi="ar"/>
        </w:rPr>
      </w:pPr>
      <w:r>
        <w:rPr>
          <w:rFonts w:hint="eastAsia" w:hAnsi="仿宋_GB2312" w:cs="仿宋_GB2312"/>
          <w:szCs w:val="24"/>
          <w:highlight w:val="none"/>
          <w:lang w:bidi="ar"/>
        </w:rPr>
        <w:t>规划江西沟镇</w:t>
      </w:r>
      <w:r>
        <w:rPr>
          <w:rFonts w:hint="eastAsia" w:hAnsi="仿宋_GB2312" w:cs="仿宋_GB2312"/>
          <w:szCs w:val="24"/>
          <w:highlight w:val="none"/>
          <w:lang w:val="en-US" w:eastAsia="zh-CN" w:bidi="ar"/>
        </w:rPr>
        <w:t>为共和县一般镇，</w:t>
      </w:r>
      <w:r>
        <w:rPr>
          <w:rFonts w:hint="eastAsia" w:hAnsi="仿宋_GB2312" w:cs="仿宋_GB2312"/>
          <w:szCs w:val="24"/>
          <w:highlight w:val="none"/>
          <w:lang w:bidi="ar"/>
        </w:rPr>
        <w:t>文化旅游型城镇，周边村庄根据自身的特色形成差异化分工，但均服务于镇区。镇区是全镇的政治、经济、文化中心，服务全镇，主要承载综合旅游服务职能；中心村有较好的基础设施和公共服务设施建设，主要承载发展种植、畜牧和农副产品加工业与旅游服务职能；一般村主要承载畜牧业与旅游服务职能。</w:t>
      </w:r>
    </w:p>
    <w:p w14:paraId="2EF83B64">
      <w:pPr>
        <w:pStyle w:val="60"/>
        <w:ind w:left="0" w:firstLine="640" w:firstLineChars="200"/>
        <w:rPr>
          <w:rFonts w:hint="eastAsia" w:hAnsi="Times New Roman" w:cs="Times New Roman"/>
          <w:highlight w:val="none"/>
        </w:rPr>
      </w:pPr>
      <w:bookmarkStart w:id="187" w:name="_Toc198237363"/>
      <w:r>
        <w:rPr>
          <w:rFonts w:hint="eastAsia" w:hAnsi="Times New Roman" w:cs="Times New Roman"/>
          <w:highlight w:val="none"/>
        </w:rPr>
        <w:t>强化村庄分类引导</w:t>
      </w:r>
      <w:bookmarkEnd w:id="187"/>
    </w:p>
    <w:p w14:paraId="040B464C">
      <w:pPr>
        <w:pStyle w:val="15"/>
        <w:ind w:firstLine="640"/>
        <w:rPr>
          <w:rFonts w:hAnsi="仿宋_GB2312" w:cs="仿宋_GB2312"/>
          <w:szCs w:val="24"/>
          <w:highlight w:val="none"/>
          <w:lang w:bidi="ar"/>
        </w:rPr>
      </w:pPr>
      <w:r>
        <w:rPr>
          <w:rFonts w:hint="eastAsia" w:hAnsi="仿宋_GB2312" w:cs="仿宋_GB2312"/>
          <w:szCs w:val="24"/>
          <w:highlight w:val="none"/>
          <w:lang w:bidi="ar"/>
        </w:rPr>
        <w:t>分类引导、有序推进乡村振兴发展。充分尊重、顺应乡村发展规律和演变趋势，根据村庄经济社会发展条件、建设现状、区位条件、资源禀赋等因素，将全镇的3个行政村，按照集聚提升类、城郊融合类、稳定发展类3种类型，突出重点、分类施策、梯次推进，有序实现乡村振兴。</w:t>
      </w:r>
    </w:p>
    <w:p w14:paraId="3F94725A">
      <w:pPr>
        <w:pStyle w:val="15"/>
        <w:ind w:firstLine="640"/>
        <w:rPr>
          <w:rFonts w:hAnsi="仿宋_GB2312" w:cs="仿宋_GB2312"/>
          <w:szCs w:val="24"/>
          <w:highlight w:val="none"/>
          <w:lang w:bidi="ar"/>
        </w:rPr>
      </w:pPr>
      <w:r>
        <w:rPr>
          <w:rFonts w:hint="eastAsia" w:hAnsi="仿宋_GB2312" w:cs="仿宋_GB2312"/>
          <w:szCs w:val="24"/>
          <w:highlight w:val="none"/>
          <w:lang w:bidi="ar"/>
        </w:rPr>
        <w:t>集聚提升类村庄：莫热村。</w:t>
      </w:r>
    </w:p>
    <w:p w14:paraId="3CF3CEFF">
      <w:pPr>
        <w:pStyle w:val="15"/>
        <w:ind w:firstLine="640"/>
        <w:rPr>
          <w:rFonts w:hAnsi="仿宋_GB2312" w:cs="仿宋_GB2312"/>
          <w:szCs w:val="24"/>
          <w:highlight w:val="none"/>
          <w:lang w:bidi="ar"/>
        </w:rPr>
      </w:pPr>
      <w:r>
        <w:rPr>
          <w:rFonts w:hint="eastAsia" w:hAnsi="仿宋_GB2312" w:cs="仿宋_GB2312"/>
          <w:szCs w:val="24"/>
          <w:highlight w:val="none"/>
          <w:lang w:bidi="ar"/>
        </w:rPr>
        <w:t>城郊融合类村庄：大仓村。</w:t>
      </w:r>
    </w:p>
    <w:p w14:paraId="7058E07B">
      <w:pPr>
        <w:pStyle w:val="15"/>
        <w:ind w:firstLine="640"/>
        <w:rPr>
          <w:rFonts w:hAnsi="仿宋_GB2312" w:cs="仿宋_GB2312"/>
          <w:szCs w:val="24"/>
          <w:highlight w:val="none"/>
          <w:lang w:bidi="ar"/>
        </w:rPr>
      </w:pPr>
      <w:r>
        <w:rPr>
          <w:rFonts w:hint="eastAsia" w:hAnsi="仿宋_GB2312" w:cs="仿宋_GB2312"/>
          <w:szCs w:val="24"/>
          <w:highlight w:val="none"/>
          <w:lang w:bidi="ar"/>
        </w:rPr>
        <w:t>稳定发展类村庄：元者村。</w:t>
      </w:r>
    </w:p>
    <w:p w14:paraId="2F8A6FC3">
      <w:pPr>
        <w:pStyle w:val="3"/>
        <w:numPr>
          <w:ilvl w:val="1"/>
          <w:numId w:val="13"/>
        </w:numPr>
        <w:tabs>
          <w:tab w:val="left" w:pos="353"/>
        </w:tabs>
        <w:spacing w:before="260" w:after="260" w:line="416" w:lineRule="auto"/>
        <w:rPr>
          <w:highlight w:val="none"/>
          <w:lang w:val="zh-CN"/>
        </w:rPr>
      </w:pPr>
      <w:bookmarkStart w:id="188" w:name="_Toc198237521"/>
      <w:bookmarkStart w:id="189" w:name="_Toc198237364"/>
      <w:bookmarkStart w:id="190" w:name="_Toc21710"/>
      <w:bookmarkStart w:id="191" w:name="_Toc4447"/>
      <w:bookmarkStart w:id="192" w:name="_Toc31585"/>
      <w:r>
        <w:rPr>
          <w:rFonts w:hint="eastAsia"/>
          <w:highlight w:val="none"/>
          <w:lang w:val="zh-CN"/>
        </w:rPr>
        <w:t>优化乡村空间布局</w:t>
      </w:r>
      <w:bookmarkEnd w:id="188"/>
      <w:bookmarkEnd w:id="189"/>
      <w:bookmarkEnd w:id="190"/>
      <w:bookmarkEnd w:id="191"/>
      <w:bookmarkEnd w:id="192"/>
    </w:p>
    <w:p w14:paraId="6CEE60F5">
      <w:pPr>
        <w:pStyle w:val="60"/>
        <w:ind w:left="0" w:firstLine="640" w:firstLineChars="200"/>
        <w:rPr>
          <w:rFonts w:hint="eastAsia" w:hAnsi="Times New Roman" w:cs="Times New Roman"/>
          <w:highlight w:val="none"/>
        </w:rPr>
      </w:pPr>
      <w:bookmarkStart w:id="193" w:name="_Toc198237365"/>
      <w:r>
        <w:rPr>
          <w:rFonts w:hint="eastAsia" w:hAnsi="Times New Roman" w:cs="Times New Roman"/>
          <w:highlight w:val="none"/>
        </w:rPr>
        <w:t>明确</w:t>
      </w:r>
      <w:r>
        <w:rPr>
          <w:rFonts w:hint="eastAsia" w:hAnsi="Times New Roman" w:cs="Times New Roman"/>
          <w:highlight w:val="none"/>
          <w:lang w:eastAsia="zh-CN"/>
        </w:rPr>
        <w:t>乡村振兴战略</w:t>
      </w:r>
      <w:bookmarkEnd w:id="193"/>
    </w:p>
    <w:p w14:paraId="100A7E09">
      <w:pPr>
        <w:pStyle w:val="15"/>
        <w:ind w:firstLine="640"/>
        <w:rPr>
          <w:rFonts w:hAnsi="仿宋_GB2312" w:cs="仿宋_GB2312"/>
          <w:szCs w:val="24"/>
          <w:highlight w:val="none"/>
          <w:lang w:bidi="ar"/>
        </w:rPr>
      </w:pPr>
      <w:r>
        <w:rPr>
          <w:rFonts w:hint="eastAsia" w:hAnsi="仿宋_GB2312" w:cs="仿宋_GB2312"/>
          <w:szCs w:val="24"/>
          <w:highlight w:val="none"/>
          <w:lang w:bidi="ar"/>
        </w:rPr>
        <w:t>以新型城镇化为动力，乡村产业现代化为支撑，乡村数字化为手段。坚持城乡融合发展，按照“点—轴”开发模式，以小城镇建设为节点，重要交通廊道为轴线，辐射和带动乡村振兴发展。坚持农业农村优先发展，加快建设农业强国，全方位夯实粮食安全根基，逐步把永久基本农田全部建成高标准农田，强化农业科技和装备支撑，树立大食物观，发展设施农业，构建多元化食物供给体系；充分发挥高原旅游资源和高原特色农牧产品优势，调整农业产业布局和结构，发展新型农业经营主体和社会化服务，发展农业适度规模经营，推动现代服务业同现代农业深度融合，推进旅游业、农牧产业现代化发展。积极推进共和数字乡村国家示范县建设，统筹乡村基础设施和公共服务布局，以大数据产业平台为依托，加快乡村基础设施数字化转型，助力乡村振兴。科学合理布局，分类施策，突出重点，开展高原美丽宜居乡村建设，有序推进乡村振兴战略稳步实施营造宜居适度的乡村生活空间，建设宜居宜业和美乡村。</w:t>
      </w:r>
    </w:p>
    <w:p w14:paraId="7D91C973">
      <w:pPr>
        <w:pStyle w:val="60"/>
        <w:ind w:left="0" w:firstLine="640" w:firstLineChars="200"/>
        <w:rPr>
          <w:rFonts w:hint="eastAsia" w:hAnsi="Times New Roman" w:cs="Times New Roman"/>
          <w:highlight w:val="none"/>
        </w:rPr>
      </w:pPr>
      <w:bookmarkStart w:id="194" w:name="_Toc198237366"/>
      <w:r>
        <w:rPr>
          <w:rFonts w:hint="eastAsia" w:hAnsi="Times New Roman" w:cs="Times New Roman"/>
          <w:highlight w:val="none"/>
        </w:rPr>
        <w:t>构建城乡融合的乡村振兴发展模式</w:t>
      </w:r>
      <w:bookmarkEnd w:id="194"/>
    </w:p>
    <w:p w14:paraId="5CEA4B18">
      <w:pPr>
        <w:pStyle w:val="15"/>
        <w:ind w:firstLine="640"/>
        <w:rPr>
          <w:rFonts w:hAnsi="仿宋_GB2312" w:cs="仿宋_GB2312"/>
          <w:szCs w:val="24"/>
          <w:highlight w:val="none"/>
          <w:lang w:bidi="ar"/>
        </w:rPr>
      </w:pPr>
      <w:r>
        <w:rPr>
          <w:rFonts w:hint="eastAsia" w:hAnsi="仿宋_GB2312" w:cs="仿宋_GB2312"/>
          <w:szCs w:val="24"/>
          <w:highlight w:val="none"/>
          <w:lang w:bidi="ar"/>
        </w:rPr>
        <w:t>因地制宜，统筹乡镇发展定位和主导产业功能，以青海湖旅游专用公路等主要交通道路沿线区域为引导，着力推进城乡融合和区域协调发展，促进城乡要素流动，以旅串文带农带牧，积极推进特色镇村联动发展，全域乡村空间发展逐渐演化形成以城乡融合发展单元为基础的乡村振兴发展模式。</w:t>
      </w:r>
    </w:p>
    <w:p w14:paraId="234FBD8C">
      <w:pPr>
        <w:pStyle w:val="60"/>
        <w:ind w:left="0" w:firstLine="640" w:firstLineChars="200"/>
        <w:rPr>
          <w:rFonts w:hint="eastAsia" w:hAnsi="Times New Roman" w:cs="Times New Roman"/>
          <w:highlight w:val="none"/>
        </w:rPr>
      </w:pPr>
      <w:bookmarkStart w:id="195" w:name="_Toc198237367"/>
      <w:r>
        <w:rPr>
          <w:rFonts w:hint="eastAsia" w:hAnsi="Times New Roman" w:cs="Times New Roman"/>
          <w:highlight w:val="none"/>
        </w:rPr>
        <w:t>保障乡村建设用地</w:t>
      </w:r>
      <w:bookmarkEnd w:id="195"/>
    </w:p>
    <w:p w14:paraId="452777EE">
      <w:pPr>
        <w:pStyle w:val="15"/>
        <w:ind w:firstLine="640"/>
        <w:rPr>
          <w:rFonts w:hAnsi="仿宋_GB2312" w:cs="仿宋_GB2312"/>
          <w:szCs w:val="24"/>
          <w:highlight w:val="none"/>
          <w:lang w:bidi="ar"/>
        </w:rPr>
      </w:pPr>
      <w:r>
        <w:rPr>
          <w:rFonts w:hint="eastAsia" w:hAnsi="仿宋_GB2312" w:cs="仿宋_GB2312"/>
          <w:szCs w:val="24"/>
          <w:highlight w:val="none"/>
          <w:lang w:bidi="ar"/>
        </w:rPr>
        <w:t>优先使用闲置用地，提高乡村居民点用地集约水平。江西沟镇位于细化城市地区，应分类有序推进搬迁撤并，可适度保留部分独立定居点，缓解生态压力，维护和提升生态价值。合理管控农村居民点用地，保障宅基地合理空间需求；在充分尊重群众意愿的基础上，以现状农村居民点为基础，采用新建与扩建的形式规划布局农村集中居民点。</w:t>
      </w:r>
    </w:p>
    <w:p w14:paraId="1630B7A9">
      <w:pPr>
        <w:pStyle w:val="60"/>
        <w:ind w:left="0" w:firstLine="640" w:firstLineChars="200"/>
        <w:rPr>
          <w:rFonts w:hint="eastAsia" w:hAnsi="Times New Roman" w:cs="Times New Roman"/>
          <w:highlight w:val="none"/>
        </w:rPr>
      </w:pPr>
      <w:bookmarkStart w:id="196" w:name="_Toc198237368"/>
      <w:r>
        <w:rPr>
          <w:rFonts w:hint="eastAsia" w:hAnsi="Times New Roman" w:cs="Times New Roman"/>
          <w:highlight w:val="none"/>
        </w:rPr>
        <w:t>明确村庄建设管控和风貌指引</w:t>
      </w:r>
      <w:bookmarkEnd w:id="196"/>
    </w:p>
    <w:p w14:paraId="66028BD5">
      <w:pPr>
        <w:pStyle w:val="15"/>
        <w:ind w:firstLine="640"/>
        <w:rPr>
          <w:rFonts w:hAnsi="仿宋_GB2312" w:cs="仿宋_GB2312"/>
          <w:szCs w:val="24"/>
          <w:highlight w:val="none"/>
          <w:lang w:bidi="ar"/>
        </w:rPr>
      </w:pPr>
      <w:r>
        <w:rPr>
          <w:rFonts w:hint="eastAsia" w:hAnsi="仿宋_GB2312" w:cs="仿宋_GB2312"/>
          <w:szCs w:val="24"/>
          <w:highlight w:val="none"/>
          <w:lang w:bidi="ar"/>
        </w:rPr>
        <w:t>村庄建设管控和风貌指引。在体现地域和农村特色的前提下，利用村庄的地形地貌和历史文化资源，协调好村庄与周边自然景观资源关系、注重村庄文化传承和保护，因地制宜分类提出村庄建设管控和风貌指引要求，落实村庄建筑面积、高度、建房风貌空间形态等内容，形成有机交融的空间关系，塑造富有地域特色的村庄建筑文化与风貌特色。严禁在山地高、陡无防护措施切坡建房。同时明确农业设施用地的面积、用途管制规定。</w:t>
      </w:r>
    </w:p>
    <w:p w14:paraId="0ABB687D">
      <w:pPr>
        <w:pStyle w:val="15"/>
        <w:ind w:firstLine="640"/>
        <w:rPr>
          <w:rFonts w:hAnsi="仿宋_GB2312" w:cs="仿宋_GB2312"/>
          <w:szCs w:val="24"/>
          <w:highlight w:val="none"/>
          <w:lang w:bidi="ar"/>
        </w:rPr>
      </w:pPr>
      <w:r>
        <w:rPr>
          <w:rFonts w:hint="eastAsia" w:hAnsi="仿宋_GB2312" w:cs="仿宋_GB2312"/>
          <w:szCs w:val="24"/>
          <w:highlight w:val="none"/>
          <w:lang w:bidi="ar"/>
        </w:rPr>
        <w:t>公共</w:t>
      </w:r>
      <w:r>
        <w:rPr>
          <w:rFonts w:hint="eastAsia" w:hAnsi="仿宋_GB2312" w:cs="仿宋_GB2312"/>
          <w:szCs w:val="24"/>
          <w:highlight w:val="none"/>
          <w:lang w:val="en-US" w:eastAsia="zh-CN" w:bidi="ar"/>
        </w:rPr>
        <w:t>服务</w:t>
      </w:r>
      <w:r>
        <w:rPr>
          <w:rFonts w:hint="eastAsia" w:hAnsi="仿宋_GB2312" w:cs="仿宋_GB2312"/>
          <w:szCs w:val="24"/>
          <w:highlight w:val="none"/>
          <w:lang w:bidi="ar"/>
        </w:rPr>
        <w:t>和基础设施配套指引。落实乡村振兴战略，促进城乡公共服务资源均衡配置和农民农村共同富裕的要求，结合村庄类型，分类提出不同村庄公共</w:t>
      </w:r>
      <w:r>
        <w:rPr>
          <w:rFonts w:hint="eastAsia" w:hAnsi="仿宋_GB2312" w:cs="仿宋_GB2312"/>
          <w:szCs w:val="24"/>
          <w:highlight w:val="none"/>
          <w:lang w:val="en-US" w:eastAsia="zh-CN" w:bidi="ar"/>
        </w:rPr>
        <w:t>服务</w:t>
      </w:r>
      <w:r>
        <w:rPr>
          <w:rFonts w:hint="eastAsia" w:hAnsi="仿宋_GB2312" w:cs="仿宋_GB2312"/>
          <w:szCs w:val="24"/>
          <w:highlight w:val="none"/>
          <w:lang w:bidi="ar"/>
        </w:rPr>
        <w:t>和基础设施配置要求和标准。</w:t>
      </w:r>
    </w:p>
    <w:p w14:paraId="52A42B6C">
      <w:pPr>
        <w:pStyle w:val="15"/>
        <w:ind w:firstLine="640"/>
        <w:rPr>
          <w:rFonts w:hAnsi="仿宋_GB2312" w:cs="仿宋_GB2312"/>
          <w:szCs w:val="24"/>
          <w:highlight w:val="none"/>
          <w:lang w:bidi="ar"/>
        </w:rPr>
      </w:pPr>
      <w:r>
        <w:rPr>
          <w:rFonts w:hint="eastAsia" w:hAnsi="仿宋_GB2312" w:cs="仿宋_GB2312"/>
          <w:szCs w:val="24"/>
          <w:highlight w:val="none"/>
          <w:lang w:bidi="ar"/>
        </w:rPr>
        <w:t>国土综合整治与生态修复指引。严格落实上位国土空间总体规划明确的各村域范围内国土综合整治与生态修复区域，分类提出不同村庄国土综合整治与生态修复要求和措施。</w:t>
      </w:r>
    </w:p>
    <w:p w14:paraId="7F22A7EC">
      <w:pPr>
        <w:pStyle w:val="60"/>
        <w:ind w:left="0" w:firstLine="640" w:firstLineChars="200"/>
        <w:rPr>
          <w:rFonts w:hint="eastAsia" w:hAnsi="Times New Roman" w:cs="Times New Roman"/>
          <w:highlight w:val="none"/>
        </w:rPr>
      </w:pPr>
      <w:bookmarkStart w:id="197" w:name="_Toc198237369"/>
      <w:r>
        <w:rPr>
          <w:rFonts w:hint="eastAsia" w:hAnsi="Times New Roman" w:cs="Times New Roman"/>
          <w:highlight w:val="none"/>
        </w:rPr>
        <w:t>稳步推进农村建设用地综合整治</w:t>
      </w:r>
      <w:bookmarkEnd w:id="197"/>
    </w:p>
    <w:p w14:paraId="6F90F2D5">
      <w:pPr>
        <w:pStyle w:val="15"/>
        <w:ind w:firstLine="640"/>
        <w:rPr>
          <w:rFonts w:hAnsi="仿宋_GB2312" w:cs="仿宋_GB2312"/>
          <w:szCs w:val="24"/>
          <w:highlight w:val="none"/>
          <w:lang w:bidi="ar"/>
        </w:rPr>
      </w:pPr>
      <w:r>
        <w:rPr>
          <w:rFonts w:hint="eastAsia" w:hAnsi="仿宋_GB2312" w:cs="仿宋_GB2312"/>
          <w:szCs w:val="24"/>
          <w:highlight w:val="none"/>
          <w:lang w:bidi="ar"/>
        </w:rPr>
        <w:t>规范有序开展农村建设用地整治，通过中心村建设、闲散居民点复垦、生态移民搬迁整治，优化农村居民点布局，同时稳妥推进农村危房改造、集体建设用地流转、废弃建设用地复垦等多种措施，改善农村人居环境和农业生产条件，促进美丽宜居乡村建设和城乡发展一体化。农业发展区乡村重点加快新农村建设，原址就地改造农业区分散的小规模农村危房，改善生产生活条件，合理引导居民点集中布局。牧业发展区乡村总体遵循“大分散、小集中”的空间布局模式，形成季节性定居点，鼓励独立定居点牧民向周边城镇和中心村集中。生态保护区内乡村应尊重农牧民意愿，实施游牧民定居点建设，逐步搬出生态保护区，也可保留部分独立定居点，注重与区域生态环境相协调。稳妥推进城乡建设用地增减挂钩，按照先批准后实施的要求，稳妥慎重推进村庄建设用地的复垦，着力优化国土空间格局，严格控制城乡建设用地规模。</w:t>
      </w:r>
    </w:p>
    <w:p w14:paraId="26C0B703">
      <w:pPr>
        <w:pStyle w:val="60"/>
        <w:ind w:left="0" w:firstLine="640" w:firstLineChars="200"/>
        <w:rPr>
          <w:rFonts w:hint="eastAsia" w:hAnsi="Times New Roman" w:cs="Times New Roman"/>
          <w:highlight w:val="none"/>
        </w:rPr>
      </w:pPr>
      <w:bookmarkStart w:id="198" w:name="_Toc198237370"/>
      <w:r>
        <w:rPr>
          <w:rFonts w:hint="eastAsia"/>
          <w:highlight w:val="none"/>
        </w:rPr>
        <w:t>统筹农村一二三产业融合发展空间</w:t>
      </w:r>
      <w:bookmarkEnd w:id="198"/>
    </w:p>
    <w:p w14:paraId="4A39BBA4">
      <w:pPr>
        <w:pStyle w:val="15"/>
        <w:ind w:firstLine="640"/>
        <w:rPr>
          <w:rFonts w:hAnsi="仿宋_GB2312" w:cs="仿宋_GB2312"/>
          <w:szCs w:val="24"/>
          <w:highlight w:val="none"/>
          <w:lang w:bidi="ar"/>
        </w:rPr>
      </w:pPr>
      <w:r>
        <w:rPr>
          <w:rFonts w:hint="eastAsia" w:hAnsi="仿宋_GB2312" w:cs="仿宋_GB2312"/>
          <w:szCs w:val="24"/>
          <w:highlight w:val="none"/>
          <w:lang w:bidi="ar"/>
        </w:rPr>
        <w:t>强化全域用途管制引导，结合乡村振兴发展产业需求，合理安排乡村产业建设用地指标，保障乡村产业发展用地。支持农产品加工流通、电子商务、冷链物流、乡村旅游、休闲农业、民宿经济等新产业新业态用地需求，促进乡村振兴战略实施。引导农产品初加工、产地直销等产业在重点特色村庄合理布局、适度集中。探索集体经营性建设用地入市配套政策和点状供地实施政策，建立土地要素保障制度。积极开展全域土地综合整治专项行动为发展提供建设用地保障，挖潜低效存量集体建设用地，保障旅游用地、一二三产融合发展用地。</w:t>
      </w:r>
    </w:p>
    <w:p w14:paraId="23E05C58">
      <w:pPr>
        <w:pStyle w:val="60"/>
        <w:ind w:left="0" w:firstLine="640" w:firstLineChars="200"/>
        <w:rPr>
          <w:rFonts w:hint="eastAsia" w:hAnsi="Times New Roman" w:cs="Times New Roman"/>
          <w:highlight w:val="none"/>
        </w:rPr>
      </w:pPr>
      <w:bookmarkStart w:id="199" w:name="_Toc198237371"/>
      <w:r>
        <w:rPr>
          <w:rFonts w:hint="eastAsia" w:hAnsi="Times New Roman" w:cs="Times New Roman"/>
          <w:highlight w:val="none"/>
        </w:rPr>
        <w:t>有效推进乡村振兴发展</w:t>
      </w:r>
      <w:bookmarkEnd w:id="199"/>
    </w:p>
    <w:p w14:paraId="714366AB">
      <w:pPr>
        <w:pStyle w:val="15"/>
        <w:ind w:firstLine="640"/>
        <w:rPr>
          <w:rFonts w:hAnsi="仿宋_GB2312" w:cs="仿宋_GB2312"/>
          <w:szCs w:val="24"/>
          <w:highlight w:val="none"/>
          <w:lang w:bidi="ar"/>
        </w:rPr>
      </w:pPr>
      <w:r>
        <w:rPr>
          <w:rFonts w:hint="eastAsia" w:hAnsi="仿宋_GB2312" w:cs="仿宋_GB2312"/>
          <w:szCs w:val="24"/>
          <w:highlight w:val="none"/>
          <w:lang w:bidi="ar"/>
        </w:rPr>
        <w:t>到2035年，80%以上的村庄基本实现农牧业农牧区现代化；乡村现代化水平显著提升，农牧业结构更加优化，产业体系更加完善，生态环境更加优良；城乡基本公共服务实现均等化，城乡融合发展体制机制全面建立，社会文明程度达到新高度，乡村治理体系更加完善，人的全面发展、共同富裕取得实质性进展。到2050年，生产美产业强、生态美环境优、生活美家园好的乡村蓝图全面呈现，乡村产业、人才、文化、生态和组织全面振兴，全部村庄基本实现乡村现代化发展。</w:t>
      </w:r>
    </w:p>
    <w:p w14:paraId="41C6B1FF">
      <w:pPr>
        <w:pStyle w:val="60"/>
        <w:ind w:left="0" w:firstLine="640" w:firstLineChars="200"/>
        <w:rPr>
          <w:rFonts w:hint="eastAsia" w:hAnsi="Times New Roman" w:cs="Times New Roman"/>
          <w:highlight w:val="none"/>
        </w:rPr>
      </w:pPr>
      <w:bookmarkStart w:id="200" w:name="_Toc198237372"/>
      <w:r>
        <w:rPr>
          <w:rFonts w:hint="eastAsia" w:hAnsi="Times New Roman" w:cs="Times New Roman"/>
          <w:highlight w:val="none"/>
        </w:rPr>
        <w:t>推进农村人居环境改善</w:t>
      </w:r>
      <w:bookmarkEnd w:id="200"/>
    </w:p>
    <w:p w14:paraId="7EA7517C">
      <w:pPr>
        <w:pStyle w:val="15"/>
        <w:ind w:firstLine="640"/>
        <w:rPr>
          <w:rFonts w:hAnsi="仿宋_GB2312" w:cs="仿宋_GB2312"/>
          <w:szCs w:val="24"/>
          <w:highlight w:val="none"/>
          <w:lang w:bidi="ar"/>
        </w:rPr>
      </w:pPr>
      <w:r>
        <w:rPr>
          <w:rFonts w:hint="eastAsia" w:hAnsi="仿宋_GB2312" w:cs="仿宋_GB2312"/>
          <w:szCs w:val="24"/>
          <w:highlight w:val="none"/>
          <w:lang w:bidi="ar"/>
        </w:rPr>
        <w:t>依据乡村生态格局、自然肌理、乡土风情、建筑风格等，实施乡村生态保护修复。按照山水林田湖草整体保护、系统修复、综合治理的要求，结合农村人居环境整治，优化调整生态用地布局，保护和恢复乡村生态功能，维护生物多样性，提高防御自然灾害能力，保持乡村自然景观。推动农牧区生活污水分散处理和生活垃圾分类减量及资源化利用，保障农牧区中小型规模垃圾填埋场、中转站和收集站建设。合理确定乡村建设用地规模，严格落实“一户一宅”，严控生态空间转为农牧空间，实现乡村“留得住乡愁，守得住青山”的美丽乡村，助推全县乡村振兴。</w:t>
      </w:r>
    </w:p>
    <w:p w14:paraId="73EDF7AE">
      <w:pPr>
        <w:pStyle w:val="3"/>
        <w:numPr>
          <w:ilvl w:val="1"/>
          <w:numId w:val="13"/>
        </w:numPr>
        <w:tabs>
          <w:tab w:val="left" w:pos="353"/>
        </w:tabs>
        <w:spacing w:before="260" w:after="260" w:line="416" w:lineRule="auto"/>
        <w:rPr>
          <w:highlight w:val="none"/>
          <w:lang w:val="zh-CN"/>
        </w:rPr>
      </w:pPr>
      <w:bookmarkStart w:id="201" w:name="_Toc198237373"/>
      <w:bookmarkStart w:id="202" w:name="_Toc3259"/>
      <w:bookmarkStart w:id="203" w:name="_Toc3806"/>
      <w:bookmarkStart w:id="204" w:name="_Toc17473"/>
      <w:bookmarkStart w:id="205" w:name="_Toc198237522"/>
      <w:r>
        <w:rPr>
          <w:rFonts w:hint="eastAsia"/>
          <w:highlight w:val="none"/>
          <w:lang w:val="zh-CN"/>
        </w:rPr>
        <w:t>引导产业空间布局</w:t>
      </w:r>
      <w:bookmarkEnd w:id="201"/>
      <w:bookmarkEnd w:id="202"/>
      <w:bookmarkEnd w:id="203"/>
      <w:bookmarkEnd w:id="204"/>
      <w:bookmarkEnd w:id="205"/>
    </w:p>
    <w:p w14:paraId="0B43D54F">
      <w:pPr>
        <w:pStyle w:val="60"/>
        <w:ind w:left="0" w:firstLine="640" w:firstLineChars="200"/>
        <w:rPr>
          <w:rFonts w:hint="eastAsia" w:hAnsi="Times New Roman" w:cs="Times New Roman"/>
          <w:highlight w:val="none"/>
        </w:rPr>
      </w:pPr>
      <w:bookmarkStart w:id="206" w:name="_Toc198237374"/>
      <w:r>
        <w:rPr>
          <w:rFonts w:hint="eastAsia" w:hAnsi="Times New Roman" w:cs="Times New Roman"/>
          <w:highlight w:val="none"/>
        </w:rPr>
        <w:t>优化产业发展类型</w:t>
      </w:r>
      <w:bookmarkEnd w:id="206"/>
    </w:p>
    <w:p w14:paraId="445AFE5B">
      <w:pPr>
        <w:pStyle w:val="15"/>
        <w:ind w:firstLine="640"/>
        <w:rPr>
          <w:rFonts w:hAnsi="仿宋_GB2312" w:cs="仿宋_GB2312"/>
          <w:szCs w:val="24"/>
          <w:highlight w:val="none"/>
          <w:lang w:bidi="ar"/>
        </w:rPr>
      </w:pPr>
      <w:r>
        <w:rPr>
          <w:rFonts w:hint="eastAsia" w:hAnsi="仿宋_GB2312" w:cs="仿宋_GB2312"/>
          <w:szCs w:val="24"/>
          <w:highlight w:val="none"/>
          <w:lang w:bidi="ar"/>
        </w:rPr>
        <w:t>规划江西沟镇以现代农牧业为核心，以农副产品加工为重点，以发展乡村生态旅游为目标，以“融合发展”为手段，深入挖掘乡村资源、自然资源、民俗文化和历史文化特色，集农业示范与体验、休闲度假等相关产业于一体，并依托青海湖旅游业态的塑造，延伸产业链条，拓展产业空间，最终实现全域产业的融合发展，打造完整的产业生态体系。</w:t>
      </w:r>
    </w:p>
    <w:p w14:paraId="71DCCDE9">
      <w:pPr>
        <w:pStyle w:val="60"/>
        <w:ind w:left="0" w:firstLine="640" w:firstLineChars="200"/>
        <w:rPr>
          <w:rFonts w:hint="eastAsia" w:hAnsi="Times New Roman" w:cs="Times New Roman"/>
          <w:highlight w:val="none"/>
        </w:rPr>
      </w:pPr>
      <w:bookmarkStart w:id="207" w:name="_Toc198237375"/>
      <w:r>
        <w:rPr>
          <w:rFonts w:hint="eastAsia" w:hAnsi="Times New Roman" w:cs="Times New Roman"/>
          <w:highlight w:val="none"/>
        </w:rPr>
        <w:t>统筹产业空间布局</w:t>
      </w:r>
      <w:bookmarkEnd w:id="207"/>
    </w:p>
    <w:p w14:paraId="3ED45037">
      <w:pPr>
        <w:pStyle w:val="15"/>
        <w:ind w:firstLine="640"/>
        <w:rPr>
          <w:rFonts w:hAnsi="仿宋_GB2312" w:cs="仿宋_GB2312"/>
          <w:szCs w:val="24"/>
          <w:highlight w:val="none"/>
          <w:lang w:bidi="ar"/>
        </w:rPr>
      </w:pPr>
      <w:r>
        <w:rPr>
          <w:rFonts w:hint="eastAsia" w:hAnsi="仿宋_GB2312" w:cs="仿宋_GB2312"/>
          <w:szCs w:val="24"/>
          <w:highlight w:val="none"/>
          <w:lang w:bidi="ar"/>
        </w:rPr>
        <w:t>规划形成“一环联动、两核三廊、三区协调、多点支撑”的产业空间布局。</w:t>
      </w:r>
    </w:p>
    <w:p w14:paraId="72162F76">
      <w:pPr>
        <w:pStyle w:val="15"/>
        <w:ind w:firstLine="640"/>
        <w:rPr>
          <w:rFonts w:hAnsi="仿宋_GB2312" w:cs="仿宋_GB2312"/>
          <w:szCs w:val="24"/>
          <w:highlight w:val="none"/>
          <w:lang w:bidi="ar"/>
        </w:rPr>
      </w:pPr>
      <w:r>
        <w:rPr>
          <w:rFonts w:hint="eastAsia" w:hAnsi="仿宋_GB2312" w:cs="仿宋_GB2312"/>
          <w:szCs w:val="24"/>
          <w:highlight w:val="none"/>
          <w:lang w:bidi="ar"/>
        </w:rPr>
        <w:t>“一环联动”：依托青海湖旅游专线公路和彩虹路，串联镇区与各村庄，形成镇村产业融合发展环。</w:t>
      </w:r>
    </w:p>
    <w:p w14:paraId="5827A7C5">
      <w:pPr>
        <w:pStyle w:val="15"/>
        <w:ind w:firstLine="640"/>
        <w:rPr>
          <w:rFonts w:hAnsi="仿宋_GB2312" w:cs="仿宋_GB2312"/>
          <w:szCs w:val="24"/>
          <w:highlight w:val="none"/>
          <w:lang w:bidi="ar"/>
        </w:rPr>
      </w:pPr>
      <w:r>
        <w:rPr>
          <w:rFonts w:hint="eastAsia" w:hAnsi="仿宋_GB2312" w:cs="仿宋_GB2312"/>
          <w:szCs w:val="24"/>
          <w:highlight w:val="none"/>
          <w:lang w:bidi="ar"/>
        </w:rPr>
        <w:t>“两核三廊”：依托现有镇区形成的综合服务能力，打造江西沟镇综合服务核心；结合二郎剑景区现状资源，推进环湖旅游产业发展，打造环湖体验核心；结合江西沟镇镇域内三条主要河流，打造三条生态涵养廊道。</w:t>
      </w:r>
    </w:p>
    <w:p w14:paraId="045C0B9C">
      <w:pPr>
        <w:pStyle w:val="15"/>
        <w:ind w:firstLine="640"/>
        <w:rPr>
          <w:rFonts w:hAnsi="仿宋_GB2312" w:cs="仿宋_GB2312"/>
          <w:szCs w:val="24"/>
          <w:highlight w:val="none"/>
          <w:lang w:bidi="ar"/>
        </w:rPr>
      </w:pPr>
      <w:r>
        <w:rPr>
          <w:rFonts w:hint="eastAsia" w:hAnsi="仿宋_GB2312" w:cs="仿宋_GB2312"/>
          <w:szCs w:val="24"/>
          <w:highlight w:val="none"/>
          <w:lang w:bidi="ar"/>
        </w:rPr>
        <w:t>“三区协调”：高原牧区民宿体验区、高原环湖旅游核心区、多维山地生态观景区。</w:t>
      </w:r>
    </w:p>
    <w:p w14:paraId="5A360762">
      <w:pPr>
        <w:pStyle w:val="15"/>
        <w:ind w:firstLine="640"/>
        <w:rPr>
          <w:rFonts w:hAnsi="仿宋_GB2312" w:cs="仿宋_GB2312"/>
          <w:szCs w:val="24"/>
          <w:highlight w:val="none"/>
          <w:lang w:bidi="ar"/>
        </w:rPr>
      </w:pPr>
      <w:r>
        <w:rPr>
          <w:rFonts w:hint="eastAsia" w:hAnsi="仿宋_GB2312" w:cs="仿宋_GB2312"/>
          <w:szCs w:val="24"/>
          <w:highlight w:val="none"/>
          <w:lang w:bidi="ar"/>
        </w:rPr>
        <w:t>“多点支撑”：二郎剑景区、高原民俗体验、吉祥八宝谷、南山观景台等景点支撑。</w:t>
      </w:r>
    </w:p>
    <w:p w14:paraId="65C61EC7">
      <w:pPr>
        <w:pStyle w:val="60"/>
        <w:ind w:left="0" w:firstLine="640" w:firstLineChars="200"/>
        <w:rPr>
          <w:rFonts w:hint="eastAsia" w:hAnsi="Times New Roman" w:cs="Times New Roman"/>
          <w:highlight w:val="none"/>
        </w:rPr>
      </w:pPr>
      <w:bookmarkStart w:id="208" w:name="_Toc198237376"/>
      <w:r>
        <w:rPr>
          <w:rFonts w:hint="eastAsia" w:hAnsi="Times New Roman" w:cs="Times New Roman"/>
          <w:highlight w:val="none"/>
        </w:rPr>
        <w:t>产业发展策略</w:t>
      </w:r>
      <w:bookmarkEnd w:id="208"/>
    </w:p>
    <w:p w14:paraId="7C97B2DF">
      <w:pPr>
        <w:pStyle w:val="15"/>
        <w:ind w:firstLine="640"/>
        <w:rPr>
          <w:rFonts w:hAnsi="仿宋_GB2312" w:cs="仿宋_GB2312"/>
          <w:b/>
          <w:bCs/>
          <w:szCs w:val="24"/>
          <w:highlight w:val="none"/>
          <w:lang w:bidi="ar"/>
        </w:rPr>
      </w:pPr>
      <w:r>
        <w:rPr>
          <w:rFonts w:hint="eastAsia" w:hAnsi="仿宋_GB2312" w:cs="仿宋_GB2312"/>
          <w:b/>
          <w:bCs/>
          <w:szCs w:val="24"/>
          <w:highlight w:val="none"/>
          <w:lang w:bidi="ar"/>
        </w:rPr>
        <w:t>立足资源禀赋，强化特色农牧业。</w:t>
      </w:r>
    </w:p>
    <w:p w14:paraId="62B61B82">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优化畜牧业养殖模式。</w:t>
      </w:r>
      <w:r>
        <w:rPr>
          <w:rFonts w:hint="eastAsia" w:hAnsi="仿宋_GB2312" w:cs="仿宋_GB2312"/>
          <w:szCs w:val="24"/>
          <w:highlight w:val="none"/>
          <w:lang w:bidi="ar"/>
        </w:rPr>
        <w:t>江西沟镇地处青海湖周边，天然草场资源丰富。应推进传统畜牧业向现代化、规模化、生态化转变。一方面，引入优良畜种，如高原牦牛、藏羊的优质品种，提高畜产品质量和产量。另一方面，推广科学养殖技术，建设标准化养殖基地，实现集中养殖、统一管理，提升养殖效益。</w:t>
      </w:r>
    </w:p>
    <w:p w14:paraId="7F4A25DC">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发展特色种植业。</w:t>
      </w:r>
      <w:r>
        <w:rPr>
          <w:rFonts w:hint="eastAsia" w:hAnsi="仿宋_GB2312" w:cs="仿宋_GB2312"/>
          <w:szCs w:val="24"/>
          <w:highlight w:val="none"/>
          <w:lang w:bidi="ar"/>
        </w:rPr>
        <w:t>利用当地的气候和土壤条件，发展适应高原环境的特色种植业。种植青稞、油菜等耐寒作物，同时可尝试引进新兴特色作物。打造绿色、有机农产品品牌，提升产品附加值。</w:t>
      </w:r>
    </w:p>
    <w:p w14:paraId="5A9B6EBE">
      <w:pPr>
        <w:pStyle w:val="15"/>
        <w:ind w:firstLine="640"/>
        <w:rPr>
          <w:rFonts w:hint="eastAsia" w:hAnsi="仿宋_GB2312" w:eastAsia="仿宋_GB2312" w:cs="仿宋_GB2312"/>
          <w:b/>
          <w:bCs/>
          <w:szCs w:val="24"/>
          <w:highlight w:val="none"/>
          <w:lang w:eastAsia="zh-CN" w:bidi="ar"/>
        </w:rPr>
      </w:pPr>
      <w:r>
        <w:rPr>
          <w:rFonts w:hint="eastAsia" w:hAnsi="仿宋_GB2312" w:cs="仿宋_GB2312"/>
          <w:b/>
          <w:bCs/>
          <w:szCs w:val="24"/>
          <w:highlight w:val="none"/>
          <w:lang w:bidi="ar"/>
        </w:rPr>
        <w:t>深度融合旅游资源，打造区域协调旅游格局</w:t>
      </w:r>
      <w:r>
        <w:rPr>
          <w:rFonts w:hint="eastAsia" w:hAnsi="仿宋_GB2312" w:cs="仿宋_GB2312"/>
          <w:b/>
          <w:bCs/>
          <w:szCs w:val="24"/>
          <w:highlight w:val="none"/>
          <w:lang w:eastAsia="zh-CN" w:bidi="ar"/>
        </w:rPr>
        <w:t>。</w:t>
      </w:r>
    </w:p>
    <w:p w14:paraId="17F458C0">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开发特色旅游项目。</w:t>
      </w:r>
      <w:r>
        <w:rPr>
          <w:rFonts w:hint="eastAsia" w:hAnsi="仿宋_GB2312" w:cs="仿宋_GB2312"/>
          <w:szCs w:val="24"/>
          <w:highlight w:val="none"/>
          <w:lang w:bidi="ar"/>
        </w:rPr>
        <w:t>凭借靠近青海湖的地理优势，开发多样化的旅游项目。除了传统的青海湖观光游，还可推出生态体验游，参与草原生态保护活动，了解草原生态系统；开展民俗文化游，深入挖掘当地藏族等少数民族的文化内涵，举办民俗节庆活动，展示传统歌舞、手工艺品制作等，让游客亲身感受浓郁的民族风情。建设具有当地特色的民宿，提供原汁原味的少数民族饮食和住宿体验，增加游客的停留时间和消费意愿。</w:t>
      </w:r>
    </w:p>
    <w:p w14:paraId="13FD7C8B">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完善旅游基础设施。</w:t>
      </w:r>
      <w:r>
        <w:rPr>
          <w:rFonts w:hint="eastAsia" w:hAnsi="仿宋_GB2312" w:cs="仿宋_GB2312"/>
          <w:szCs w:val="24"/>
          <w:highlight w:val="none"/>
          <w:lang w:bidi="ar"/>
        </w:rPr>
        <w:t>加大对旅游基础设施的建设，改善交通条件，提高道路的通行能力和安全性，方便游客进出。完善景区内的标识系统、游客服务中心等设施，提升游客的旅游体验。</w:t>
      </w:r>
    </w:p>
    <w:p w14:paraId="7E9F9C36">
      <w:pPr>
        <w:pStyle w:val="15"/>
        <w:ind w:firstLine="640"/>
        <w:rPr>
          <w:rFonts w:hint="eastAsia" w:hAnsi="仿宋_GB2312" w:eastAsia="仿宋_GB2312" w:cs="仿宋_GB2312"/>
          <w:b/>
          <w:bCs/>
          <w:szCs w:val="24"/>
          <w:highlight w:val="none"/>
          <w:lang w:eastAsia="zh-CN" w:bidi="ar"/>
        </w:rPr>
      </w:pPr>
      <w:r>
        <w:rPr>
          <w:rFonts w:hint="eastAsia" w:hAnsi="仿宋_GB2312" w:cs="仿宋_GB2312"/>
          <w:b/>
          <w:bCs/>
          <w:szCs w:val="24"/>
          <w:highlight w:val="none"/>
          <w:lang w:bidi="ar"/>
        </w:rPr>
        <w:t>推动产业融合，拓展产业发展空间</w:t>
      </w:r>
      <w:r>
        <w:rPr>
          <w:rFonts w:hint="eastAsia" w:hAnsi="仿宋_GB2312" w:cs="仿宋_GB2312"/>
          <w:b/>
          <w:bCs/>
          <w:szCs w:val="24"/>
          <w:highlight w:val="none"/>
          <w:lang w:eastAsia="zh-CN" w:bidi="ar"/>
        </w:rPr>
        <w:t>。</w:t>
      </w:r>
    </w:p>
    <w:p w14:paraId="4C38BAE7">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农牧业与旅游融合。</w:t>
      </w:r>
      <w:r>
        <w:rPr>
          <w:rFonts w:hint="eastAsia" w:hAnsi="仿宋_GB2312" w:cs="仿宋_GB2312"/>
          <w:szCs w:val="24"/>
          <w:highlight w:val="none"/>
          <w:lang w:bidi="ar"/>
        </w:rPr>
        <w:t>发展观光农牧业，建设农牧业观光园，游客可以在园内观赏农作物生长、参与农事活动，如采摘青稞、油菜等，体验农牧生活。推出“农牧产品 + 旅游”的组合产品，将当地的畜产品、农产品进行深加工，增加产品附加值，促进农牧业与旅游业的协同发展。</w:t>
      </w:r>
    </w:p>
    <w:p w14:paraId="3767105A">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手工业与旅游融合。</w:t>
      </w:r>
      <w:r>
        <w:rPr>
          <w:rFonts w:hint="eastAsia" w:hAnsi="仿宋_GB2312" w:cs="仿宋_GB2312"/>
          <w:szCs w:val="24"/>
          <w:highlight w:val="none"/>
          <w:lang w:bidi="ar"/>
        </w:rPr>
        <w:t>结合当地实际，发展具有地方特色的手工业。建设手工艺品展示和制作中心，游客不仅可以欣赏到精美的手工艺品，还能参与制作过程，感受传统手工艺的魅力。将手工业生产与旅游体验相结合，形成独特的旅游产品，推动手工业与旅游业的融合发展。</w:t>
      </w:r>
    </w:p>
    <w:p w14:paraId="07EB1DC5">
      <w:pPr>
        <w:pStyle w:val="15"/>
        <w:ind w:firstLine="640"/>
        <w:rPr>
          <w:rFonts w:hint="eastAsia" w:hAnsi="仿宋_GB2312" w:eastAsia="仿宋_GB2312" w:cs="仿宋_GB2312"/>
          <w:b/>
          <w:bCs/>
          <w:szCs w:val="24"/>
          <w:highlight w:val="none"/>
          <w:lang w:eastAsia="zh-CN" w:bidi="ar"/>
        </w:rPr>
      </w:pPr>
      <w:r>
        <w:rPr>
          <w:rFonts w:hint="eastAsia" w:hAnsi="仿宋_GB2312" w:cs="仿宋_GB2312"/>
          <w:b/>
          <w:bCs/>
          <w:szCs w:val="24"/>
          <w:highlight w:val="none"/>
          <w:lang w:bidi="ar"/>
        </w:rPr>
        <w:t>加强品牌建设与市场营销</w:t>
      </w:r>
      <w:r>
        <w:rPr>
          <w:rFonts w:hint="eastAsia" w:hAnsi="仿宋_GB2312" w:cs="仿宋_GB2312"/>
          <w:b/>
          <w:bCs/>
          <w:szCs w:val="24"/>
          <w:highlight w:val="none"/>
          <w:lang w:eastAsia="zh-CN" w:bidi="ar"/>
        </w:rPr>
        <w:t>。</w:t>
      </w:r>
    </w:p>
    <w:p w14:paraId="61E1D692">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打造品牌形象。</w:t>
      </w:r>
      <w:r>
        <w:rPr>
          <w:rFonts w:hint="eastAsia" w:hAnsi="仿宋_GB2312" w:cs="仿宋_GB2312"/>
          <w:szCs w:val="24"/>
          <w:highlight w:val="none"/>
          <w:lang w:bidi="ar"/>
        </w:rPr>
        <w:t>整合江西沟镇的特色资源，打造统一的品牌形象。突出 “青海湖生态小镇” 的品牌定位，将绿色、生态、民族文化等元素融入品牌建设中。设计具有辨识度的品牌标识和宣传口号，通过多种渠道进行宣传推广，提升品牌知名度和美誉度。</w:t>
      </w:r>
    </w:p>
    <w:p w14:paraId="2FF18E3C">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拓展营销渠道。</w:t>
      </w:r>
      <w:r>
        <w:rPr>
          <w:rFonts w:hint="eastAsia" w:hAnsi="仿宋_GB2312" w:cs="仿宋_GB2312"/>
          <w:szCs w:val="24"/>
          <w:highlight w:val="none"/>
          <w:lang w:bidi="ar"/>
        </w:rPr>
        <w:t>利用互联网平台，开展线上营销。建立官方网站、社交媒体账号、视频和文字介绍，吸引潜在游客。与在线旅游平台合作，推出旅游套餐和优惠活动，提高产品的曝光度和销售量。同时，积极参加国内外旅游展会，举办旅游推介会，加强与其他旅游目的地的合作与交流，拓展客源市场。</w:t>
      </w:r>
    </w:p>
    <w:p w14:paraId="60EA5C8D">
      <w:pPr>
        <w:rPr>
          <w:highlight w:val="none"/>
        </w:rPr>
      </w:pPr>
    </w:p>
    <w:p w14:paraId="45BCA9C8">
      <w:pPr>
        <w:pStyle w:val="3"/>
        <w:numPr>
          <w:ilvl w:val="1"/>
          <w:numId w:val="13"/>
        </w:numPr>
        <w:tabs>
          <w:tab w:val="left" w:pos="353"/>
        </w:tabs>
        <w:spacing w:before="260" w:after="260" w:line="416" w:lineRule="auto"/>
        <w:rPr>
          <w:highlight w:val="none"/>
          <w:lang w:val="zh-CN"/>
        </w:rPr>
      </w:pPr>
      <w:bookmarkStart w:id="209" w:name="_Toc198237523"/>
      <w:bookmarkStart w:id="210" w:name="_Toc198237377"/>
      <w:bookmarkStart w:id="211" w:name="_Toc16118"/>
      <w:bookmarkStart w:id="212" w:name="_Toc25118"/>
      <w:bookmarkStart w:id="213" w:name="_Toc18931"/>
      <w:r>
        <w:rPr>
          <w:rFonts w:hint="eastAsia"/>
          <w:highlight w:val="none"/>
          <w:lang w:val="zh-CN"/>
        </w:rPr>
        <w:t>完善公共服务设施布局</w:t>
      </w:r>
      <w:bookmarkEnd w:id="209"/>
      <w:bookmarkEnd w:id="210"/>
      <w:bookmarkEnd w:id="211"/>
      <w:bookmarkEnd w:id="212"/>
      <w:bookmarkEnd w:id="213"/>
    </w:p>
    <w:p w14:paraId="71CA498D">
      <w:pPr>
        <w:pStyle w:val="60"/>
        <w:ind w:left="0" w:firstLine="640" w:firstLineChars="200"/>
        <w:rPr>
          <w:rFonts w:hint="eastAsia" w:hAnsi="Times New Roman" w:cs="Times New Roman"/>
          <w:highlight w:val="none"/>
        </w:rPr>
      </w:pPr>
      <w:bookmarkStart w:id="214" w:name="_Toc198237378"/>
      <w:r>
        <w:rPr>
          <w:rFonts w:hint="eastAsia" w:hAnsi="Times New Roman" w:cs="Times New Roman"/>
          <w:highlight w:val="none"/>
        </w:rPr>
        <w:t>推进公共服务均等化，充分保障用地供给</w:t>
      </w:r>
      <w:bookmarkEnd w:id="214"/>
    </w:p>
    <w:p w14:paraId="787495A3">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推进公共服务均等化。</w:t>
      </w:r>
      <w:r>
        <w:rPr>
          <w:rFonts w:hint="eastAsia" w:hAnsi="仿宋_GB2312" w:cs="仿宋_GB2312"/>
          <w:szCs w:val="24"/>
          <w:highlight w:val="none"/>
          <w:lang w:bidi="ar"/>
        </w:rPr>
        <w:t>围绕“幼有所育、学有所教、劳有所得、病有所医、老有所养、住有所居、弱有所扶”总体思路，持续推动基本公共服务均等化，丰富多层次多样化生活服务供给，构建优质均衡的公共服务体系。统筹落实县级公共服务设施，规划构建“乡集镇</w:t>
      </w:r>
      <w:r>
        <w:rPr>
          <w:rFonts w:hAnsi="仿宋_GB2312" w:cs="仿宋_GB2312"/>
          <w:szCs w:val="24"/>
          <w:highlight w:val="none"/>
          <w:lang w:bidi="ar"/>
        </w:rPr>
        <w:t>-</w:t>
      </w:r>
      <w:r>
        <w:rPr>
          <w:rFonts w:hint="eastAsia" w:hAnsi="仿宋_GB2312" w:cs="仿宋_GB2312"/>
          <w:szCs w:val="24"/>
          <w:highlight w:val="none"/>
          <w:lang w:bidi="ar"/>
        </w:rPr>
        <w:t>村</w:t>
      </w:r>
      <w:r>
        <w:rPr>
          <w:rFonts w:hAnsi="仿宋_GB2312" w:cs="仿宋_GB2312"/>
          <w:szCs w:val="24"/>
          <w:highlight w:val="none"/>
          <w:lang w:bidi="ar"/>
        </w:rPr>
        <w:t>/</w:t>
      </w:r>
      <w:r>
        <w:rPr>
          <w:rFonts w:hint="eastAsia" w:hAnsi="仿宋_GB2312" w:cs="仿宋_GB2312"/>
          <w:szCs w:val="24"/>
          <w:highlight w:val="none"/>
          <w:lang w:bidi="ar"/>
        </w:rPr>
        <w:t>组”两个社区生活圈层级。</w:t>
      </w:r>
    </w:p>
    <w:p w14:paraId="2B9D9251">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充分保障用地供给。</w:t>
      </w:r>
      <w:r>
        <w:rPr>
          <w:rFonts w:hint="eastAsia" w:hAnsi="仿宋_GB2312" w:cs="仿宋_GB2312"/>
          <w:szCs w:val="24"/>
          <w:highlight w:val="none"/>
          <w:lang w:bidi="ar"/>
        </w:rPr>
        <w:t>统筹布局重要公共服务设施和功能性设施，根据多层次多样化公共服务需求，优化土地供应调控机制，充分保障重要公共服务用地供给。将公共服务机构和设施用地纳入相关规划和年度用地计划并充分予以保障，农用地转用指标、新增建设用地指标分配要保障公共服务机构和设施建设用地。</w:t>
      </w:r>
    </w:p>
    <w:p w14:paraId="1DA850A4">
      <w:pPr>
        <w:pStyle w:val="60"/>
        <w:ind w:left="0" w:firstLine="640" w:firstLineChars="200"/>
        <w:rPr>
          <w:rFonts w:hint="eastAsia" w:hAnsi="Times New Roman" w:cs="Times New Roman"/>
          <w:highlight w:val="none"/>
        </w:rPr>
      </w:pPr>
      <w:bookmarkStart w:id="215" w:name="_Toc198237379"/>
      <w:r>
        <w:rPr>
          <w:rFonts w:hint="eastAsia" w:hAnsi="Times New Roman" w:cs="Times New Roman"/>
          <w:highlight w:val="none"/>
        </w:rPr>
        <w:t>建设城乡社区生活圈</w:t>
      </w:r>
      <w:bookmarkEnd w:id="215"/>
    </w:p>
    <w:p w14:paraId="5D2A5D7F">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镇区打造15分钟社区生活圈。</w:t>
      </w:r>
      <w:r>
        <w:rPr>
          <w:rFonts w:hint="eastAsia" w:hAnsi="仿宋_GB2312" w:cs="仿宋_GB2312"/>
          <w:szCs w:val="24"/>
          <w:highlight w:val="none"/>
          <w:lang w:bidi="ar"/>
        </w:rPr>
        <w:t>规划镇区划定15分钟社区生活圈和5-10分钟社区生活圈两级服务圈层。镇区按15分钟社区生活圈进行设施补充和完善。结合江西沟镇实际服务管理人口的规模、构成及生产生活需求，合理确定镇区各类公共服务设施的规模及布局，合理布局教育、医疗、卫生、防疫和社会福利等相关设施，完善公共服务设施配套。江西沟镇旅游发展潜力突出，旅游服务设施可根据实际发展需求适度超前配置。规划至2035年，15分钟社区生活圈覆盖率基本达到100%。</w:t>
      </w:r>
    </w:p>
    <w:p w14:paraId="6C464AF8">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乡村打造30分钟社区生活圈。</w:t>
      </w:r>
      <w:r>
        <w:rPr>
          <w:rFonts w:hint="eastAsia" w:hAnsi="仿宋_GB2312" w:cs="仿宋_GB2312"/>
          <w:szCs w:val="24"/>
          <w:highlight w:val="none"/>
          <w:lang w:bidi="ar"/>
        </w:rPr>
        <w:t>规划形成“基本生活圈—一次生活圈—二次生活圈”三级空间分布体系。基本生活圈以基层村为服务对象，提供最基本日常生产生活服务项目，服务半径以0.5-1.0千米为宜；一次生活圈以中心村为依托，服务半径以5-10千米为宜；二次生活圈以镇区为依托，服务半径以20-40千米为宜。根据村庄生活生产方式，兼顾考虑配置特色化服务设施。对于撤并搬迁类村庄不再配置公共服务设施，对于融入城镇类村庄以补齐基本生活圈为主。</w:t>
      </w:r>
    </w:p>
    <w:p w14:paraId="6E83FECF">
      <w:pPr>
        <w:pStyle w:val="60"/>
        <w:ind w:left="0" w:firstLine="640" w:firstLineChars="200"/>
        <w:rPr>
          <w:rFonts w:hint="eastAsia" w:hAnsi="Times New Roman" w:cs="Times New Roman"/>
          <w:highlight w:val="none"/>
        </w:rPr>
      </w:pPr>
      <w:bookmarkStart w:id="216" w:name="_Toc198237380"/>
      <w:r>
        <w:rPr>
          <w:rFonts w:hint="eastAsia" w:hAnsi="Times New Roman" w:cs="Times New Roman"/>
          <w:highlight w:val="none"/>
        </w:rPr>
        <w:t>加强公共服务用地管控和功能共享</w:t>
      </w:r>
      <w:bookmarkEnd w:id="216"/>
    </w:p>
    <w:p w14:paraId="58D3348C">
      <w:pPr>
        <w:pStyle w:val="15"/>
        <w:ind w:firstLine="640"/>
        <w:rPr>
          <w:rFonts w:hAnsi="仿宋_GB2312" w:cs="仿宋_GB2312"/>
          <w:szCs w:val="24"/>
          <w:highlight w:val="none"/>
          <w:lang w:bidi="ar"/>
        </w:rPr>
      </w:pPr>
      <w:r>
        <w:rPr>
          <w:rFonts w:hint="eastAsia" w:hAnsi="仿宋_GB2312" w:cs="仿宋_GB2312"/>
          <w:szCs w:val="24"/>
          <w:highlight w:val="none"/>
          <w:lang w:bidi="ar"/>
        </w:rPr>
        <w:t>在详细规划编制中应充分保障各类公共服务用地，现状闲置的各类公共服务用地优先转为</w:t>
      </w:r>
      <w:r>
        <w:rPr>
          <w:rFonts w:hint="eastAsia" w:hAnsi="仿宋_GB2312" w:cs="仿宋_GB2312"/>
          <w:szCs w:val="24"/>
          <w:highlight w:val="none"/>
          <w:lang w:eastAsia="zh-CN" w:bidi="ar"/>
        </w:rPr>
        <w:t>其他</w:t>
      </w:r>
      <w:r>
        <w:rPr>
          <w:rFonts w:hint="eastAsia" w:hAnsi="仿宋_GB2312" w:cs="仿宋_GB2312"/>
          <w:szCs w:val="24"/>
          <w:highlight w:val="none"/>
          <w:lang w:bidi="ar"/>
        </w:rPr>
        <w:t>公共服务功能。鼓励利用存量空间完善公共服务设施供给，鼓励多功能公共服务设施复合建设，鼓励有条件的学校运动和文化设施对外开放共享，鼓励公园绿地建设或改造中合理安排适宜的文体设施。</w:t>
      </w:r>
    </w:p>
    <w:p w14:paraId="3993C7AF">
      <w:pPr>
        <w:pStyle w:val="3"/>
        <w:numPr>
          <w:ilvl w:val="1"/>
          <w:numId w:val="13"/>
        </w:numPr>
        <w:tabs>
          <w:tab w:val="left" w:pos="353"/>
        </w:tabs>
        <w:spacing w:before="260" w:after="260" w:line="416" w:lineRule="auto"/>
        <w:rPr>
          <w:highlight w:val="none"/>
          <w:lang w:val="zh-CN"/>
        </w:rPr>
      </w:pPr>
      <w:bookmarkStart w:id="217" w:name="_Toc19226"/>
      <w:bookmarkStart w:id="218" w:name="_Toc198237381"/>
      <w:bookmarkStart w:id="219" w:name="_Toc198237524"/>
      <w:bookmarkStart w:id="220" w:name="_Toc12776"/>
      <w:bookmarkStart w:id="221" w:name="_Toc3285"/>
      <w:r>
        <w:rPr>
          <w:rFonts w:hint="eastAsia"/>
          <w:highlight w:val="none"/>
          <w:lang w:val="zh-CN"/>
        </w:rPr>
        <w:t>促进城乡建设用地节约集约</w:t>
      </w:r>
      <w:bookmarkEnd w:id="217"/>
      <w:bookmarkEnd w:id="218"/>
      <w:bookmarkEnd w:id="219"/>
      <w:bookmarkEnd w:id="220"/>
      <w:bookmarkEnd w:id="221"/>
    </w:p>
    <w:p w14:paraId="756062D5">
      <w:pPr>
        <w:pStyle w:val="60"/>
        <w:ind w:left="0" w:firstLine="640" w:firstLineChars="200"/>
        <w:rPr>
          <w:rFonts w:hint="eastAsia" w:hAnsi="Times New Roman" w:cs="Times New Roman"/>
          <w:highlight w:val="none"/>
        </w:rPr>
      </w:pPr>
      <w:bookmarkStart w:id="222" w:name="_Toc198237382"/>
      <w:r>
        <w:rPr>
          <w:rFonts w:hint="eastAsia" w:hAnsi="Times New Roman" w:cs="Times New Roman"/>
          <w:highlight w:val="none"/>
        </w:rPr>
        <w:t>提高建设用地节约集约用地水平</w:t>
      </w:r>
      <w:bookmarkEnd w:id="222"/>
    </w:p>
    <w:p w14:paraId="0DBC728E">
      <w:pPr>
        <w:pStyle w:val="15"/>
        <w:ind w:firstLine="640"/>
        <w:rPr>
          <w:rFonts w:hAnsi="仿宋_GB2312" w:cs="仿宋_GB2312"/>
          <w:szCs w:val="24"/>
          <w:highlight w:val="none"/>
          <w:lang w:bidi="ar"/>
        </w:rPr>
      </w:pPr>
      <w:r>
        <w:rPr>
          <w:rFonts w:hint="eastAsia" w:hAnsi="仿宋_GB2312" w:cs="仿宋_GB2312"/>
          <w:szCs w:val="24"/>
          <w:highlight w:val="none"/>
          <w:lang w:bidi="ar"/>
        </w:rPr>
        <w:t>强化国土空间规划的引领作用，加强新增建设用地管控。城镇空间以城镇开发边界约束，严格控制和引导城镇开发边界外城镇建设用地增长。建设项目优先利用存量土地，严格落实“增存挂钩”工作机制，引导产业向绿色产业园、人口向镇区集中。优化土地资源配置，促进产业节约集约用地，提高产业用地门槛，建立土地储备机制，探索实行差别化用地政策，支持高新技术产业发展，用地指标优先向基础设施和民生工程倾斜。挖掘潜力，加快处置批而未供土地，破解闲置土地处置难题，加快实施低效用地清理整治。</w:t>
      </w:r>
    </w:p>
    <w:p w14:paraId="118357BA">
      <w:pPr>
        <w:pStyle w:val="60"/>
        <w:ind w:left="0" w:firstLine="640" w:firstLineChars="200"/>
        <w:rPr>
          <w:rFonts w:hint="eastAsia" w:hAnsi="Times New Roman" w:cs="Times New Roman"/>
          <w:highlight w:val="none"/>
        </w:rPr>
      </w:pPr>
      <w:bookmarkStart w:id="223" w:name="_Toc198237383"/>
      <w:r>
        <w:rPr>
          <w:rFonts w:hint="eastAsia" w:hAnsi="Times New Roman" w:cs="Times New Roman"/>
          <w:highlight w:val="none"/>
        </w:rPr>
        <w:t>盘活利用批而未用与闲置土地</w:t>
      </w:r>
      <w:bookmarkEnd w:id="223"/>
    </w:p>
    <w:p w14:paraId="76C93F80">
      <w:pPr>
        <w:pStyle w:val="15"/>
        <w:ind w:firstLine="640"/>
        <w:rPr>
          <w:rFonts w:hAnsi="仿宋_GB2312" w:cs="仿宋_GB2312"/>
          <w:szCs w:val="24"/>
          <w:highlight w:val="none"/>
          <w:lang w:bidi="ar"/>
        </w:rPr>
      </w:pPr>
      <w:r>
        <w:rPr>
          <w:rFonts w:hint="eastAsia" w:hAnsi="仿宋_GB2312" w:cs="仿宋_GB2312"/>
          <w:szCs w:val="24"/>
          <w:highlight w:val="none"/>
          <w:lang w:bidi="ar"/>
        </w:rPr>
        <w:t>分类处置批而未供土地，分类盘活闲置用地。推进江西沟镇区内批而未供土地的开发利用，积极盘活利用闲置土地，按照“一地一策”制定分类处置方案。摸清低效用地数量、类型和分布，科学合理界定低效用地再开发范围，明确改造利用的目标任务、性质用途、规模布局、时序安排和保障措施等，落实改造单元和地块，完善配套基础设施、公共服务设施，统筹城镇功能再造、产业结构调整，确保城镇低效用地再开发健康有序推进。</w:t>
      </w:r>
    </w:p>
    <w:p w14:paraId="219615E7">
      <w:pPr>
        <w:pStyle w:val="60"/>
        <w:ind w:left="0" w:firstLine="640" w:firstLineChars="200"/>
        <w:rPr>
          <w:rFonts w:hint="eastAsia" w:hAnsi="Times New Roman" w:cs="Times New Roman"/>
          <w:highlight w:val="none"/>
        </w:rPr>
      </w:pPr>
      <w:bookmarkStart w:id="224" w:name="_Toc198237384"/>
      <w:r>
        <w:rPr>
          <w:rFonts w:hint="eastAsia" w:hAnsi="Times New Roman" w:cs="Times New Roman"/>
          <w:highlight w:val="none"/>
        </w:rPr>
        <w:t>稳妥推进城乡建设用地增减挂钩</w:t>
      </w:r>
      <w:bookmarkEnd w:id="224"/>
    </w:p>
    <w:p w14:paraId="6304EE96">
      <w:pPr>
        <w:pStyle w:val="15"/>
        <w:ind w:firstLine="640"/>
        <w:rPr>
          <w:rFonts w:hAnsi="仿宋_GB2312" w:cs="仿宋_GB2312"/>
          <w:szCs w:val="24"/>
          <w:highlight w:val="none"/>
          <w:lang w:bidi="ar"/>
        </w:rPr>
      </w:pPr>
      <w:r>
        <w:rPr>
          <w:rFonts w:hint="eastAsia" w:hAnsi="仿宋_GB2312" w:cs="仿宋_GB2312"/>
          <w:szCs w:val="24"/>
          <w:highlight w:val="none"/>
          <w:lang w:bidi="ar"/>
        </w:rPr>
        <w:t>顺应城乡发展规律和演变趋势，因地制宜、量力而行，统筹规划、有序推进城乡建设用地增减挂钩。完善城乡建设用地增减挂钩制度，充分尊重农民意愿，稳妥有序推进农村低效建设用地整治。整合利用人口流出后腾出的各类土地，增加农业生产空间特别是耕地面积。</w:t>
      </w:r>
    </w:p>
    <w:p w14:paraId="30365292">
      <w:pPr>
        <w:pStyle w:val="2"/>
        <w:ind w:left="0" w:firstLine="0"/>
        <w:rPr>
          <w:highlight w:val="none"/>
        </w:rPr>
      </w:pPr>
      <w:r>
        <w:rPr>
          <w:rFonts w:hint="eastAsia"/>
          <w:highlight w:val="none"/>
        </w:rPr>
        <w:br w:type="page"/>
      </w:r>
      <w:bookmarkStart w:id="225" w:name="_Toc27542"/>
      <w:bookmarkStart w:id="226" w:name="_Toc18494"/>
      <w:bookmarkStart w:id="227" w:name="_Toc198237525"/>
      <w:bookmarkStart w:id="228" w:name="_Toc198237385"/>
      <w:bookmarkStart w:id="229" w:name="_Toc223"/>
      <w:r>
        <w:rPr>
          <w:rFonts w:hint="eastAsia"/>
          <w:highlight w:val="none"/>
          <w:lang w:val="en-US" w:eastAsia="zh-CN"/>
        </w:rPr>
        <w:t>塑造宜居</w:t>
      </w:r>
      <w:r>
        <w:rPr>
          <w:rFonts w:hint="eastAsia"/>
          <w:highlight w:val="none"/>
        </w:rPr>
        <w:t>镇区</w:t>
      </w:r>
      <w:bookmarkEnd w:id="225"/>
      <w:bookmarkEnd w:id="226"/>
      <w:bookmarkEnd w:id="227"/>
      <w:bookmarkEnd w:id="228"/>
      <w:r>
        <w:rPr>
          <w:rFonts w:hint="eastAsia"/>
          <w:highlight w:val="none"/>
          <w:lang w:val="en-US" w:eastAsia="zh-CN"/>
        </w:rPr>
        <w:t>空间</w:t>
      </w:r>
      <w:bookmarkEnd w:id="229"/>
    </w:p>
    <w:p w14:paraId="2F0A78E4">
      <w:pPr>
        <w:pStyle w:val="3"/>
        <w:numPr>
          <w:ilvl w:val="1"/>
          <w:numId w:val="14"/>
        </w:numPr>
        <w:tabs>
          <w:tab w:val="left" w:pos="353"/>
        </w:tabs>
        <w:spacing w:before="260" w:after="260" w:line="416" w:lineRule="auto"/>
        <w:rPr>
          <w:highlight w:val="none"/>
          <w:lang w:val="zh-CN"/>
        </w:rPr>
      </w:pPr>
      <w:bookmarkStart w:id="230" w:name="_Toc3686"/>
      <w:bookmarkStart w:id="231" w:name="_Toc198237386"/>
      <w:bookmarkStart w:id="232" w:name="_Toc20056"/>
      <w:bookmarkStart w:id="233" w:name="_Toc10373"/>
      <w:bookmarkStart w:id="234" w:name="_Toc198237526"/>
      <w:r>
        <w:rPr>
          <w:rFonts w:hint="eastAsia"/>
          <w:highlight w:val="none"/>
          <w:lang w:val="zh-CN"/>
        </w:rPr>
        <w:t>空间结构</w:t>
      </w:r>
      <w:bookmarkEnd w:id="230"/>
      <w:bookmarkEnd w:id="231"/>
      <w:bookmarkEnd w:id="232"/>
      <w:bookmarkEnd w:id="233"/>
      <w:bookmarkEnd w:id="234"/>
    </w:p>
    <w:p w14:paraId="1330132C">
      <w:pPr>
        <w:pStyle w:val="60"/>
        <w:ind w:left="0" w:firstLine="640" w:firstLineChars="200"/>
        <w:rPr>
          <w:rFonts w:hint="eastAsia" w:hAnsi="Times New Roman" w:cs="Times New Roman"/>
          <w:highlight w:val="none"/>
        </w:rPr>
      </w:pPr>
      <w:r>
        <w:rPr>
          <w:rFonts w:hint="eastAsia" w:hAnsi="Times New Roman" w:cs="Times New Roman"/>
          <w:highlight w:val="none"/>
        </w:rPr>
        <w:t>范围规模</w:t>
      </w:r>
    </w:p>
    <w:p w14:paraId="7A389A24">
      <w:pPr>
        <w:pStyle w:val="15"/>
        <w:ind w:firstLine="640"/>
        <w:rPr>
          <w:highlight w:val="none"/>
          <w:lang w:val="zh-CN"/>
        </w:rPr>
      </w:pPr>
      <w:bookmarkStart w:id="235" w:name="_Hlk176533814"/>
      <w:r>
        <w:rPr>
          <w:rFonts w:hint="eastAsia"/>
          <w:highlight w:val="none"/>
        </w:rPr>
        <w:t>集镇沿</w:t>
      </w:r>
      <w:r>
        <w:rPr>
          <w:rFonts w:hint="eastAsia"/>
          <w:highlight w:val="none"/>
          <w:lang w:val="en-US" w:eastAsia="zh-CN"/>
        </w:rPr>
        <w:t>青海湖旅游专线</w:t>
      </w:r>
      <w:r>
        <w:rPr>
          <w:rFonts w:hint="eastAsia"/>
          <w:highlight w:val="none"/>
        </w:rPr>
        <w:t>两侧划定作为本次规划范围，规划面积48.36公顷。</w:t>
      </w:r>
      <w:bookmarkEnd w:id="235"/>
    </w:p>
    <w:p w14:paraId="3FCC921A">
      <w:pPr>
        <w:pStyle w:val="60"/>
        <w:ind w:left="0" w:firstLine="640" w:firstLineChars="200"/>
        <w:rPr>
          <w:rFonts w:hint="eastAsia" w:hAnsi="Times New Roman" w:cs="Times New Roman"/>
          <w:highlight w:val="none"/>
        </w:rPr>
      </w:pPr>
      <w:bookmarkStart w:id="236" w:name="_Toc198237387"/>
      <w:r>
        <w:rPr>
          <w:rFonts w:hint="eastAsia" w:hAnsi="Times New Roman" w:cs="Times New Roman"/>
          <w:highlight w:val="none"/>
        </w:rPr>
        <w:t>空间布局结构</w:t>
      </w:r>
      <w:bookmarkEnd w:id="236"/>
    </w:p>
    <w:p w14:paraId="260DD008">
      <w:pPr>
        <w:pStyle w:val="15"/>
        <w:ind w:firstLine="640"/>
        <w:rPr>
          <w:rFonts w:hAnsi="仿宋_GB2312" w:cs="仿宋_GB2312"/>
          <w:szCs w:val="24"/>
          <w:highlight w:val="none"/>
          <w:lang w:bidi="ar"/>
        </w:rPr>
      </w:pPr>
      <w:r>
        <w:rPr>
          <w:rFonts w:hint="eastAsia" w:hAnsi="仿宋_GB2312" w:cs="仿宋_GB2312"/>
          <w:szCs w:val="24"/>
          <w:highlight w:val="none"/>
          <w:lang w:bidi="ar"/>
        </w:rPr>
        <w:t>江西沟镇镇政府驻地结合产业和交通联系等因素，确定镇区空间结构。规划形成“一核引领、十字带动、三区协同、多点支撑”的城镇空间布局结构。</w:t>
      </w:r>
    </w:p>
    <w:p w14:paraId="7AF27B8C">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“一核引领”：</w:t>
      </w:r>
      <w:r>
        <w:rPr>
          <w:rFonts w:hint="eastAsia" w:hAnsi="仿宋_GB2312" w:cs="仿宋_GB2312"/>
          <w:szCs w:val="24"/>
          <w:highlight w:val="none"/>
          <w:lang w:bidi="ar"/>
        </w:rPr>
        <w:t>镇区综合服务核心。</w:t>
      </w:r>
    </w:p>
    <w:p w14:paraId="437AB65A">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“十字带动”：</w:t>
      </w:r>
      <w:r>
        <w:rPr>
          <w:rFonts w:hint="eastAsia" w:hAnsi="仿宋_GB2312" w:cs="仿宋_GB2312"/>
          <w:szCs w:val="24"/>
          <w:highlight w:val="none"/>
          <w:lang w:bidi="ar"/>
        </w:rPr>
        <w:t>南北向旅游发展轴、东西向城镇发展轴。</w:t>
      </w:r>
    </w:p>
    <w:p w14:paraId="55B26459">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“三区协同”：</w:t>
      </w:r>
      <w:r>
        <w:rPr>
          <w:rFonts w:hint="eastAsia" w:hAnsi="仿宋_GB2312" w:cs="仿宋_GB2312"/>
          <w:szCs w:val="24"/>
          <w:highlight w:val="none"/>
          <w:lang w:bidi="ar"/>
        </w:rPr>
        <w:t>旅游拓展片区、综合服务片区、生态宜居片区。</w:t>
      </w:r>
    </w:p>
    <w:p w14:paraId="37C09960">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“多点支撑”：</w:t>
      </w:r>
      <w:r>
        <w:rPr>
          <w:rFonts w:hint="eastAsia" w:hAnsi="仿宋_GB2312" w:cs="仿宋_GB2312"/>
          <w:szCs w:val="24"/>
          <w:highlight w:val="none"/>
          <w:lang w:bidi="ar"/>
        </w:rPr>
        <w:t>多个生态景观节点。</w:t>
      </w:r>
    </w:p>
    <w:p w14:paraId="72C8D90E">
      <w:pPr>
        <w:pStyle w:val="3"/>
        <w:numPr>
          <w:ilvl w:val="1"/>
          <w:numId w:val="14"/>
        </w:numPr>
        <w:tabs>
          <w:tab w:val="left" w:pos="353"/>
        </w:tabs>
        <w:spacing w:before="260" w:after="260" w:line="416" w:lineRule="auto"/>
        <w:rPr>
          <w:highlight w:val="none"/>
          <w:lang w:val="zh-CN"/>
        </w:rPr>
      </w:pPr>
      <w:bookmarkStart w:id="237" w:name="_Toc2495"/>
      <w:bookmarkStart w:id="238" w:name="_Toc198237527"/>
      <w:bookmarkStart w:id="239" w:name="_Toc24731"/>
      <w:bookmarkStart w:id="240" w:name="_Toc198237388"/>
      <w:bookmarkStart w:id="241" w:name="_Toc16539"/>
      <w:r>
        <w:rPr>
          <w:rFonts w:hint="eastAsia"/>
          <w:highlight w:val="none"/>
          <w:lang w:val="zh-CN"/>
        </w:rPr>
        <w:t>功能与用地布局</w:t>
      </w:r>
      <w:bookmarkEnd w:id="237"/>
      <w:bookmarkEnd w:id="238"/>
      <w:bookmarkEnd w:id="239"/>
      <w:bookmarkEnd w:id="240"/>
      <w:bookmarkEnd w:id="241"/>
    </w:p>
    <w:p w14:paraId="1E3BDE7B">
      <w:pPr>
        <w:pStyle w:val="60"/>
        <w:ind w:left="0" w:firstLine="640" w:firstLineChars="200"/>
        <w:rPr>
          <w:rFonts w:hint="eastAsia" w:hAnsi="Times New Roman" w:cs="Times New Roman"/>
          <w:highlight w:val="none"/>
        </w:rPr>
      </w:pPr>
      <w:bookmarkStart w:id="242" w:name="_Toc198237389"/>
      <w:r>
        <w:rPr>
          <w:rFonts w:hint="eastAsia" w:hAnsi="Times New Roman" w:cs="Times New Roman"/>
          <w:highlight w:val="none"/>
        </w:rPr>
        <w:t>细化规划分区，明确用途分类引导</w:t>
      </w:r>
      <w:bookmarkEnd w:id="242"/>
    </w:p>
    <w:p w14:paraId="79D2D9D7">
      <w:pPr>
        <w:pStyle w:val="15"/>
        <w:ind w:firstLine="640"/>
        <w:rPr>
          <w:rFonts w:hAnsi="仿宋_GB2312" w:cs="仿宋_GB2312"/>
          <w:szCs w:val="24"/>
          <w:highlight w:val="none"/>
          <w:lang w:bidi="ar"/>
        </w:rPr>
      </w:pPr>
      <w:r>
        <w:rPr>
          <w:rFonts w:hint="eastAsia" w:hAnsi="仿宋_GB2312" w:cs="仿宋_GB2312"/>
          <w:szCs w:val="24"/>
          <w:highlight w:val="none"/>
          <w:lang w:bidi="ar"/>
        </w:rPr>
        <w:t>规划对镇区规划分区进行细化，明确用途分类指导。划定居住生活区8.02公顷，占比</w:t>
      </w:r>
      <w:r>
        <w:rPr>
          <w:rFonts w:hint="eastAsia" w:hAnsi="仿宋_GB2312" w:cs="仿宋_GB2312"/>
          <w:szCs w:val="24"/>
          <w:highlight w:val="none"/>
          <w:lang w:val="en-US" w:eastAsia="zh-CN" w:bidi="ar"/>
        </w:rPr>
        <w:t>16.58</w:t>
      </w:r>
      <w:r>
        <w:rPr>
          <w:rFonts w:hint="eastAsia" w:hAnsi="仿宋_GB2312" w:cs="仿宋_GB2312"/>
          <w:szCs w:val="24"/>
          <w:highlight w:val="none"/>
          <w:lang w:bidi="ar"/>
        </w:rPr>
        <w:t>%，位于青海湖旅游专线南侧区域；综合服务区</w:t>
      </w:r>
      <w:r>
        <w:rPr>
          <w:rFonts w:hint="eastAsia" w:hAnsi="仿宋_GB2312" w:cs="仿宋_GB2312"/>
          <w:szCs w:val="24"/>
          <w:highlight w:val="none"/>
          <w:lang w:val="en-US" w:eastAsia="zh-CN" w:bidi="ar"/>
        </w:rPr>
        <w:t>10.71</w:t>
      </w:r>
      <w:r>
        <w:rPr>
          <w:rFonts w:hint="eastAsia" w:hAnsi="仿宋_GB2312" w:cs="仿宋_GB2312"/>
          <w:szCs w:val="24"/>
          <w:highlight w:val="none"/>
          <w:lang w:bidi="ar"/>
        </w:rPr>
        <w:t>公顷，占比</w:t>
      </w:r>
      <w:r>
        <w:rPr>
          <w:rFonts w:hint="eastAsia" w:hAnsi="仿宋_GB2312" w:cs="仿宋_GB2312"/>
          <w:szCs w:val="24"/>
          <w:highlight w:val="none"/>
          <w:lang w:val="en-US" w:eastAsia="zh-CN" w:bidi="ar"/>
        </w:rPr>
        <w:t>22.14</w:t>
      </w:r>
      <w:r>
        <w:rPr>
          <w:rFonts w:hint="eastAsia" w:hAnsi="仿宋_GB2312" w:cs="仿宋_GB2312"/>
          <w:szCs w:val="24"/>
          <w:highlight w:val="none"/>
          <w:lang w:bidi="ar"/>
        </w:rPr>
        <w:t>%，位于镇区青海湖旅游专线南北两侧，在小学、镇政府周边区域；商业商务区16.93公顷，占比</w:t>
      </w:r>
      <w:r>
        <w:rPr>
          <w:rFonts w:hint="eastAsia" w:hAnsi="仿宋_GB2312" w:cs="仿宋_GB2312"/>
          <w:szCs w:val="24"/>
          <w:highlight w:val="none"/>
          <w:lang w:val="en-US" w:eastAsia="zh-CN" w:bidi="ar"/>
        </w:rPr>
        <w:t>35.00</w:t>
      </w:r>
      <w:r>
        <w:rPr>
          <w:rFonts w:hint="eastAsia" w:hAnsi="仿宋_GB2312" w:cs="仿宋_GB2312"/>
          <w:szCs w:val="24"/>
          <w:highlight w:val="none"/>
          <w:lang w:bidi="ar"/>
        </w:rPr>
        <w:t>%，位于镇区临街区域；绿地休闲区0.34公顷，占比0.71%，位于大江路和青海湖旅游专线交叉口西北侧区域；交通枢纽区1.7公顷，占比3.51%，位于镇区西部，大江路沿线西侧。</w:t>
      </w:r>
    </w:p>
    <w:p w14:paraId="01B9B772">
      <w:pPr>
        <w:pStyle w:val="60"/>
        <w:ind w:left="0" w:firstLine="640" w:firstLineChars="200"/>
        <w:rPr>
          <w:rFonts w:hint="eastAsia" w:hAnsi="Times New Roman" w:cs="Times New Roman"/>
          <w:highlight w:val="none"/>
        </w:rPr>
      </w:pPr>
      <w:bookmarkStart w:id="243" w:name="_Toc198237390"/>
      <w:r>
        <w:rPr>
          <w:rFonts w:hint="eastAsia" w:hAnsi="Times New Roman" w:cs="Times New Roman"/>
          <w:highlight w:val="none"/>
        </w:rPr>
        <w:t>落实空间结构，细化用地布局</w:t>
      </w:r>
      <w:bookmarkEnd w:id="243"/>
    </w:p>
    <w:p w14:paraId="4CBF2F6F">
      <w:pPr>
        <w:pStyle w:val="15"/>
        <w:ind w:firstLine="640"/>
        <w:rPr>
          <w:rFonts w:hAnsi="仿宋_GB2312" w:cs="仿宋_GB2312"/>
          <w:szCs w:val="24"/>
          <w:highlight w:val="none"/>
          <w:lang w:bidi="ar"/>
        </w:rPr>
      </w:pPr>
      <w:r>
        <w:rPr>
          <w:rFonts w:hint="eastAsia" w:hAnsi="仿宋_GB2312" w:cs="仿宋_GB2312"/>
          <w:szCs w:val="24"/>
          <w:highlight w:val="none"/>
          <w:lang w:bidi="ar"/>
        </w:rPr>
        <w:t>依据上位规划中乡镇主要传导指标，对江西沟镇城镇开发边界进行落实，规划城镇建设用地面积48.36公顷，人均建设用地面积不大于130平方米。</w:t>
      </w:r>
    </w:p>
    <w:p w14:paraId="5D8B96CF">
      <w:pPr>
        <w:pStyle w:val="15"/>
        <w:ind w:firstLine="640"/>
        <w:rPr>
          <w:rFonts w:hAnsi="仿宋_GB2312" w:cs="仿宋_GB2312"/>
          <w:szCs w:val="24"/>
          <w:highlight w:val="none"/>
          <w:lang w:bidi="ar"/>
        </w:rPr>
      </w:pPr>
      <w:r>
        <w:rPr>
          <w:rFonts w:hint="eastAsia" w:hAnsi="仿宋_GB2312" w:cs="仿宋_GB2312"/>
          <w:szCs w:val="24"/>
          <w:highlight w:val="none"/>
          <w:lang w:bidi="ar"/>
        </w:rPr>
        <w:t>规划居住用地面积8.</w:t>
      </w:r>
      <w:r>
        <w:rPr>
          <w:rFonts w:hint="eastAsia" w:hAnsi="仿宋_GB2312" w:cs="仿宋_GB2312"/>
          <w:szCs w:val="24"/>
          <w:highlight w:val="none"/>
          <w:lang w:val="en-US" w:eastAsia="zh-CN" w:bidi="ar"/>
        </w:rPr>
        <w:t>02</w:t>
      </w:r>
      <w:r>
        <w:rPr>
          <w:rFonts w:hint="eastAsia" w:hAnsi="仿宋_GB2312" w:cs="仿宋_GB2312"/>
          <w:szCs w:val="24"/>
          <w:highlight w:val="none"/>
          <w:lang w:bidi="ar"/>
        </w:rPr>
        <w:t>公顷，占城镇建设用地总量的</w:t>
      </w:r>
      <w:r>
        <w:rPr>
          <w:rFonts w:hint="eastAsia" w:hAnsi="仿宋_GB2312" w:cs="仿宋_GB2312"/>
          <w:szCs w:val="24"/>
          <w:highlight w:val="none"/>
          <w:lang w:val="en-US" w:eastAsia="zh-CN" w:bidi="ar"/>
        </w:rPr>
        <w:t>16.58</w:t>
      </w:r>
      <w:r>
        <w:rPr>
          <w:rFonts w:hint="eastAsia" w:hAnsi="仿宋_GB2312" w:cs="仿宋_GB2312"/>
          <w:szCs w:val="24"/>
          <w:highlight w:val="none"/>
          <w:lang w:bidi="ar"/>
        </w:rPr>
        <w:t>%；公共管理与公共服务用地面积</w:t>
      </w:r>
      <w:r>
        <w:rPr>
          <w:rFonts w:hAnsi="仿宋_GB2312" w:cs="仿宋_GB2312"/>
          <w:szCs w:val="24"/>
          <w:highlight w:val="none"/>
          <w:lang w:bidi="ar"/>
        </w:rPr>
        <w:t>9.</w:t>
      </w:r>
      <w:r>
        <w:rPr>
          <w:rFonts w:hint="eastAsia" w:hAnsi="仿宋_GB2312" w:cs="仿宋_GB2312"/>
          <w:szCs w:val="24"/>
          <w:highlight w:val="none"/>
          <w:lang w:val="en-US" w:eastAsia="zh-CN" w:bidi="ar"/>
        </w:rPr>
        <w:t>43</w:t>
      </w:r>
      <w:r>
        <w:rPr>
          <w:rFonts w:hint="eastAsia" w:hAnsi="仿宋_GB2312" w:cs="仿宋_GB2312"/>
          <w:szCs w:val="24"/>
          <w:highlight w:val="none"/>
          <w:lang w:bidi="ar"/>
        </w:rPr>
        <w:t>公顷，占城镇建设用地总量的</w:t>
      </w:r>
      <w:r>
        <w:rPr>
          <w:rFonts w:hAnsi="仿宋_GB2312" w:cs="仿宋_GB2312"/>
          <w:szCs w:val="24"/>
          <w:highlight w:val="none"/>
          <w:lang w:bidi="ar"/>
        </w:rPr>
        <w:t>19.</w:t>
      </w:r>
      <w:r>
        <w:rPr>
          <w:rFonts w:hint="eastAsia" w:hAnsi="仿宋_GB2312" w:cs="仿宋_GB2312"/>
          <w:szCs w:val="24"/>
          <w:highlight w:val="none"/>
          <w:lang w:val="en-US" w:eastAsia="zh-CN" w:bidi="ar"/>
        </w:rPr>
        <w:t>49</w:t>
      </w:r>
      <w:r>
        <w:rPr>
          <w:rFonts w:hint="eastAsia" w:hAnsi="仿宋_GB2312" w:cs="仿宋_GB2312"/>
          <w:szCs w:val="24"/>
          <w:highlight w:val="none"/>
          <w:lang w:bidi="ar"/>
        </w:rPr>
        <w:t>%；商业服务业用地面积</w:t>
      </w:r>
      <w:r>
        <w:rPr>
          <w:rFonts w:hAnsi="仿宋_GB2312" w:cs="仿宋_GB2312"/>
          <w:szCs w:val="24"/>
          <w:highlight w:val="none"/>
          <w:lang w:bidi="ar"/>
        </w:rPr>
        <w:t>16.</w:t>
      </w:r>
      <w:r>
        <w:rPr>
          <w:rFonts w:hint="eastAsia" w:hAnsi="仿宋_GB2312" w:cs="仿宋_GB2312"/>
          <w:szCs w:val="24"/>
          <w:highlight w:val="none"/>
          <w:lang w:val="en-US" w:eastAsia="zh-CN" w:bidi="ar"/>
        </w:rPr>
        <w:t>93</w:t>
      </w:r>
      <w:r>
        <w:rPr>
          <w:rFonts w:hint="eastAsia" w:hAnsi="仿宋_GB2312" w:cs="仿宋_GB2312"/>
          <w:szCs w:val="24"/>
          <w:highlight w:val="none"/>
          <w:lang w:bidi="ar"/>
        </w:rPr>
        <w:t>公顷，占城镇建设用地总量的3</w:t>
      </w:r>
      <w:r>
        <w:rPr>
          <w:rFonts w:hint="eastAsia" w:hAnsi="仿宋_GB2312" w:cs="仿宋_GB2312"/>
          <w:szCs w:val="24"/>
          <w:highlight w:val="none"/>
          <w:lang w:val="en-US" w:eastAsia="zh-CN" w:bidi="ar"/>
        </w:rPr>
        <w:t>5.00</w:t>
      </w:r>
      <w:r>
        <w:rPr>
          <w:rFonts w:hint="eastAsia" w:hAnsi="仿宋_GB2312" w:cs="仿宋_GB2312"/>
          <w:szCs w:val="24"/>
          <w:highlight w:val="none"/>
          <w:lang w:bidi="ar"/>
        </w:rPr>
        <w:t>%；交通运输用地面积</w:t>
      </w:r>
      <w:r>
        <w:rPr>
          <w:rFonts w:hAnsi="仿宋_GB2312" w:cs="仿宋_GB2312"/>
          <w:szCs w:val="24"/>
          <w:highlight w:val="none"/>
          <w:lang w:bidi="ar"/>
        </w:rPr>
        <w:t>12.</w:t>
      </w:r>
      <w:r>
        <w:rPr>
          <w:rFonts w:hint="eastAsia" w:hAnsi="仿宋_GB2312" w:cs="仿宋_GB2312"/>
          <w:szCs w:val="24"/>
          <w:highlight w:val="none"/>
          <w:lang w:val="en-US" w:eastAsia="zh-CN" w:bidi="ar"/>
        </w:rPr>
        <w:t>36</w:t>
      </w:r>
      <w:r>
        <w:rPr>
          <w:rFonts w:hint="eastAsia" w:hAnsi="仿宋_GB2312" w:cs="仿宋_GB2312"/>
          <w:szCs w:val="24"/>
          <w:highlight w:val="none"/>
          <w:lang w:bidi="ar"/>
        </w:rPr>
        <w:t>公顷，占城镇建设用地总量的</w:t>
      </w:r>
      <w:r>
        <w:rPr>
          <w:rFonts w:hAnsi="仿宋_GB2312" w:cs="仿宋_GB2312"/>
          <w:szCs w:val="24"/>
          <w:highlight w:val="none"/>
          <w:lang w:bidi="ar"/>
        </w:rPr>
        <w:t>25.</w:t>
      </w:r>
      <w:r>
        <w:rPr>
          <w:rFonts w:hint="eastAsia" w:hAnsi="仿宋_GB2312" w:cs="仿宋_GB2312"/>
          <w:szCs w:val="24"/>
          <w:highlight w:val="none"/>
          <w:lang w:val="en-US" w:eastAsia="zh-CN" w:bidi="ar"/>
        </w:rPr>
        <w:t>55</w:t>
      </w:r>
      <w:r>
        <w:rPr>
          <w:rFonts w:hint="eastAsia" w:hAnsi="仿宋_GB2312" w:cs="仿宋_GB2312"/>
          <w:szCs w:val="24"/>
          <w:highlight w:val="none"/>
          <w:lang w:bidi="ar"/>
        </w:rPr>
        <w:t>%；公用设施用地面积</w:t>
      </w:r>
      <w:r>
        <w:rPr>
          <w:rFonts w:hAnsi="仿宋_GB2312" w:cs="仿宋_GB2312"/>
          <w:szCs w:val="24"/>
          <w:highlight w:val="none"/>
          <w:lang w:bidi="ar"/>
        </w:rPr>
        <w:t>1.</w:t>
      </w:r>
      <w:r>
        <w:rPr>
          <w:rFonts w:hint="eastAsia" w:hAnsi="仿宋_GB2312" w:cs="仿宋_GB2312"/>
          <w:szCs w:val="24"/>
          <w:highlight w:val="none"/>
          <w:lang w:val="en-US" w:eastAsia="zh-CN" w:bidi="ar"/>
        </w:rPr>
        <w:t>29</w:t>
      </w:r>
      <w:r>
        <w:rPr>
          <w:rFonts w:hint="eastAsia" w:hAnsi="仿宋_GB2312" w:cs="仿宋_GB2312"/>
          <w:szCs w:val="24"/>
          <w:highlight w:val="none"/>
          <w:lang w:bidi="ar"/>
        </w:rPr>
        <w:t>公顷，占城镇建设用地总量的</w:t>
      </w:r>
      <w:r>
        <w:rPr>
          <w:rFonts w:hAnsi="仿宋_GB2312" w:cs="仿宋_GB2312"/>
          <w:szCs w:val="24"/>
          <w:highlight w:val="none"/>
          <w:lang w:bidi="ar"/>
        </w:rPr>
        <w:t>2.</w:t>
      </w:r>
      <w:r>
        <w:rPr>
          <w:rFonts w:hint="eastAsia" w:hAnsi="仿宋_GB2312" w:cs="仿宋_GB2312"/>
          <w:szCs w:val="24"/>
          <w:highlight w:val="none"/>
          <w:lang w:val="en-US" w:eastAsia="zh-CN" w:bidi="ar"/>
        </w:rPr>
        <w:t>66</w:t>
      </w:r>
      <w:r>
        <w:rPr>
          <w:rFonts w:hint="eastAsia" w:hAnsi="仿宋_GB2312" w:cs="仿宋_GB2312"/>
          <w:szCs w:val="24"/>
          <w:highlight w:val="none"/>
          <w:lang w:bidi="ar"/>
        </w:rPr>
        <w:t>%；绿地与开敞空间用地面积0</w:t>
      </w:r>
      <w:r>
        <w:rPr>
          <w:rFonts w:hAnsi="仿宋_GB2312" w:cs="仿宋_GB2312"/>
          <w:szCs w:val="24"/>
          <w:highlight w:val="none"/>
          <w:lang w:bidi="ar"/>
        </w:rPr>
        <w:t>.</w:t>
      </w:r>
      <w:r>
        <w:rPr>
          <w:rFonts w:hint="eastAsia" w:hAnsi="仿宋_GB2312" w:cs="仿宋_GB2312"/>
          <w:szCs w:val="24"/>
          <w:highlight w:val="none"/>
          <w:lang w:bidi="ar"/>
        </w:rPr>
        <w:t>34公顷，占城镇建设用地总量的</w:t>
      </w:r>
      <w:r>
        <w:rPr>
          <w:rFonts w:hAnsi="仿宋_GB2312" w:cs="仿宋_GB2312"/>
          <w:szCs w:val="24"/>
          <w:highlight w:val="none"/>
          <w:lang w:bidi="ar"/>
        </w:rPr>
        <w:t>0.</w:t>
      </w:r>
      <w:r>
        <w:rPr>
          <w:rFonts w:hint="eastAsia" w:hAnsi="仿宋_GB2312" w:cs="仿宋_GB2312"/>
          <w:szCs w:val="24"/>
          <w:highlight w:val="none"/>
          <w:lang w:bidi="ar"/>
        </w:rPr>
        <w:t>71%。</w:t>
      </w:r>
    </w:p>
    <w:p w14:paraId="4F2559BE">
      <w:pPr>
        <w:pStyle w:val="15"/>
        <w:ind w:firstLine="640"/>
        <w:rPr>
          <w:rFonts w:hAnsi="仿宋_GB2312" w:cs="仿宋_GB2312"/>
          <w:szCs w:val="24"/>
          <w:highlight w:val="none"/>
          <w:lang w:bidi="ar"/>
        </w:rPr>
      </w:pPr>
      <w:r>
        <w:rPr>
          <w:rFonts w:hint="eastAsia" w:hAnsi="仿宋_GB2312" w:cs="仿宋_GB2312"/>
          <w:szCs w:val="24"/>
          <w:highlight w:val="none"/>
          <w:lang w:bidi="ar"/>
        </w:rPr>
        <w:t>具体地块用途、边界定位、开发建设强度、用地兼容等规划管控要求在详细规划中确定。</w:t>
      </w:r>
    </w:p>
    <w:p w14:paraId="66F09FFE">
      <w:pPr>
        <w:pStyle w:val="3"/>
        <w:numPr>
          <w:ilvl w:val="1"/>
          <w:numId w:val="14"/>
        </w:numPr>
        <w:tabs>
          <w:tab w:val="left" w:pos="353"/>
        </w:tabs>
        <w:spacing w:before="260" w:after="260" w:line="416" w:lineRule="auto"/>
        <w:rPr>
          <w:highlight w:val="none"/>
          <w:lang w:val="zh-CN"/>
        </w:rPr>
      </w:pPr>
      <w:bookmarkStart w:id="244" w:name="_Toc198237528"/>
      <w:bookmarkStart w:id="245" w:name="_Toc198237391"/>
      <w:bookmarkStart w:id="246" w:name="_Toc9389"/>
      <w:bookmarkStart w:id="247" w:name="_Toc12886"/>
      <w:bookmarkStart w:id="248" w:name="_Toc15431"/>
      <w:r>
        <w:rPr>
          <w:rFonts w:hint="eastAsia"/>
          <w:highlight w:val="none"/>
          <w:lang w:val="zh-CN"/>
        </w:rPr>
        <w:t>居住与住房保障</w:t>
      </w:r>
      <w:bookmarkEnd w:id="244"/>
      <w:bookmarkEnd w:id="245"/>
      <w:bookmarkEnd w:id="246"/>
      <w:bookmarkEnd w:id="247"/>
      <w:bookmarkEnd w:id="248"/>
    </w:p>
    <w:p w14:paraId="3836C889">
      <w:pPr>
        <w:pStyle w:val="60"/>
        <w:ind w:left="0" w:firstLine="640" w:firstLineChars="200"/>
        <w:rPr>
          <w:rFonts w:hint="eastAsia" w:hAnsi="Times New Roman" w:cs="Times New Roman"/>
          <w:highlight w:val="none"/>
        </w:rPr>
      </w:pPr>
      <w:bookmarkStart w:id="249" w:name="_Toc198237392"/>
      <w:r>
        <w:rPr>
          <w:rFonts w:hint="eastAsia" w:hAnsi="Times New Roman" w:cs="Times New Roman"/>
          <w:highlight w:val="none"/>
        </w:rPr>
        <w:t>居住空间布局</w:t>
      </w:r>
      <w:bookmarkEnd w:id="249"/>
    </w:p>
    <w:p w14:paraId="28B813E0">
      <w:pPr>
        <w:pStyle w:val="15"/>
        <w:ind w:firstLine="640"/>
        <w:rPr>
          <w:rFonts w:hint="eastAsia" w:hAnsi="仿宋_GB2312" w:cs="仿宋_GB2312"/>
          <w:szCs w:val="24"/>
          <w:highlight w:val="none"/>
          <w:lang w:bidi="ar"/>
        </w:rPr>
      </w:pPr>
      <w:r>
        <w:rPr>
          <w:rFonts w:hint="eastAsia" w:hAnsi="仿宋_GB2312" w:cs="仿宋_GB2312"/>
          <w:szCs w:val="24"/>
          <w:highlight w:val="none"/>
          <w:lang w:bidi="ar"/>
        </w:rPr>
        <w:t>规划至2035年，镇区居住用地主要分布于镇区南部和东南部，规划形成3个居住组团，总面积8.</w:t>
      </w:r>
      <w:r>
        <w:rPr>
          <w:rFonts w:hint="eastAsia" w:hAnsi="仿宋_GB2312" w:cs="仿宋_GB2312"/>
          <w:szCs w:val="24"/>
          <w:highlight w:val="none"/>
          <w:lang w:val="en-US" w:eastAsia="zh-CN" w:bidi="ar"/>
        </w:rPr>
        <w:t>02</w:t>
      </w:r>
      <w:r>
        <w:rPr>
          <w:rFonts w:hint="eastAsia" w:hAnsi="仿宋_GB2312" w:cs="仿宋_GB2312"/>
          <w:szCs w:val="24"/>
          <w:highlight w:val="none"/>
          <w:lang w:bidi="ar"/>
        </w:rPr>
        <w:t>公顷，居住总人口0.3万人。</w:t>
      </w:r>
    </w:p>
    <w:p w14:paraId="04E18FBD">
      <w:pPr>
        <w:pStyle w:val="60"/>
        <w:ind w:left="0" w:firstLine="640" w:firstLineChars="200"/>
        <w:rPr>
          <w:rFonts w:hint="eastAsia" w:hAnsi="Times New Roman" w:cs="Times New Roman"/>
          <w:highlight w:val="none"/>
        </w:rPr>
      </w:pPr>
      <w:r>
        <w:rPr>
          <w:rFonts w:hint="eastAsia" w:hAnsi="Times New Roman" w:cs="Times New Roman"/>
          <w:highlight w:val="none"/>
        </w:rPr>
        <w:t>集镇更新</w:t>
      </w:r>
    </w:p>
    <w:p w14:paraId="0B8B1029">
      <w:pPr>
        <w:pStyle w:val="15"/>
        <w:ind w:firstLine="640"/>
        <w:rPr>
          <w:rFonts w:hint="eastAsia" w:hAnsi="仿宋_GB2312" w:cs="仿宋_GB2312"/>
          <w:szCs w:val="24"/>
          <w:highlight w:val="none"/>
          <w:lang w:val="zh-CN" w:bidi="ar"/>
        </w:rPr>
      </w:pPr>
      <w:r>
        <w:rPr>
          <w:rFonts w:hint="eastAsia" w:hAnsi="仿宋_GB2312" w:cs="仿宋_GB2312"/>
          <w:szCs w:val="24"/>
          <w:highlight w:val="none"/>
          <w:lang w:val="zh-CN" w:bidi="ar"/>
        </w:rPr>
        <w:t>推进集镇建设，打造面向未来的</w:t>
      </w:r>
      <w:r>
        <w:rPr>
          <w:rFonts w:hint="eastAsia" w:hAnsi="仿宋_GB2312" w:cs="仿宋_GB2312"/>
          <w:szCs w:val="24"/>
          <w:highlight w:val="none"/>
          <w:lang w:val="en-US" w:eastAsia="zh-CN" w:bidi="ar"/>
        </w:rPr>
        <w:t>江西沟镇</w:t>
      </w:r>
      <w:r>
        <w:rPr>
          <w:rFonts w:hint="eastAsia" w:hAnsi="仿宋_GB2312" w:cs="仿宋_GB2312"/>
          <w:szCs w:val="24"/>
          <w:highlight w:val="none"/>
          <w:lang w:val="zh-CN" w:bidi="ar"/>
        </w:rPr>
        <w:t>现代服务业、高品质居住发展的示范区，形成宜业宜居的新型集镇。</w:t>
      </w:r>
    </w:p>
    <w:p w14:paraId="7F05B870">
      <w:pPr>
        <w:pStyle w:val="15"/>
        <w:ind w:firstLine="640"/>
        <w:rPr>
          <w:rFonts w:hint="eastAsia" w:hAnsi="仿宋_GB2312" w:cs="仿宋_GB2312"/>
          <w:szCs w:val="24"/>
          <w:highlight w:val="none"/>
          <w:lang w:val="zh-CN" w:bidi="ar"/>
        </w:rPr>
      </w:pPr>
      <w:r>
        <w:rPr>
          <w:rFonts w:hint="eastAsia" w:hAnsi="仿宋_GB2312" w:cs="仿宋_GB2312"/>
          <w:szCs w:val="24"/>
          <w:highlight w:val="none"/>
          <w:lang w:val="zh-CN" w:bidi="ar"/>
        </w:rPr>
        <w:t>推进居住区改造提升，通过发展商贸、旅游、文化创意、生态居住等现代服务业，提高</w:t>
      </w:r>
      <w:r>
        <w:rPr>
          <w:rFonts w:hint="eastAsia" w:hAnsi="仿宋_GB2312" w:cs="仿宋_GB2312"/>
          <w:szCs w:val="24"/>
          <w:highlight w:val="none"/>
          <w:lang w:val="en-US" w:eastAsia="zh-CN" w:bidi="ar"/>
        </w:rPr>
        <w:t>江西沟</w:t>
      </w:r>
      <w:r>
        <w:rPr>
          <w:rFonts w:hint="eastAsia" w:hAnsi="仿宋_GB2312" w:cs="仿宋_GB2312"/>
          <w:szCs w:val="24"/>
          <w:highlight w:val="none"/>
          <w:lang w:val="zh-CN" w:bidi="ar"/>
        </w:rPr>
        <w:t>集镇综合服务能力。</w:t>
      </w:r>
    </w:p>
    <w:p w14:paraId="302FCA26">
      <w:pPr>
        <w:pStyle w:val="15"/>
        <w:ind w:firstLine="640"/>
        <w:rPr>
          <w:rFonts w:hint="eastAsia" w:hAnsi="仿宋_GB2312" w:cs="仿宋_GB2312"/>
          <w:szCs w:val="24"/>
          <w:highlight w:val="none"/>
          <w:lang w:val="zh-CN" w:bidi="ar"/>
        </w:rPr>
      </w:pPr>
      <w:r>
        <w:rPr>
          <w:rFonts w:hint="eastAsia" w:hAnsi="仿宋_GB2312" w:cs="仿宋_GB2312"/>
          <w:szCs w:val="24"/>
          <w:highlight w:val="none"/>
          <w:lang w:val="zh-CN" w:bidi="ar"/>
        </w:rPr>
        <w:t>优化完善居住配套，增加高品质公共服务设施供给，提升既有设施的服务能力。</w:t>
      </w:r>
    </w:p>
    <w:p w14:paraId="6A25B07F">
      <w:pPr>
        <w:pStyle w:val="60"/>
        <w:ind w:left="0" w:firstLine="640" w:firstLineChars="200"/>
        <w:rPr>
          <w:rFonts w:hint="eastAsia" w:hAnsi="Times New Roman" w:cs="Times New Roman"/>
          <w:highlight w:val="none"/>
        </w:rPr>
      </w:pPr>
      <w:r>
        <w:rPr>
          <w:rFonts w:hint="eastAsia" w:hAnsi="Times New Roman" w:cs="Times New Roman"/>
          <w:highlight w:val="none"/>
        </w:rPr>
        <w:t>住房保障</w:t>
      </w:r>
    </w:p>
    <w:p w14:paraId="3BA079DD">
      <w:pPr>
        <w:spacing w:line="600" w:lineRule="exact"/>
        <w:ind w:firstLine="640" w:firstLineChars="200"/>
        <w:rPr>
          <w:rFonts w:hint="eastAsia" w:hAnsi="仿宋_GB2312" w:cs="仿宋_GB2312"/>
          <w:szCs w:val="24"/>
          <w:highlight w:val="none"/>
          <w:lang w:val="zh-CN" w:bidi="ar"/>
        </w:rPr>
      </w:pPr>
      <w:r>
        <w:rPr>
          <w:rFonts w:hint="eastAsia" w:ascii="仿宋_GB2312" w:hAnsi="仿宋_GB2312" w:eastAsia="仿宋_GB2312" w:cs="仿宋_GB2312"/>
          <w:sz w:val="32"/>
          <w:szCs w:val="32"/>
          <w:highlight w:val="none"/>
          <w:lang w:val="zh-CN"/>
        </w:rPr>
        <w:t>建立住房建设规划年度实施计划制度，进一步优化土地供应及闲置土地的处理，发推动旧房改造，倡导环保型、节能型住房建设。居住用地布局应优先利用空闲地、闲置宅基地和未利用地，引导集中建设。</w:t>
      </w:r>
    </w:p>
    <w:p w14:paraId="38DF45A0">
      <w:pPr>
        <w:pStyle w:val="3"/>
        <w:numPr>
          <w:ilvl w:val="1"/>
          <w:numId w:val="14"/>
        </w:numPr>
        <w:tabs>
          <w:tab w:val="left" w:pos="353"/>
        </w:tabs>
        <w:spacing w:before="260" w:after="260" w:line="416" w:lineRule="auto"/>
        <w:rPr>
          <w:highlight w:val="none"/>
          <w:lang w:val="zh-CN"/>
        </w:rPr>
      </w:pPr>
      <w:bookmarkStart w:id="250" w:name="_Toc10397"/>
      <w:bookmarkStart w:id="251" w:name="_Toc29037"/>
      <w:bookmarkStart w:id="252" w:name="_Toc5464"/>
      <w:bookmarkStart w:id="253" w:name="_Toc198237393"/>
      <w:bookmarkStart w:id="254" w:name="_Toc198237529"/>
      <w:r>
        <w:rPr>
          <w:rFonts w:hint="eastAsia"/>
          <w:highlight w:val="none"/>
          <w:lang w:val="zh-CN"/>
        </w:rPr>
        <w:t>公共服务设施布局</w:t>
      </w:r>
      <w:bookmarkEnd w:id="250"/>
      <w:bookmarkEnd w:id="251"/>
      <w:bookmarkEnd w:id="252"/>
      <w:bookmarkEnd w:id="253"/>
      <w:bookmarkEnd w:id="254"/>
    </w:p>
    <w:p w14:paraId="687EEF60">
      <w:pPr>
        <w:pStyle w:val="60"/>
        <w:ind w:left="0" w:firstLine="640" w:firstLineChars="200"/>
        <w:rPr>
          <w:rFonts w:hint="eastAsia" w:hAnsi="Times New Roman" w:cs="Times New Roman"/>
          <w:highlight w:val="none"/>
        </w:rPr>
      </w:pPr>
      <w:bookmarkStart w:id="255" w:name="_Toc198237394"/>
      <w:r>
        <w:rPr>
          <w:rFonts w:hint="eastAsia" w:hAnsi="Times New Roman" w:cs="Times New Roman"/>
          <w:highlight w:val="none"/>
        </w:rPr>
        <w:t>生活圈规划</w:t>
      </w:r>
      <w:bookmarkEnd w:id="255"/>
    </w:p>
    <w:p w14:paraId="68B2376D">
      <w:pPr>
        <w:pStyle w:val="15"/>
        <w:ind w:firstLine="640"/>
        <w:rPr>
          <w:rFonts w:hAnsi="仿宋_GB2312" w:cs="仿宋_GB2312"/>
          <w:szCs w:val="24"/>
          <w:highlight w:val="none"/>
          <w:lang w:bidi="ar"/>
        </w:rPr>
      </w:pPr>
      <w:r>
        <w:rPr>
          <w:rFonts w:hint="eastAsia" w:hAnsi="仿宋_GB2312" w:cs="仿宋_GB2312"/>
          <w:szCs w:val="24"/>
          <w:highlight w:val="none"/>
          <w:lang w:bidi="ar"/>
        </w:rPr>
        <w:t>构建15分钟城镇生活圈。规划镇区形成1个15分钟生活圈，公共服务设施围绕镇政府相对集中设置形成片区中心。镇区北部主要发展餐饮、住宿等旅游服务业，设施配套上兼顾旅游服务人群需求。</w:t>
      </w:r>
    </w:p>
    <w:p w14:paraId="18052C9D">
      <w:pPr>
        <w:pStyle w:val="60"/>
        <w:ind w:left="0" w:firstLine="640" w:firstLineChars="200"/>
        <w:rPr>
          <w:rFonts w:hint="eastAsia" w:hAnsi="Times New Roman" w:cs="Times New Roman"/>
          <w:highlight w:val="none"/>
        </w:rPr>
      </w:pPr>
      <w:bookmarkStart w:id="256" w:name="_Toc198237395"/>
      <w:r>
        <w:rPr>
          <w:rFonts w:hint="eastAsia" w:hAnsi="Times New Roman" w:cs="Times New Roman"/>
          <w:highlight w:val="none"/>
        </w:rPr>
        <w:t>公共</w:t>
      </w:r>
      <w:r>
        <w:rPr>
          <w:rFonts w:hint="eastAsia" w:hAnsi="Times New Roman" w:cs="Times New Roman"/>
          <w:highlight w:val="none"/>
          <w:lang w:val="en-US" w:eastAsia="zh-CN"/>
        </w:rPr>
        <w:t>管理与公共</w:t>
      </w:r>
      <w:r>
        <w:rPr>
          <w:rFonts w:hint="eastAsia" w:hAnsi="Times New Roman" w:cs="Times New Roman"/>
          <w:highlight w:val="none"/>
        </w:rPr>
        <w:t>服务设施规划</w:t>
      </w:r>
      <w:bookmarkEnd w:id="256"/>
    </w:p>
    <w:p w14:paraId="198D389D">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机关团体用地。</w:t>
      </w:r>
      <w:r>
        <w:rPr>
          <w:rFonts w:hint="eastAsia" w:hAnsi="仿宋_GB2312" w:cs="仿宋_GB2312"/>
          <w:szCs w:val="24"/>
          <w:highlight w:val="none"/>
          <w:lang w:bidi="ar"/>
        </w:rPr>
        <w:t>规划机关团体用地面积5.00公顷，占规划城镇建设用地的10.34%。主要为镇政府及相关部门、派出所和各村村委会所占用地。</w:t>
      </w:r>
    </w:p>
    <w:p w14:paraId="59C18DA4">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教育用地。</w:t>
      </w:r>
      <w:r>
        <w:rPr>
          <w:rFonts w:hint="eastAsia" w:hAnsi="仿宋_GB2312" w:cs="仿宋_GB2312"/>
          <w:szCs w:val="24"/>
          <w:highlight w:val="none"/>
          <w:lang w:bidi="ar"/>
        </w:rPr>
        <w:t>规划教育用地面积4.07公顷，占规划城镇建设用地的8.4</w:t>
      </w:r>
      <w:r>
        <w:rPr>
          <w:rFonts w:hint="eastAsia" w:hAnsi="仿宋_GB2312" w:cs="仿宋_GB2312"/>
          <w:szCs w:val="24"/>
          <w:highlight w:val="none"/>
          <w:lang w:val="en-US" w:eastAsia="zh-CN" w:bidi="ar"/>
        </w:rPr>
        <w:t>3</w:t>
      </w:r>
      <w:r>
        <w:rPr>
          <w:rFonts w:hint="eastAsia" w:hAnsi="仿宋_GB2312" w:cs="仿宋_GB2312"/>
          <w:szCs w:val="24"/>
          <w:highlight w:val="none"/>
          <w:lang w:bidi="ar"/>
        </w:rPr>
        <w:t>%。规划保留现状民族寄宿制小学。</w:t>
      </w:r>
    </w:p>
    <w:p w14:paraId="16D769D7">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医疗卫生用地。</w:t>
      </w:r>
      <w:r>
        <w:rPr>
          <w:rFonts w:hint="eastAsia" w:hAnsi="仿宋_GB2312" w:cs="仿宋_GB2312"/>
          <w:szCs w:val="24"/>
          <w:highlight w:val="none"/>
          <w:lang w:bidi="ar"/>
        </w:rPr>
        <w:t>规划医疗卫生用地0.35公顷，占规划城镇建设用地0.73%。规划保留现状的江西沟镇卫生院，在其原址上进行改造扩建。</w:t>
      </w:r>
    </w:p>
    <w:p w14:paraId="610412FA">
      <w:pPr>
        <w:pStyle w:val="3"/>
        <w:numPr>
          <w:ilvl w:val="1"/>
          <w:numId w:val="14"/>
        </w:numPr>
        <w:tabs>
          <w:tab w:val="left" w:pos="353"/>
        </w:tabs>
        <w:spacing w:before="260" w:after="260" w:line="416" w:lineRule="auto"/>
        <w:rPr>
          <w:highlight w:val="none"/>
          <w:lang w:val="zh-CN"/>
        </w:rPr>
      </w:pPr>
      <w:bookmarkStart w:id="257" w:name="_Toc198237530"/>
      <w:bookmarkStart w:id="258" w:name="_Toc15786"/>
      <w:bookmarkStart w:id="259" w:name="_Toc4081"/>
      <w:bookmarkStart w:id="260" w:name="_Toc198237396"/>
      <w:bookmarkStart w:id="261" w:name="_Toc10823"/>
      <w:r>
        <w:rPr>
          <w:rFonts w:hint="eastAsia"/>
          <w:highlight w:val="none"/>
          <w:lang w:val="zh-CN"/>
        </w:rPr>
        <w:t>绿地和开敞空间</w:t>
      </w:r>
      <w:bookmarkEnd w:id="257"/>
      <w:bookmarkEnd w:id="258"/>
      <w:bookmarkEnd w:id="259"/>
      <w:bookmarkEnd w:id="260"/>
      <w:bookmarkEnd w:id="261"/>
    </w:p>
    <w:p w14:paraId="7458F1A9">
      <w:pPr>
        <w:pStyle w:val="60"/>
        <w:ind w:left="0" w:firstLine="640" w:firstLineChars="200"/>
        <w:rPr>
          <w:rFonts w:hint="eastAsia" w:hAnsi="Times New Roman" w:cs="Times New Roman"/>
          <w:highlight w:val="none"/>
        </w:rPr>
      </w:pPr>
      <w:bookmarkStart w:id="262" w:name="_Toc198237397"/>
      <w:r>
        <w:rPr>
          <w:rFonts w:hint="eastAsia" w:hAnsi="Times New Roman" w:cs="Times New Roman"/>
          <w:highlight w:val="none"/>
        </w:rPr>
        <w:t>绿地和开敞空间布局</w:t>
      </w:r>
      <w:bookmarkEnd w:id="262"/>
    </w:p>
    <w:p w14:paraId="133BCF5E">
      <w:pPr>
        <w:pStyle w:val="15"/>
        <w:ind w:firstLine="640"/>
        <w:rPr>
          <w:rFonts w:hint="eastAsia" w:hAnsi="仿宋_GB2312" w:cs="仿宋_GB2312"/>
          <w:szCs w:val="24"/>
          <w:highlight w:val="none"/>
          <w:lang w:bidi="ar"/>
        </w:rPr>
      </w:pPr>
      <w:r>
        <w:rPr>
          <w:rFonts w:hint="eastAsia" w:hAnsi="仿宋_GB2312" w:cs="仿宋_GB2312"/>
          <w:szCs w:val="24"/>
          <w:highlight w:val="none"/>
          <w:lang w:val="zh-CN" w:bidi="ar"/>
        </w:rPr>
        <w:t>优</w:t>
      </w:r>
      <w:r>
        <w:rPr>
          <w:rFonts w:hint="eastAsia" w:hAnsi="仿宋_GB2312" w:cs="仿宋_GB2312"/>
          <w:szCs w:val="24"/>
          <w:highlight w:val="none"/>
          <w:lang w:bidi="ar"/>
        </w:rPr>
        <w:t>化调整绿地布局，完善绿地类型，科学配置绿地植物群落，提高绿地植物养护水平，</w:t>
      </w:r>
      <w:r>
        <w:rPr>
          <w:rFonts w:hint="eastAsia" w:hAnsi="仿宋_GB2312" w:cs="仿宋_GB2312"/>
          <w:szCs w:val="24"/>
          <w:highlight w:val="none"/>
          <w:lang w:eastAsia="zh-CN" w:bidi="ar"/>
        </w:rPr>
        <w:t>丰富</w:t>
      </w:r>
      <w:r>
        <w:rPr>
          <w:rFonts w:hint="eastAsia" w:hAnsi="仿宋_GB2312" w:cs="仿宋_GB2312"/>
          <w:szCs w:val="24"/>
          <w:highlight w:val="none"/>
          <w:lang w:bidi="ar"/>
        </w:rPr>
        <w:t>绿地的生物多样性和文化内涵，提升绿化质量。镇区规划绿地与开敞空间用地0.34公顷，规划至2035年，镇区人均公园绿地面积1.14平方米。</w:t>
      </w:r>
    </w:p>
    <w:p w14:paraId="788EFD12">
      <w:pPr>
        <w:pStyle w:val="3"/>
        <w:numPr>
          <w:ilvl w:val="1"/>
          <w:numId w:val="14"/>
        </w:numPr>
        <w:tabs>
          <w:tab w:val="left" w:pos="353"/>
        </w:tabs>
        <w:spacing w:before="260" w:after="260" w:line="416" w:lineRule="auto"/>
        <w:rPr>
          <w:highlight w:val="none"/>
          <w:lang w:val="zh-CN"/>
        </w:rPr>
      </w:pPr>
      <w:bookmarkStart w:id="263" w:name="_Toc198237398"/>
      <w:bookmarkStart w:id="264" w:name="_Toc198237531"/>
      <w:bookmarkStart w:id="265" w:name="_Toc10583"/>
      <w:bookmarkStart w:id="266" w:name="_Toc17158"/>
      <w:bookmarkStart w:id="267" w:name="_Toc18297"/>
      <w:r>
        <w:rPr>
          <w:rFonts w:hint="eastAsia"/>
          <w:highlight w:val="none"/>
          <w:lang w:val="zh-CN"/>
        </w:rPr>
        <w:t>综合交通体系</w:t>
      </w:r>
      <w:bookmarkEnd w:id="263"/>
      <w:bookmarkEnd w:id="264"/>
      <w:bookmarkEnd w:id="265"/>
      <w:bookmarkEnd w:id="266"/>
      <w:bookmarkEnd w:id="267"/>
    </w:p>
    <w:p w14:paraId="208F9706">
      <w:pPr>
        <w:pStyle w:val="60"/>
        <w:ind w:left="0" w:firstLine="640" w:firstLineChars="200"/>
        <w:rPr>
          <w:rFonts w:hint="eastAsia" w:hAnsi="Times New Roman" w:cs="Times New Roman"/>
          <w:highlight w:val="none"/>
        </w:rPr>
      </w:pPr>
      <w:bookmarkStart w:id="268" w:name="_Toc198237399"/>
      <w:r>
        <w:rPr>
          <w:rFonts w:hint="eastAsia" w:hAnsi="Times New Roman" w:cs="Times New Roman"/>
          <w:highlight w:val="none"/>
        </w:rPr>
        <w:t>强化对外交通衔接</w:t>
      </w:r>
      <w:bookmarkEnd w:id="268"/>
    </w:p>
    <w:p w14:paraId="3FA181D8">
      <w:pPr>
        <w:pStyle w:val="15"/>
        <w:ind w:firstLine="640"/>
        <w:rPr>
          <w:rFonts w:hAnsi="仿宋_GB2312" w:cs="仿宋_GB2312"/>
          <w:szCs w:val="24"/>
          <w:highlight w:val="none"/>
          <w:lang w:bidi="ar"/>
        </w:rPr>
      </w:pPr>
      <w:r>
        <w:rPr>
          <w:rFonts w:hint="eastAsia" w:hAnsi="仿宋_GB2312" w:cs="仿宋_GB2312"/>
          <w:szCs w:val="24"/>
          <w:highlight w:val="none"/>
          <w:lang w:bidi="ar"/>
        </w:rPr>
        <w:t>内外交通有序衔接，融入区域快速路网，充分发挥江西沟镇紧邻青海湖景区的区位优势，统筹各种交通方式及与其他区域、城市之间的协调发展。依托青海湖旅游专线与周边区域联系。拟建西宁至茶卡城际铁路青海湖站位于镇区东部，规划在镇区和铁路车站之间建设连接公路，构建对外铁路交通，主动融入区域铁路网。</w:t>
      </w:r>
    </w:p>
    <w:p w14:paraId="31FF0BF1">
      <w:pPr>
        <w:pStyle w:val="60"/>
        <w:ind w:left="0" w:firstLine="640" w:firstLineChars="200"/>
        <w:rPr>
          <w:rFonts w:hint="eastAsia" w:hAnsi="Times New Roman" w:cs="Times New Roman"/>
          <w:highlight w:val="none"/>
        </w:rPr>
      </w:pPr>
      <w:bookmarkStart w:id="269" w:name="_Toc198237400"/>
      <w:r>
        <w:rPr>
          <w:rFonts w:hint="eastAsia" w:hAnsi="Times New Roman" w:cs="Times New Roman"/>
          <w:highlight w:val="none"/>
        </w:rPr>
        <w:t>完善镇区道路系统</w:t>
      </w:r>
      <w:bookmarkEnd w:id="269"/>
    </w:p>
    <w:p w14:paraId="7D2CAABA">
      <w:pPr>
        <w:pStyle w:val="15"/>
        <w:ind w:firstLine="640"/>
        <w:rPr>
          <w:rFonts w:hint="default" w:ascii="仿宋_GB2312" w:hAnsi="仿宋_GB2312" w:eastAsia="仿宋_GB2312" w:cs="仿宋_GB2312"/>
          <w:sz w:val="32"/>
          <w:szCs w:val="32"/>
          <w:highlight w:val="none"/>
          <w:lang w:val="en-US" w:eastAsia="zh-CN"/>
        </w:rPr>
      </w:pPr>
      <w:r>
        <w:rPr>
          <w:rFonts w:hint="eastAsia" w:ascii="楷体_GB2312" w:hAnsi="仿宋_GB2312" w:eastAsia="楷体_GB2312" w:cs="仿宋_GB2312"/>
          <w:szCs w:val="24"/>
          <w:highlight w:val="none"/>
          <w:lang w:bidi="ar"/>
        </w:rPr>
        <w:t>构建干支协同、布局合理的城镇道路系统。</w:t>
      </w:r>
      <w:r>
        <w:rPr>
          <w:rFonts w:hint="eastAsia" w:hAnsi="仿宋_GB2312" w:cs="仿宋_GB2312"/>
          <w:szCs w:val="24"/>
          <w:highlight w:val="none"/>
          <w:lang w:bidi="ar"/>
        </w:rPr>
        <w:t>规划镇区道路网络包括主干路、次干路、支路三个等级，</w:t>
      </w:r>
      <w:r>
        <w:rPr>
          <w:rFonts w:hint="eastAsia" w:hAnsi="仿宋_GB2312" w:cs="仿宋_GB2312"/>
          <w:szCs w:val="24"/>
          <w:highlight w:val="none"/>
          <w:lang w:val="en-US" w:eastAsia="zh-CN" w:bidi="ar"/>
        </w:rPr>
        <w:t>青海湖旅游公路和</w:t>
      </w:r>
      <w:r>
        <w:rPr>
          <w:rFonts w:hint="eastAsia" w:hAnsi="仿宋_GB2312" w:cs="仿宋_GB2312"/>
          <w:sz w:val="32"/>
          <w:szCs w:val="32"/>
          <w:highlight w:val="none"/>
          <w:lang w:val="en-US" w:eastAsia="zh-CN"/>
        </w:rPr>
        <w:t>大江路</w:t>
      </w:r>
      <w:r>
        <w:rPr>
          <w:rFonts w:hint="eastAsia" w:ascii="仿宋_GB2312" w:hAnsi="仿宋_GB2312" w:eastAsia="仿宋_GB2312" w:cs="仿宋_GB2312"/>
          <w:sz w:val="32"/>
          <w:szCs w:val="32"/>
          <w:highlight w:val="none"/>
          <w:lang w:val="zh-CN"/>
        </w:rPr>
        <w:t>为集镇主要的对外交通道路，</w:t>
      </w:r>
      <w:r>
        <w:rPr>
          <w:rFonts w:hint="eastAsia" w:hAnsi="仿宋_GB2312" w:cs="仿宋_GB2312"/>
          <w:sz w:val="32"/>
          <w:szCs w:val="32"/>
          <w:highlight w:val="none"/>
          <w:lang w:val="en-US" w:eastAsia="zh-CN"/>
        </w:rPr>
        <w:t>次干路主要为规划的内环路和外环路。</w:t>
      </w:r>
      <w:r>
        <w:rPr>
          <w:rFonts w:hint="eastAsia" w:ascii="仿宋_GB2312" w:hAnsi="仿宋_GB2312" w:eastAsia="仿宋_GB2312" w:cs="仿宋_GB2312"/>
          <w:sz w:val="32"/>
          <w:szCs w:val="32"/>
          <w:highlight w:val="none"/>
          <w:lang w:val="zh-CN"/>
        </w:rPr>
        <w:t>支路主要</w:t>
      </w:r>
      <w:r>
        <w:rPr>
          <w:rFonts w:hint="eastAsia" w:hAnsi="仿宋_GB2312" w:cs="仿宋_GB2312"/>
          <w:sz w:val="32"/>
          <w:szCs w:val="32"/>
          <w:highlight w:val="none"/>
          <w:lang w:val="en-US" w:eastAsia="zh-CN"/>
        </w:rPr>
        <w:t>连接主次干路。</w:t>
      </w:r>
    </w:p>
    <w:p w14:paraId="0266E693">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合理控制道路红线宽度。</w:t>
      </w:r>
      <w:r>
        <w:rPr>
          <w:rFonts w:hint="eastAsia" w:hAnsi="仿宋_GB2312" w:cs="仿宋_GB2312"/>
          <w:szCs w:val="24"/>
          <w:highlight w:val="none"/>
          <w:lang w:bidi="ar"/>
        </w:rPr>
        <w:t>节约用地，打造尺度宜居的街道空间，主干路红线宽度控制在30米，次干路为20-24米，支路为12米和16米。</w:t>
      </w:r>
    </w:p>
    <w:p w14:paraId="40A834CC">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科学配置道路横断面空间。</w:t>
      </w:r>
      <w:r>
        <w:rPr>
          <w:rFonts w:hint="eastAsia" w:hAnsi="仿宋_GB2312" w:cs="仿宋_GB2312"/>
          <w:szCs w:val="24"/>
          <w:highlight w:val="none"/>
          <w:lang w:bidi="ar"/>
        </w:rPr>
        <w:t>根据道路等级功能，合理配置人行道、非机动车道、机动车道、道路绿化及附属设施空间，主干路以单幅路、三幅路为主，次干路以单幅路为主，营造友好慢行环境。</w:t>
      </w:r>
    </w:p>
    <w:p w14:paraId="0FFE5413">
      <w:pPr>
        <w:pStyle w:val="60"/>
        <w:ind w:left="0" w:firstLine="640" w:firstLineChars="200"/>
        <w:rPr>
          <w:rFonts w:hint="eastAsia" w:hAnsi="Times New Roman" w:cs="Times New Roman"/>
          <w:highlight w:val="none"/>
        </w:rPr>
      </w:pPr>
      <w:bookmarkStart w:id="270" w:name="_Toc198237401"/>
      <w:r>
        <w:rPr>
          <w:rFonts w:hint="eastAsia" w:hAnsi="Times New Roman" w:cs="Times New Roman"/>
          <w:highlight w:val="none"/>
        </w:rPr>
        <w:t>优化公共交通布局</w:t>
      </w:r>
      <w:bookmarkEnd w:id="270"/>
    </w:p>
    <w:p w14:paraId="2AEC1ED7">
      <w:pPr>
        <w:pStyle w:val="15"/>
        <w:ind w:firstLine="640"/>
        <w:rPr>
          <w:rFonts w:hAnsi="仿宋_GB2312" w:cs="仿宋_GB2312"/>
          <w:szCs w:val="24"/>
          <w:highlight w:val="none"/>
          <w:lang w:bidi="ar"/>
        </w:rPr>
      </w:pPr>
      <w:r>
        <w:rPr>
          <w:rFonts w:hint="eastAsia" w:hAnsi="仿宋_GB2312" w:cs="仿宋_GB2312"/>
          <w:szCs w:val="24"/>
          <w:highlight w:val="none"/>
          <w:lang w:bidi="ar"/>
        </w:rPr>
        <w:t>提升城乡公交线网覆盖水平。以打造快捷舒适的公众出行体系为目标，适当提升公交骨干线路密度与线路重复系数，形成若干公交换乘枢纽站点。围绕公交枢纽延伸支线公路或接驳公交，形成功能清晰、衔接有序、覆盖全面的公共交通线网。</w:t>
      </w:r>
    </w:p>
    <w:p w14:paraId="3F67F1F3">
      <w:pPr>
        <w:pStyle w:val="15"/>
        <w:ind w:firstLine="640"/>
        <w:rPr>
          <w:rFonts w:hAnsi="仿宋_GB2312" w:cs="仿宋_GB2312"/>
          <w:szCs w:val="24"/>
          <w:highlight w:val="none"/>
          <w:lang w:bidi="ar"/>
        </w:rPr>
      </w:pPr>
      <w:r>
        <w:rPr>
          <w:rFonts w:hint="eastAsia" w:hAnsi="仿宋_GB2312" w:cs="仿宋_GB2312"/>
          <w:szCs w:val="24"/>
          <w:highlight w:val="none"/>
          <w:lang w:bidi="ar"/>
        </w:rPr>
        <w:t>江西沟镇规划客运站1处，占地面积0.2公顷，位于镇区北部。提升基础设施规范化水平，提升旅客服务体验感，鼓励新建的公交场站设施与公园、广场、商业综合体、其他市政配套设施等用地混合开发、—体化建设。</w:t>
      </w:r>
    </w:p>
    <w:p w14:paraId="11B9DAEF">
      <w:pPr>
        <w:pStyle w:val="60"/>
        <w:ind w:left="0" w:firstLine="640" w:firstLineChars="200"/>
        <w:rPr>
          <w:rFonts w:hint="eastAsia" w:hAnsi="Times New Roman" w:cs="Times New Roman"/>
          <w:highlight w:val="none"/>
        </w:rPr>
      </w:pPr>
      <w:bookmarkStart w:id="271" w:name="_Toc198237402"/>
      <w:r>
        <w:rPr>
          <w:rFonts w:hint="eastAsia" w:hAnsi="Times New Roman" w:cs="Times New Roman"/>
          <w:highlight w:val="none"/>
        </w:rPr>
        <w:t>完善停车设施</w:t>
      </w:r>
      <w:bookmarkEnd w:id="271"/>
    </w:p>
    <w:p w14:paraId="2210CCA1">
      <w:pPr>
        <w:pStyle w:val="15"/>
        <w:ind w:firstLine="640"/>
        <w:rPr>
          <w:rFonts w:hAnsi="仿宋_GB2312" w:cs="仿宋_GB2312"/>
          <w:szCs w:val="24"/>
          <w:highlight w:val="none"/>
          <w:lang w:bidi="ar"/>
        </w:rPr>
      </w:pPr>
      <w:r>
        <w:rPr>
          <w:rFonts w:hint="eastAsia" w:hAnsi="仿宋_GB2312" w:cs="仿宋_GB2312"/>
          <w:szCs w:val="24"/>
          <w:highlight w:val="none"/>
          <w:lang w:bidi="ar"/>
        </w:rPr>
        <w:t>打造供需平衡的公共停车设施体系。充分考虑江西沟镇镇区在旅游高峰期间的停车需求，结合商业商务、休闲娱乐、旅游中心等公共服务设施，合理布局公共停车设施。规划在镇区新增公共停车场1处，面积约1.44公顷，预计可提供公共停车泊位约300个。同时考虑过境车辆日常需求，在镇区主要道路沿街设置路内停车位。规划</w:t>
      </w:r>
      <w:r>
        <w:rPr>
          <w:rFonts w:hAnsi="仿宋_GB2312" w:cs="仿宋_GB2312"/>
          <w:szCs w:val="24"/>
          <w:highlight w:val="none"/>
          <w:lang w:bidi="ar"/>
        </w:rPr>
        <w:t>公共机构新建和既有停车场建设充电设施或预留安装条件的停车位比例不低于10%</w:t>
      </w:r>
      <w:r>
        <w:rPr>
          <w:rFonts w:hint="eastAsia" w:hAnsi="仿宋_GB2312" w:cs="仿宋_GB2312"/>
          <w:szCs w:val="24"/>
          <w:highlight w:val="none"/>
          <w:lang w:bidi="ar"/>
        </w:rPr>
        <w:t>。</w:t>
      </w:r>
    </w:p>
    <w:p w14:paraId="7987131A">
      <w:pPr>
        <w:pStyle w:val="15"/>
        <w:ind w:firstLine="640"/>
        <w:rPr>
          <w:rFonts w:hAnsi="仿宋_GB2312" w:cs="仿宋_GB2312"/>
          <w:szCs w:val="24"/>
          <w:highlight w:val="none"/>
          <w:lang w:bidi="ar"/>
        </w:rPr>
      </w:pPr>
      <w:r>
        <w:rPr>
          <w:rFonts w:hAnsi="仿宋_GB2312" w:cs="仿宋_GB2312"/>
          <w:szCs w:val="24"/>
          <w:highlight w:val="none"/>
          <w:lang w:bidi="ar"/>
        </w:rPr>
        <w:t>完善建筑物配建停车设施标准，按照“大类+小类”的分类指导模式，根据建筑物功能、特征划分，合理制定配建标准。对于大型设施、综合体等功能混合的建筑物，根据停车设施产权、共享等要求，合理确定配建标准</w:t>
      </w:r>
      <w:r>
        <w:rPr>
          <w:rFonts w:hint="eastAsia" w:hAnsi="仿宋_GB2312" w:cs="仿宋_GB2312"/>
          <w:szCs w:val="24"/>
          <w:highlight w:val="none"/>
          <w:lang w:bidi="ar"/>
        </w:rPr>
        <w:t>。</w:t>
      </w:r>
    </w:p>
    <w:p w14:paraId="4DF4CBBF">
      <w:pPr>
        <w:pStyle w:val="3"/>
        <w:numPr>
          <w:ilvl w:val="1"/>
          <w:numId w:val="14"/>
        </w:numPr>
        <w:tabs>
          <w:tab w:val="left" w:pos="353"/>
        </w:tabs>
        <w:spacing w:before="260" w:after="260" w:line="416" w:lineRule="auto"/>
        <w:rPr>
          <w:highlight w:val="none"/>
          <w:lang w:val="zh-CN"/>
        </w:rPr>
      </w:pPr>
      <w:bookmarkStart w:id="272" w:name="_Toc198237532"/>
      <w:bookmarkStart w:id="273" w:name="_Toc31440"/>
      <w:bookmarkStart w:id="274" w:name="_Toc13398"/>
      <w:bookmarkStart w:id="275" w:name="_Toc198237403"/>
      <w:bookmarkStart w:id="276" w:name="_Toc3330"/>
      <w:r>
        <w:rPr>
          <w:rFonts w:hint="eastAsia"/>
          <w:highlight w:val="none"/>
          <w:lang w:val="zh-CN"/>
        </w:rPr>
        <w:t>市政基础设施布局</w:t>
      </w:r>
      <w:bookmarkEnd w:id="272"/>
      <w:bookmarkEnd w:id="273"/>
      <w:bookmarkEnd w:id="274"/>
      <w:bookmarkEnd w:id="275"/>
      <w:bookmarkEnd w:id="276"/>
    </w:p>
    <w:p w14:paraId="43394F9A">
      <w:pPr>
        <w:pStyle w:val="60"/>
        <w:ind w:left="0" w:firstLine="640" w:firstLineChars="200"/>
        <w:rPr>
          <w:rFonts w:hint="eastAsia" w:hAnsi="Times New Roman" w:cs="Times New Roman"/>
          <w:highlight w:val="none"/>
        </w:rPr>
      </w:pPr>
      <w:bookmarkStart w:id="277" w:name="_Toc198237404"/>
      <w:r>
        <w:rPr>
          <w:rFonts w:hint="eastAsia" w:hAnsi="Times New Roman" w:cs="Times New Roman"/>
          <w:highlight w:val="none"/>
        </w:rPr>
        <w:t>给水工程</w:t>
      </w:r>
      <w:bookmarkEnd w:id="277"/>
    </w:p>
    <w:p w14:paraId="08AFB265">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val="en-US" w:eastAsia="zh-CN" w:bidi="ar"/>
        </w:rPr>
        <w:t>水源及供水方式。</w:t>
      </w:r>
      <w:r>
        <w:rPr>
          <w:rFonts w:hint="eastAsia" w:hAnsi="仿宋_GB2312" w:cs="仿宋_GB2312"/>
          <w:szCs w:val="24"/>
          <w:highlight w:val="none"/>
          <w:lang w:bidi="ar"/>
        </w:rPr>
        <w:t>规划期末镇区日用水量约2080立方米/日。水源以现状地表水和地下水联合调度供给，远期采用布哈河引水、廿地沟水库，推进环湖五镇供水、廿地沟水库引水等骨干工程，建立稳定可靠、配置高效的水资源配置体系，提高乡村供水保障能力。</w:t>
      </w:r>
    </w:p>
    <w:p w14:paraId="575B924C">
      <w:pPr>
        <w:pStyle w:val="15"/>
        <w:ind w:firstLine="640"/>
        <w:rPr>
          <w:rFonts w:hint="eastAsia" w:hAnsi="仿宋_GB2312" w:cs="仿宋_GB2312"/>
          <w:szCs w:val="24"/>
          <w:highlight w:val="none"/>
          <w:lang w:bidi="ar"/>
        </w:rPr>
      </w:pPr>
      <w:r>
        <w:rPr>
          <w:rFonts w:hint="eastAsia" w:ascii="楷体_GB2312" w:hAnsi="仿宋_GB2312" w:eastAsia="楷体_GB2312" w:cs="仿宋_GB2312"/>
          <w:szCs w:val="24"/>
          <w:highlight w:val="none"/>
          <w:lang w:val="en-US" w:eastAsia="zh-CN" w:bidi="ar"/>
        </w:rPr>
        <w:t>给水管网。</w:t>
      </w:r>
      <w:r>
        <w:rPr>
          <w:rFonts w:hint="eastAsia" w:hAnsi="仿宋_GB2312" w:cs="仿宋_GB2312"/>
          <w:szCs w:val="24"/>
          <w:highlight w:val="none"/>
          <w:lang w:bidi="ar"/>
        </w:rPr>
        <w:t>镇区供水管网布置以环状为主，枝状为辅，形成环状和枝状相结合的供水系统，以保障水压稳定。规划沿主要路铺设给水管道。</w:t>
      </w:r>
    </w:p>
    <w:p w14:paraId="76B20641">
      <w:pPr>
        <w:pStyle w:val="15"/>
        <w:ind w:firstLine="640"/>
        <w:rPr>
          <w:rFonts w:hint="eastAsia" w:hAnsi="仿宋_GB2312" w:cs="仿宋_GB2312"/>
          <w:szCs w:val="24"/>
          <w:highlight w:val="none"/>
          <w:lang w:bidi="ar"/>
        </w:rPr>
      </w:pPr>
      <w:r>
        <w:rPr>
          <w:rFonts w:hint="eastAsia" w:ascii="楷体_GB2312" w:hAnsi="仿宋_GB2312" w:eastAsia="楷体_GB2312" w:cs="仿宋_GB2312"/>
          <w:szCs w:val="24"/>
          <w:highlight w:val="none"/>
          <w:lang w:val="en-US" w:eastAsia="zh-CN" w:bidi="ar"/>
        </w:rPr>
        <w:t>水质标准。</w:t>
      </w:r>
      <w:r>
        <w:rPr>
          <w:rFonts w:hint="eastAsia" w:hAnsi="仿宋_GB2312" w:cs="仿宋_GB2312"/>
          <w:szCs w:val="24"/>
          <w:highlight w:val="none"/>
          <w:lang w:bidi="ar"/>
        </w:rPr>
        <w:t>通过建立水源保护区，制定水源地保护区污染治理管理办法，建立水源地保护区监督管理机制，建立水源地监测预警系统，建立健全水源地应急机制等措施，保证水源水质满足《生活饮用水卫生标准（GB5749-2022）》要求。</w:t>
      </w:r>
    </w:p>
    <w:p w14:paraId="6F0863FE">
      <w:pPr>
        <w:pStyle w:val="60"/>
        <w:ind w:left="0" w:firstLine="640" w:firstLineChars="200"/>
        <w:rPr>
          <w:rFonts w:hint="eastAsia" w:hAnsi="Times New Roman" w:cs="Times New Roman"/>
          <w:highlight w:val="none"/>
        </w:rPr>
      </w:pPr>
      <w:bookmarkStart w:id="278" w:name="_Toc198237405"/>
      <w:r>
        <w:rPr>
          <w:rFonts w:hint="eastAsia" w:hAnsi="Times New Roman" w:cs="Times New Roman"/>
          <w:highlight w:val="none"/>
        </w:rPr>
        <w:t>排水工程</w:t>
      </w:r>
      <w:bookmarkEnd w:id="278"/>
    </w:p>
    <w:p w14:paraId="2FF1072D">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val="en-US" w:eastAsia="zh-CN" w:bidi="ar"/>
        </w:rPr>
        <w:t>排水体制。</w:t>
      </w:r>
      <w:r>
        <w:rPr>
          <w:rFonts w:hint="eastAsia" w:hAnsi="仿宋_GB2312" w:cs="仿宋_GB2312"/>
          <w:szCs w:val="24"/>
          <w:highlight w:val="none"/>
          <w:lang w:bidi="ar"/>
        </w:rPr>
        <w:t>镇区采用雨、污分流制排水体制。雨水就近排入河流水体，污水经污水管网系统收集处理后送入污水处理厂处理。</w:t>
      </w:r>
    </w:p>
    <w:p w14:paraId="4CAD2595">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val="en-US" w:eastAsia="zh-CN" w:bidi="ar"/>
        </w:rPr>
        <w:t>雨水排除规划。</w:t>
      </w:r>
      <w:r>
        <w:rPr>
          <w:rFonts w:hint="eastAsia" w:hAnsi="仿宋_GB2312" w:cs="仿宋_GB2312"/>
          <w:szCs w:val="24"/>
          <w:highlight w:val="none"/>
          <w:lang w:bidi="ar"/>
        </w:rPr>
        <w:t>雨水采用重力自流的排放方式。依据雨水排放原则，就近排入规划水体或市政雨水系统中，以缩短排水距离，减小雨水管渠断面及埋深。</w:t>
      </w:r>
    </w:p>
    <w:p w14:paraId="2987B5F9">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val="en-US" w:eastAsia="zh-CN" w:bidi="ar"/>
        </w:rPr>
        <w:t>污水排除规划。</w:t>
      </w:r>
      <w:r>
        <w:rPr>
          <w:rFonts w:hint="eastAsia" w:hAnsi="仿宋_GB2312" w:cs="仿宋_GB2312"/>
          <w:szCs w:val="24"/>
          <w:highlight w:val="none"/>
          <w:lang w:bidi="ar"/>
        </w:rPr>
        <w:t>根据《城市排水工程规划规范》</w:t>
      </w:r>
      <w:r>
        <w:rPr>
          <w:highlight w:val="none"/>
        </w:rPr>
        <w:fldChar w:fldCharType="begin"/>
      </w:r>
      <w:r>
        <w:rPr>
          <w:highlight w:val="none"/>
        </w:rPr>
        <w:instrText xml:space="preserve"> HYPERLINK "http://www.baidu.com/link?url=EPybdWIuFoeqa5NK9T0PAJkuh_NpRv2spYuG6Uhnuu4yjmvkt9uxv06JWdXZ2ZGr6jNkT7oU14enqsKS5cbOU_" \t "https://www.baidu.com/_blank" </w:instrText>
      </w:r>
      <w:r>
        <w:rPr>
          <w:highlight w:val="none"/>
        </w:rPr>
        <w:fldChar w:fldCharType="separate"/>
      </w:r>
      <w:r>
        <w:rPr>
          <w:rFonts w:hint="eastAsia" w:hAnsi="仿宋_GB2312" w:cs="仿宋_GB2312"/>
          <w:szCs w:val="24"/>
          <w:highlight w:val="none"/>
          <w:lang w:bidi="ar"/>
        </w:rPr>
        <w:t>（</w:t>
      </w:r>
      <w:r>
        <w:rPr>
          <w:rFonts w:hAnsi="仿宋_GB2312" w:cs="仿宋_GB2312"/>
          <w:szCs w:val="24"/>
          <w:highlight w:val="none"/>
          <w:lang w:bidi="ar"/>
        </w:rPr>
        <w:t>GB50318-2017</w:t>
      </w:r>
      <w:r>
        <w:rPr>
          <w:rFonts w:hAnsi="仿宋_GB2312" w:cs="仿宋_GB2312"/>
          <w:szCs w:val="24"/>
          <w:highlight w:val="none"/>
          <w:lang w:bidi="ar"/>
        </w:rPr>
        <w:fldChar w:fldCharType="end"/>
      </w:r>
      <w:r>
        <w:rPr>
          <w:rFonts w:hint="eastAsia" w:hAnsi="仿宋_GB2312" w:cs="仿宋_GB2312"/>
          <w:szCs w:val="24"/>
          <w:highlight w:val="none"/>
          <w:lang w:bidi="ar"/>
        </w:rPr>
        <w:t>），城市综合污水量按照总用水量的80%计算。规划期末镇区污水量为1600立方米/天。镇区西北部已建一处污水处理厂，占地 0.60公顷，处理规模为2000立方米/天。污水管道系统布置按照地形趋势和道路坡度，采用重力流形式排放。污水管道沿主要道路敷设。</w:t>
      </w:r>
    </w:p>
    <w:p w14:paraId="565CDA10">
      <w:pPr>
        <w:pStyle w:val="60"/>
        <w:ind w:left="0" w:firstLine="640" w:firstLineChars="200"/>
        <w:rPr>
          <w:rFonts w:hint="eastAsia" w:hAnsi="Times New Roman" w:cs="Times New Roman"/>
          <w:highlight w:val="none"/>
        </w:rPr>
      </w:pPr>
      <w:bookmarkStart w:id="279" w:name="_Toc198237406"/>
      <w:r>
        <w:rPr>
          <w:rFonts w:hint="eastAsia" w:hAnsi="Times New Roman" w:cs="Times New Roman"/>
          <w:highlight w:val="none"/>
        </w:rPr>
        <w:t>电力工程</w:t>
      </w:r>
      <w:bookmarkEnd w:id="279"/>
    </w:p>
    <w:p w14:paraId="2C9DF45D">
      <w:pPr>
        <w:pStyle w:val="15"/>
        <w:ind w:firstLine="640"/>
        <w:rPr>
          <w:rFonts w:hint="eastAsia" w:hAnsi="仿宋_GB2312" w:cs="仿宋_GB2312"/>
          <w:szCs w:val="24"/>
          <w:highlight w:val="none"/>
          <w:lang w:bidi="ar"/>
        </w:rPr>
      </w:pPr>
      <w:r>
        <w:rPr>
          <w:rFonts w:hint="eastAsia" w:ascii="楷体_GB2312" w:hAnsi="仿宋_GB2312" w:eastAsia="楷体_GB2312" w:cs="仿宋_GB2312"/>
          <w:szCs w:val="24"/>
          <w:highlight w:val="none"/>
          <w:lang w:val="en-US" w:eastAsia="zh-CN" w:bidi="ar"/>
        </w:rPr>
        <w:t>用电负荷。</w:t>
      </w:r>
      <w:r>
        <w:rPr>
          <w:rFonts w:hint="eastAsia" w:hAnsi="仿宋_GB2312" w:cs="仿宋_GB2312"/>
          <w:szCs w:val="24"/>
          <w:highlight w:val="none"/>
          <w:lang w:bidi="ar"/>
        </w:rPr>
        <w:t>规划期末镇区综合用电负荷为1600万千瓦时，</w:t>
      </w:r>
    </w:p>
    <w:p w14:paraId="35142678">
      <w:pPr>
        <w:pStyle w:val="15"/>
        <w:keepNext w:val="0"/>
        <w:keepLines w:val="0"/>
        <w:pageBreakBefore w:val="0"/>
        <w:widowControl w:val="0"/>
        <w:kinsoku/>
        <w:wordWrap/>
        <w:overflowPunct/>
        <w:topLinePunct w:val="0"/>
        <w:autoSpaceDE/>
        <w:autoSpaceDN/>
        <w:bidi w:val="0"/>
        <w:adjustRightInd/>
        <w:snapToGrid/>
        <w:ind w:firstLine="640"/>
        <w:textAlignment w:val="auto"/>
        <w:rPr>
          <w:rFonts w:hint="eastAsia" w:hAnsi="仿宋_GB2312" w:cs="仿宋_GB2312"/>
          <w:szCs w:val="24"/>
          <w:highlight w:val="none"/>
          <w:lang w:bidi="ar"/>
        </w:rPr>
      </w:pPr>
      <w:r>
        <w:rPr>
          <w:rFonts w:hint="eastAsia" w:ascii="楷体_GB2312" w:hAnsi="仿宋_GB2312" w:eastAsia="楷体_GB2312" w:cs="仿宋_GB2312"/>
          <w:szCs w:val="24"/>
          <w:highlight w:val="none"/>
          <w:lang w:val="en-US" w:eastAsia="zh-CN" w:bidi="ar"/>
        </w:rPr>
        <w:t>电源。</w:t>
      </w:r>
      <w:r>
        <w:rPr>
          <w:rFonts w:hint="eastAsia" w:hAnsi="仿宋_GB2312" w:cs="仿宋_GB2312"/>
          <w:szCs w:val="24"/>
          <w:highlight w:val="none"/>
          <w:lang w:bidi="ar"/>
        </w:rPr>
        <w:t>电源来自江西沟35千伏变电站。规划将变电站扩容改建，提升为110千伏变电站，用地面积0.58公顷。</w:t>
      </w:r>
    </w:p>
    <w:p w14:paraId="43267207">
      <w:pPr>
        <w:pStyle w:val="15"/>
        <w:keepNext w:val="0"/>
        <w:keepLines w:val="0"/>
        <w:pageBreakBefore w:val="0"/>
        <w:widowControl w:val="0"/>
        <w:kinsoku/>
        <w:wordWrap/>
        <w:overflowPunct/>
        <w:topLinePunct w:val="0"/>
        <w:autoSpaceDE/>
        <w:autoSpaceDN/>
        <w:bidi w:val="0"/>
        <w:adjustRightInd/>
        <w:snapToGrid/>
        <w:ind w:firstLine="640"/>
        <w:textAlignment w:val="auto"/>
        <w:rPr>
          <w:rFonts w:hAnsi="仿宋_GB2312" w:cs="仿宋_GB2312"/>
          <w:szCs w:val="24"/>
          <w:highlight w:val="none"/>
          <w:lang w:bidi="ar"/>
        </w:rPr>
      </w:pPr>
      <w:r>
        <w:rPr>
          <w:rFonts w:hint="eastAsia" w:ascii="楷体_GB2312" w:hAnsi="仿宋_GB2312" w:eastAsia="楷体_GB2312" w:cs="仿宋_GB2312"/>
          <w:szCs w:val="24"/>
          <w:highlight w:val="none"/>
          <w:lang w:val="en-US" w:eastAsia="zh-CN" w:bidi="ar"/>
        </w:rPr>
        <w:t>供电管网。</w:t>
      </w:r>
      <w:r>
        <w:rPr>
          <w:rFonts w:hint="eastAsia" w:hAnsi="仿宋_GB2312" w:cs="仿宋_GB2312"/>
          <w:szCs w:val="24"/>
          <w:highlight w:val="none"/>
          <w:lang w:val="en-US" w:eastAsia="zh-CN" w:bidi="ar"/>
        </w:rPr>
        <w:t>电力线路采用架空线路形式敷设，满足现状变电站改扩建及高压走廊用地需求，110千伏线路高压线走廊宽度15-25米；35千伏线路高压线走廊宽度15-20米。</w:t>
      </w:r>
    </w:p>
    <w:p w14:paraId="34F144B2">
      <w:pPr>
        <w:pStyle w:val="60"/>
        <w:ind w:left="0" w:firstLine="640" w:firstLineChars="200"/>
        <w:rPr>
          <w:rFonts w:hint="eastAsia" w:hAnsi="Times New Roman" w:cs="Times New Roman"/>
          <w:highlight w:val="none"/>
        </w:rPr>
      </w:pPr>
      <w:bookmarkStart w:id="280" w:name="_Toc198237407"/>
      <w:r>
        <w:rPr>
          <w:rFonts w:hint="eastAsia" w:hAnsi="Times New Roman" w:cs="Times New Roman"/>
          <w:highlight w:val="none"/>
        </w:rPr>
        <w:t>燃气工程</w:t>
      </w:r>
      <w:bookmarkEnd w:id="280"/>
    </w:p>
    <w:p w14:paraId="26E52573">
      <w:pPr>
        <w:pStyle w:val="15"/>
        <w:ind w:firstLine="640"/>
        <w:rPr>
          <w:rFonts w:hAnsi="仿宋_GB2312" w:cs="仿宋_GB2312"/>
          <w:szCs w:val="24"/>
          <w:highlight w:val="none"/>
          <w:lang w:bidi="ar"/>
        </w:rPr>
      </w:pPr>
      <w:r>
        <w:rPr>
          <w:rFonts w:hint="eastAsia" w:hAnsi="仿宋_GB2312" w:cs="仿宋_GB2312"/>
          <w:szCs w:val="24"/>
          <w:highlight w:val="none"/>
          <w:lang w:bidi="ar"/>
        </w:rPr>
        <w:t>规划期末镇区燃气</w:t>
      </w:r>
      <w:r>
        <w:rPr>
          <w:rFonts w:hint="eastAsia" w:hAnsi="仿宋_GB2312" w:cs="仿宋_GB2312"/>
          <w:szCs w:val="24"/>
          <w:highlight w:val="none"/>
          <w:lang w:eastAsia="zh-CN" w:bidi="ar"/>
        </w:rPr>
        <w:t>采用</w:t>
      </w:r>
      <w:r>
        <w:rPr>
          <w:rFonts w:hint="eastAsia" w:hAnsi="仿宋_GB2312" w:cs="仿宋_GB2312"/>
          <w:szCs w:val="24"/>
          <w:highlight w:val="none"/>
          <w:lang w:bidi="ar"/>
        </w:rPr>
        <w:t>天然气，气源为“涩宁兰”输气管道输送的管道天然气。规划采用中低压两级燃气管网系统，镇区采用中压燃气干管成环布置，保障供气可靠性。</w:t>
      </w:r>
    </w:p>
    <w:p w14:paraId="3FDA7CE0">
      <w:pPr>
        <w:pStyle w:val="60"/>
        <w:ind w:left="0" w:firstLine="640" w:firstLineChars="200"/>
        <w:rPr>
          <w:rFonts w:hint="eastAsia" w:hAnsi="Times New Roman" w:cs="Times New Roman"/>
          <w:highlight w:val="none"/>
        </w:rPr>
      </w:pPr>
      <w:bookmarkStart w:id="281" w:name="_Toc198237408"/>
      <w:r>
        <w:rPr>
          <w:rFonts w:hint="eastAsia" w:hAnsi="Times New Roman" w:cs="Times New Roman"/>
          <w:highlight w:val="none"/>
        </w:rPr>
        <w:t>供热工程</w:t>
      </w:r>
      <w:bookmarkEnd w:id="281"/>
    </w:p>
    <w:p w14:paraId="3BF57DE2">
      <w:pPr>
        <w:pStyle w:val="15"/>
        <w:ind w:firstLine="640"/>
        <w:rPr>
          <w:rFonts w:hAnsi="仿宋_GB2312" w:cs="仿宋_GB2312"/>
          <w:szCs w:val="24"/>
          <w:highlight w:val="none"/>
          <w:lang w:bidi="ar"/>
        </w:rPr>
      </w:pPr>
      <w:r>
        <w:rPr>
          <w:rFonts w:hint="eastAsia" w:hAnsi="仿宋_GB2312" w:cs="仿宋_GB2312"/>
          <w:szCs w:val="24"/>
          <w:highlight w:val="none"/>
          <w:lang w:bidi="ar"/>
        </w:rPr>
        <w:t>规划近期采用分散式供暖，</w:t>
      </w:r>
      <w:r>
        <w:rPr>
          <w:rFonts w:hint="eastAsia" w:hAnsi="仿宋_GB2312" w:cs="仿宋_GB2312"/>
          <w:szCs w:val="24"/>
          <w:highlight w:val="none"/>
          <w:lang w:eastAsia="zh-CN" w:bidi="ar"/>
        </w:rPr>
        <w:t>其中</w:t>
      </w:r>
      <w:r>
        <w:rPr>
          <w:rFonts w:hint="eastAsia" w:hAnsi="仿宋_GB2312" w:cs="仿宋_GB2312"/>
          <w:szCs w:val="24"/>
          <w:highlight w:val="none"/>
          <w:lang w:bidi="ar"/>
        </w:rPr>
        <w:t>党政机关、企事业单位以燃气供热站集中供暖为主，其余用地以太阳能、壁挂锅炉和电力分户等方式供暖为主，远期全部采用集中供暖。规划期内镇区主要道路布置供热管线，建设热力、换热设备及燃气设备等附属设施。</w:t>
      </w:r>
    </w:p>
    <w:p w14:paraId="53EB1F24">
      <w:pPr>
        <w:pStyle w:val="60"/>
        <w:ind w:left="0" w:firstLine="640" w:firstLineChars="200"/>
        <w:rPr>
          <w:rFonts w:hint="eastAsia" w:hAnsi="Times New Roman" w:cs="Times New Roman"/>
          <w:highlight w:val="none"/>
        </w:rPr>
      </w:pPr>
      <w:bookmarkStart w:id="282" w:name="_Toc198237409"/>
      <w:r>
        <w:rPr>
          <w:rFonts w:hint="eastAsia"/>
          <w:highlight w:val="none"/>
        </w:rPr>
        <w:t>通信工程</w:t>
      </w:r>
      <w:bookmarkEnd w:id="282"/>
    </w:p>
    <w:p w14:paraId="7E169253">
      <w:pPr>
        <w:pStyle w:val="15"/>
        <w:ind w:firstLine="640"/>
        <w:rPr>
          <w:rFonts w:hAnsi="仿宋_GB2312" w:cs="仿宋_GB2312"/>
          <w:szCs w:val="24"/>
          <w:highlight w:val="none"/>
          <w:lang w:bidi="ar"/>
        </w:rPr>
      </w:pPr>
      <w:r>
        <w:rPr>
          <w:rFonts w:hint="eastAsia" w:hAnsi="仿宋_GB2312" w:cs="仿宋_GB2312"/>
          <w:szCs w:val="24"/>
          <w:highlight w:val="none"/>
          <w:lang w:bidi="ar"/>
        </w:rPr>
        <w:t>保障江西沟镇通信局站、邮政支局、5G基站用地，提升改建现状江西沟镇邮政所，服务全镇人口。规划提升改建现状江西沟镇邮政所，邮政所建筑面积0.029公顷。规划采用各移动通信单位共建模式，每处占地面积约为0.015—0.02公顷。镇区的有线电视建设应充分发挥、利用现有网络功能，加快用户光缆网的建设，使区内的有线电视网络逐步由目前的光纤、电缆混合网向全光纤网过渡。根据江西沟镇的发展实际，规划有线电视入户率达90％以上。</w:t>
      </w:r>
    </w:p>
    <w:p w14:paraId="42F869B9">
      <w:pPr>
        <w:pStyle w:val="60"/>
        <w:ind w:left="0" w:firstLine="640" w:firstLineChars="200"/>
        <w:rPr>
          <w:rFonts w:hint="eastAsia" w:hAnsi="Times New Roman" w:cs="Times New Roman"/>
          <w:highlight w:val="none"/>
        </w:rPr>
      </w:pPr>
      <w:bookmarkStart w:id="283" w:name="_Toc198237410"/>
      <w:r>
        <w:rPr>
          <w:rFonts w:hint="eastAsia" w:hAnsi="Times New Roman" w:cs="Times New Roman"/>
          <w:highlight w:val="none"/>
        </w:rPr>
        <w:t>环卫工程</w:t>
      </w:r>
      <w:bookmarkEnd w:id="283"/>
    </w:p>
    <w:p w14:paraId="4EFCA384">
      <w:pPr>
        <w:pStyle w:val="15"/>
        <w:ind w:firstLine="640"/>
        <w:rPr>
          <w:rFonts w:hAnsi="仿宋_GB2312" w:cs="仿宋_GB2312"/>
          <w:szCs w:val="24"/>
          <w:highlight w:val="none"/>
          <w:lang w:bidi="ar"/>
        </w:rPr>
      </w:pPr>
      <w:r>
        <w:rPr>
          <w:rFonts w:hint="eastAsia" w:hAnsi="仿宋_GB2312" w:cs="仿宋_GB2312"/>
          <w:szCs w:val="24"/>
          <w:highlight w:val="none"/>
          <w:lang w:bidi="ar"/>
        </w:rPr>
        <w:t>生活垃圾的收集采用垃圾袋装化分类收集方式，经垃圾转运站压缩处理后转运到生活垃圾填埋场处理；建筑垃圾应由部门成立专门管理小组，统一管理，统一收运利用；医院垃圾须装入医院专用的密封袋中，禁止混入生活垃圾，由环卫部门统一收集后作焚烧或消毒处理，所有垃圾采用密闭清运的运输方式。</w:t>
      </w:r>
    </w:p>
    <w:p w14:paraId="4D19D977">
      <w:pPr>
        <w:pStyle w:val="15"/>
        <w:ind w:firstLine="640"/>
        <w:rPr>
          <w:rFonts w:hAnsi="仿宋_GB2312" w:cs="仿宋_GB2312"/>
          <w:szCs w:val="24"/>
          <w:highlight w:val="none"/>
          <w:lang w:bidi="ar"/>
        </w:rPr>
      </w:pPr>
      <w:r>
        <w:rPr>
          <w:rFonts w:hint="eastAsia" w:hAnsi="仿宋_GB2312" w:cs="仿宋_GB2312"/>
          <w:szCs w:val="24"/>
          <w:highlight w:val="none"/>
          <w:lang w:bidi="ar"/>
        </w:rPr>
        <w:t>规划保留镇域现状垃圾填埋场，位于镇区南部约1.5公里处，占地面积约4.8公顷，并为未来发展预留扩建用地。镇区规划2处小型垃圾转运站，集垃圾暂存、分拣、压缩、处理、转运以及环卫车辆停放等功能于一体。</w:t>
      </w:r>
    </w:p>
    <w:p w14:paraId="73B89440">
      <w:pPr>
        <w:pStyle w:val="15"/>
        <w:ind w:firstLine="640"/>
        <w:rPr>
          <w:rFonts w:hAnsi="仿宋_GB2312" w:cs="仿宋_GB2312"/>
          <w:szCs w:val="24"/>
          <w:highlight w:val="none"/>
          <w:lang w:bidi="ar"/>
        </w:rPr>
      </w:pPr>
      <w:r>
        <w:rPr>
          <w:rFonts w:hint="eastAsia" w:hAnsi="仿宋_GB2312" w:cs="仿宋_GB2312"/>
          <w:szCs w:val="24"/>
          <w:highlight w:val="none"/>
          <w:lang w:bidi="ar"/>
        </w:rPr>
        <w:t>规划每座公共厕所占地面积不小于60平方米；附建式公厕与</w:t>
      </w:r>
      <w:r>
        <w:rPr>
          <w:rFonts w:hint="eastAsia" w:hAnsi="仿宋_GB2312" w:cs="仿宋_GB2312"/>
          <w:szCs w:val="24"/>
          <w:highlight w:val="none"/>
          <w:lang w:eastAsia="zh-CN" w:bidi="ar"/>
        </w:rPr>
        <w:t>其他建筑</w:t>
      </w:r>
      <w:r>
        <w:rPr>
          <w:rFonts w:hint="eastAsia" w:hAnsi="仿宋_GB2312" w:cs="仿宋_GB2312"/>
          <w:szCs w:val="24"/>
          <w:highlight w:val="none"/>
          <w:lang w:bidi="ar"/>
        </w:rPr>
        <w:t>合建，每座建筑面积不小于30平方米。所有公厕均按不低于二类标准建造，主要布置于交通道路两侧、社会停车场、公园绿地等处，或设置于各公共服务设施区域、加油站、公交站及大型公建内。</w:t>
      </w:r>
    </w:p>
    <w:p w14:paraId="0B1C5C48">
      <w:pPr>
        <w:pStyle w:val="3"/>
        <w:numPr>
          <w:ilvl w:val="1"/>
          <w:numId w:val="14"/>
        </w:numPr>
        <w:tabs>
          <w:tab w:val="left" w:pos="353"/>
        </w:tabs>
        <w:spacing w:before="260" w:after="260" w:line="416" w:lineRule="auto"/>
        <w:rPr>
          <w:highlight w:val="none"/>
          <w:lang w:val="zh-CN"/>
        </w:rPr>
      </w:pPr>
      <w:bookmarkStart w:id="284" w:name="_Toc198237411"/>
      <w:bookmarkStart w:id="285" w:name="_Toc30681"/>
      <w:bookmarkStart w:id="286" w:name="_Toc22288"/>
      <w:bookmarkStart w:id="287" w:name="_Toc27153"/>
      <w:bookmarkStart w:id="288" w:name="_Toc198237533"/>
      <w:r>
        <w:rPr>
          <w:rFonts w:hint="eastAsia"/>
          <w:highlight w:val="none"/>
          <w:lang w:val="zh-CN"/>
        </w:rPr>
        <w:t>综合防灾减灾</w:t>
      </w:r>
      <w:bookmarkEnd w:id="284"/>
      <w:bookmarkEnd w:id="285"/>
      <w:bookmarkEnd w:id="286"/>
      <w:bookmarkEnd w:id="287"/>
      <w:bookmarkEnd w:id="288"/>
    </w:p>
    <w:p w14:paraId="5A0CE18A">
      <w:pPr>
        <w:pStyle w:val="60"/>
        <w:ind w:left="0" w:firstLine="640" w:firstLineChars="200"/>
        <w:rPr>
          <w:rFonts w:hint="eastAsia" w:hAnsi="Times New Roman" w:cs="Times New Roman"/>
          <w:highlight w:val="none"/>
        </w:rPr>
      </w:pPr>
      <w:bookmarkStart w:id="289" w:name="_Toc198237412"/>
      <w:r>
        <w:rPr>
          <w:rFonts w:hint="eastAsia" w:hAnsi="Times New Roman" w:cs="Times New Roman"/>
          <w:highlight w:val="none"/>
        </w:rPr>
        <w:t>抗震减灾</w:t>
      </w:r>
      <w:bookmarkEnd w:id="289"/>
    </w:p>
    <w:p w14:paraId="706F18C5">
      <w:pPr>
        <w:widowControl/>
        <w:spacing w:line="600" w:lineRule="exact"/>
        <w:ind w:firstLine="641"/>
        <w:jc w:val="left"/>
        <w:rPr>
          <w:rFonts w:ascii="仿宋_GB2312" w:hAnsi="仿宋_GB2312" w:eastAsia="仿宋_GB2312" w:cs="仿宋_GB2312"/>
          <w:sz w:val="32"/>
          <w:szCs w:val="32"/>
          <w:highlight w:val="none"/>
        </w:rPr>
      </w:pPr>
      <w:bookmarkStart w:id="290" w:name="_Toc198237413"/>
      <w:r>
        <w:rPr>
          <w:rFonts w:hint="eastAsia" w:ascii="楷体_GB2312" w:hAnsi="楷体_GB2312" w:eastAsia="楷体_GB2312" w:cs="楷体_GB2312"/>
          <w:sz w:val="32"/>
          <w:szCs w:val="32"/>
          <w:highlight w:val="none"/>
          <w:lang w:val="zh-CN"/>
        </w:rPr>
        <w:t>设防标准。</w:t>
      </w:r>
      <w:r>
        <w:rPr>
          <w:rFonts w:hint="eastAsia" w:ascii="仿宋_GB2312" w:hAnsi="仿宋_GB2312" w:eastAsia="仿宋_GB2312" w:cs="仿宋_GB2312"/>
          <w:sz w:val="32"/>
          <w:szCs w:val="32"/>
          <w:highlight w:val="none"/>
          <w:u w:val="none"/>
          <w:lang w:val="en-US" w:eastAsia="zh-CN"/>
        </w:rPr>
        <w:t>江西沟镇区</w:t>
      </w:r>
      <w:r>
        <w:rPr>
          <w:rFonts w:hint="eastAsia" w:ascii="仿宋_GB2312" w:hAnsi="仿宋_GB2312" w:eastAsia="仿宋_GB2312" w:cs="仿宋_GB2312"/>
          <w:sz w:val="32"/>
          <w:szCs w:val="32"/>
          <w:highlight w:val="none"/>
          <w:u w:val="none"/>
        </w:rPr>
        <w:t>所在区域地震动峰值加速度</w:t>
      </w:r>
      <w:r>
        <w:rPr>
          <w:rFonts w:ascii="仿宋_GB2312" w:hAnsi="仿宋_GB2312" w:eastAsia="仿宋_GB2312" w:cs="仿宋_GB2312"/>
          <w:sz w:val="32"/>
          <w:szCs w:val="32"/>
          <w:highlight w:val="none"/>
          <w:u w:val="none"/>
        </w:rPr>
        <w:t>0.1</w:t>
      </w:r>
      <w:r>
        <w:rPr>
          <w:rFonts w:hint="eastAsia" w:ascii="仿宋_GB2312" w:hAnsi="仿宋_GB2312" w:eastAsia="仿宋_GB2312" w:cs="仿宋_GB2312"/>
          <w:sz w:val="32"/>
          <w:szCs w:val="32"/>
          <w:highlight w:val="none"/>
          <w:u w:val="none"/>
        </w:rPr>
        <w:t>0</w:t>
      </w:r>
      <w:r>
        <w:rPr>
          <w:rFonts w:ascii="仿宋_GB2312" w:hAnsi="仿宋_GB2312" w:eastAsia="仿宋_GB2312" w:cs="仿宋_GB2312"/>
          <w:sz w:val="32"/>
          <w:szCs w:val="32"/>
          <w:highlight w:val="none"/>
          <w:u w:val="none"/>
        </w:rPr>
        <w:t>g</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single"/>
        </w:rPr>
        <w:t>抗震设防基本烈度</w:t>
      </w:r>
      <w:r>
        <w:rPr>
          <w:rFonts w:ascii="仿宋_GB2312" w:hAnsi="仿宋_GB2312" w:eastAsia="仿宋_GB2312" w:cs="仿宋_GB2312"/>
          <w:sz w:val="32"/>
          <w:szCs w:val="32"/>
          <w:highlight w:val="none"/>
          <w:u w:val="single"/>
        </w:rPr>
        <w:t>7</w:t>
      </w:r>
      <w:r>
        <w:rPr>
          <w:rFonts w:hint="eastAsia" w:ascii="仿宋_GB2312" w:hAnsi="仿宋_GB2312" w:eastAsia="仿宋_GB2312" w:cs="仿宋_GB2312"/>
          <w:sz w:val="32"/>
          <w:szCs w:val="32"/>
          <w:highlight w:val="none"/>
          <w:u w:val="single"/>
        </w:rPr>
        <w:t>度。</w:t>
      </w:r>
      <w:r>
        <w:rPr>
          <w:rFonts w:hint="eastAsia" w:ascii="仿宋_GB2312" w:hAnsi="仿宋_GB2312" w:eastAsia="仿宋_GB2312" w:cs="仿宋_GB2312"/>
          <w:sz w:val="32"/>
          <w:szCs w:val="32"/>
          <w:highlight w:val="none"/>
        </w:rPr>
        <w:t>学校、医院、体育场馆、文化场馆等大型公共建筑和重要生命线工程应按高于基本烈度1度要求设防。重大建设工程和可能发生严重次生灾害的建设工程，应当进行地震安全性评价，并按地震安全性评价报告结果确定其抗震设防要求。</w:t>
      </w:r>
    </w:p>
    <w:p w14:paraId="6AD45FE1">
      <w:pPr>
        <w:widowControl/>
        <w:spacing w:line="600" w:lineRule="exact"/>
        <w:ind w:firstLine="641"/>
        <w:jc w:val="left"/>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val="zh-CN"/>
        </w:rPr>
        <w:t>抗震配套设施。</w:t>
      </w:r>
      <w:r>
        <w:rPr>
          <w:rFonts w:hint="eastAsia" w:ascii="仿宋_GB2312" w:hAnsi="仿宋_GB2312" w:eastAsia="仿宋_GB2312" w:cs="仿宋_GB2312"/>
          <w:sz w:val="32"/>
          <w:szCs w:val="32"/>
          <w:highlight w:val="none"/>
          <w:u w:val="none"/>
          <w:lang w:val="en-US" w:eastAsia="zh-CN"/>
        </w:rPr>
        <w:t>江西沟</w:t>
      </w:r>
      <w:r>
        <w:rPr>
          <w:rFonts w:hint="eastAsia" w:ascii="仿宋_GB2312" w:hAnsi="仿宋_GB2312" w:eastAsia="仿宋_GB2312" w:cs="仿宋_GB2312"/>
          <w:sz w:val="32"/>
          <w:szCs w:val="32"/>
          <w:highlight w:val="none"/>
          <w:u w:val="none"/>
        </w:rPr>
        <w:t>镇政</w:t>
      </w:r>
      <w:r>
        <w:rPr>
          <w:rFonts w:hint="eastAsia" w:ascii="仿宋_GB2312" w:hAnsi="仿宋_GB2312" w:eastAsia="仿宋_GB2312" w:cs="仿宋_GB2312"/>
          <w:sz w:val="32"/>
          <w:szCs w:val="32"/>
          <w:highlight w:val="none"/>
        </w:rPr>
        <w:t>府作为综合防灾应急指挥中心。政府内部包含应急救灾物资储备点。</w:t>
      </w:r>
      <w:r>
        <w:rPr>
          <w:rFonts w:hint="eastAsia" w:ascii="仿宋_GB2312" w:hAnsi="仿宋_GB2312" w:eastAsia="仿宋_GB2312" w:cs="仿宋_GB2312"/>
          <w:sz w:val="32"/>
          <w:szCs w:val="32"/>
          <w:highlight w:val="none"/>
          <w:u w:val="none"/>
          <w:lang w:val="en-US" w:eastAsia="zh-CN"/>
        </w:rPr>
        <w:t>江西沟</w:t>
      </w:r>
      <w:r>
        <w:rPr>
          <w:rFonts w:hint="eastAsia" w:ascii="仿宋_GB2312" w:hAnsi="仿宋_GB2312" w:eastAsia="仿宋_GB2312" w:cs="仿宋_GB2312"/>
          <w:sz w:val="32"/>
          <w:szCs w:val="32"/>
          <w:highlight w:val="none"/>
          <w:u w:val="none"/>
        </w:rPr>
        <w:t>镇</w:t>
      </w:r>
      <w:r>
        <w:rPr>
          <w:rFonts w:hint="eastAsia" w:ascii="仿宋_GB2312" w:hAnsi="仿宋_GB2312" w:eastAsia="仿宋_GB2312" w:cs="仿宋_GB2312"/>
          <w:sz w:val="32"/>
          <w:szCs w:val="32"/>
          <w:highlight w:val="none"/>
        </w:rPr>
        <w:t>卫生院作为医疗救护中心，承担对伤员的早期治疗和部分专科治疗。</w:t>
      </w:r>
      <w:r>
        <w:rPr>
          <w:rFonts w:hint="eastAsia" w:ascii="仿宋_GB2312" w:hAnsi="仿宋_GB2312" w:eastAsia="仿宋_GB2312" w:cs="仿宋_GB2312"/>
          <w:sz w:val="32"/>
          <w:szCs w:val="32"/>
          <w:highlight w:val="none"/>
          <w:u w:val="none"/>
          <w:lang w:val="en-US" w:eastAsia="zh-CN"/>
        </w:rPr>
        <w:t>江西沟</w:t>
      </w:r>
      <w:r>
        <w:rPr>
          <w:rFonts w:hint="eastAsia" w:ascii="仿宋_GB2312" w:hAnsi="仿宋_GB2312" w:eastAsia="仿宋_GB2312" w:cs="仿宋_GB2312"/>
          <w:sz w:val="32"/>
          <w:szCs w:val="32"/>
          <w:highlight w:val="none"/>
          <w:u w:val="none"/>
        </w:rPr>
        <w:t>镇</w:t>
      </w:r>
      <w:r>
        <w:rPr>
          <w:rFonts w:hint="eastAsia" w:ascii="仿宋_GB2312" w:hAnsi="仿宋_GB2312" w:eastAsia="仿宋_GB2312" w:cs="仿宋_GB2312"/>
          <w:sz w:val="32"/>
          <w:szCs w:val="32"/>
          <w:highlight w:val="none"/>
          <w:u w:val="none"/>
          <w:lang w:val="en-US" w:eastAsia="zh-CN"/>
        </w:rPr>
        <w:t>区</w:t>
      </w:r>
      <w:r>
        <w:rPr>
          <w:rFonts w:hint="eastAsia"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rPr>
        <w:t>作为避难场所。至2035年，</w:t>
      </w:r>
      <w:r>
        <w:rPr>
          <w:rFonts w:hint="eastAsia" w:ascii="仿宋_GB2312" w:hAnsi="仿宋_GB2312" w:eastAsia="仿宋_GB2312" w:cs="仿宋_GB2312"/>
          <w:sz w:val="32"/>
          <w:szCs w:val="32"/>
          <w:highlight w:val="none"/>
          <w:u w:val="single"/>
        </w:rPr>
        <w:t>人均应急避难场所面积不低于1.5平方米。</w:t>
      </w:r>
    </w:p>
    <w:p w14:paraId="159DDD4E">
      <w:pPr>
        <w:widowControl/>
        <w:spacing w:line="600" w:lineRule="exact"/>
        <w:ind w:firstLine="641"/>
        <w:jc w:val="left"/>
        <w:rPr>
          <w:rFonts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val="zh-CN"/>
        </w:rPr>
        <w:t>疏散通道。</w:t>
      </w:r>
      <w:r>
        <w:rPr>
          <w:rFonts w:hint="eastAsia" w:ascii="仿宋_GB2312" w:hAnsi="仿宋_GB2312" w:eastAsia="仿宋_GB2312" w:cs="仿宋_GB2312"/>
          <w:sz w:val="32"/>
          <w:szCs w:val="32"/>
          <w:highlight w:val="none"/>
        </w:rPr>
        <w:t>原则上应使居民的疏散救护便捷安全，保证主要道路畅通无阻。规划管理中要对沿线建筑高度和建筑后退距离严格审批，以保证建筑物倒塌后仍能通行。紧急避震疏散场地内外的避震疏散主通道有效宽度不宜低于 4m，固定避震疏散场地内外的避震疏散主通道有效宽度不宜低于7m。避震疏散主通道两侧的建筑应能保障疏散通道的安全畅通。</w:t>
      </w:r>
    </w:p>
    <w:p w14:paraId="069DEAE2">
      <w:pPr>
        <w:pStyle w:val="60"/>
        <w:ind w:left="0" w:firstLine="640" w:firstLineChars="200"/>
        <w:rPr>
          <w:rFonts w:hint="eastAsia" w:hAnsi="Times New Roman" w:cs="Times New Roman"/>
          <w:highlight w:val="none"/>
        </w:rPr>
      </w:pPr>
      <w:r>
        <w:rPr>
          <w:rFonts w:hint="eastAsia" w:hAnsi="Times New Roman" w:cs="Times New Roman"/>
          <w:highlight w:val="none"/>
        </w:rPr>
        <w:t>防洪工程</w:t>
      </w:r>
      <w:bookmarkEnd w:id="290"/>
    </w:p>
    <w:p w14:paraId="795619AF">
      <w:pPr>
        <w:pStyle w:val="15"/>
        <w:ind w:firstLine="640"/>
        <w:rPr>
          <w:rFonts w:hint="eastAsia" w:hAnsi="仿宋_GB2312" w:cs="仿宋_GB2312"/>
          <w:szCs w:val="24"/>
          <w:highlight w:val="none"/>
          <w:u w:val="single"/>
          <w:lang w:bidi="ar"/>
        </w:rPr>
      </w:pPr>
      <w:r>
        <w:rPr>
          <w:rFonts w:hint="eastAsia" w:ascii="楷体_GB2312" w:hAnsi="楷体_GB2312" w:eastAsia="楷体_GB2312" w:cs="楷体_GB2312"/>
          <w:kern w:val="2"/>
          <w:sz w:val="32"/>
          <w:szCs w:val="32"/>
          <w:highlight w:val="none"/>
          <w:lang w:val="en-US" w:eastAsia="zh-CN" w:bidi="ar-SA"/>
        </w:rPr>
        <w:t>防洪标准。</w:t>
      </w:r>
      <w:r>
        <w:rPr>
          <w:rFonts w:hint="eastAsia" w:hAnsi="仿宋_GB2312" w:cs="仿宋_GB2312"/>
          <w:szCs w:val="24"/>
          <w:highlight w:val="none"/>
          <w:u w:val="single"/>
          <w:lang w:bidi="ar"/>
        </w:rPr>
        <w:t>江西沟镇区防洪工程按20年一遇标准设防，排涝标准为20年一遇。</w:t>
      </w:r>
    </w:p>
    <w:p w14:paraId="734885DD">
      <w:pPr>
        <w:pStyle w:val="15"/>
        <w:ind w:firstLine="640"/>
        <w:rPr>
          <w:rFonts w:hAnsi="仿宋_GB2312" w:cs="仿宋_GB2312"/>
          <w:szCs w:val="24"/>
          <w:highlight w:val="none"/>
          <w:lang w:bidi="ar"/>
        </w:rPr>
      </w:pPr>
      <w:r>
        <w:rPr>
          <w:rFonts w:hint="eastAsia" w:ascii="楷体_GB2312" w:hAnsi="楷体_GB2312" w:eastAsia="楷体_GB2312" w:cs="楷体_GB2312"/>
          <w:sz w:val="32"/>
          <w:szCs w:val="32"/>
          <w:highlight w:val="none"/>
          <w:lang w:val="zh-CN"/>
        </w:rPr>
        <w:t>防洪措施。</w:t>
      </w:r>
      <w:r>
        <w:rPr>
          <w:rFonts w:hint="eastAsia" w:hAnsi="仿宋_GB2312" w:cs="仿宋_GB2312"/>
          <w:szCs w:val="24"/>
          <w:highlight w:val="none"/>
          <w:lang w:bidi="ar"/>
        </w:rPr>
        <w:t>按照洪涝风险控制线要求恢复天然雨洪通道、蓄滞洪空间；加强镇区外围水土流失治理，完善截洪沟布局，降低山洪入城风险，全面提升镇区防洪能力。</w:t>
      </w:r>
    </w:p>
    <w:p w14:paraId="40445E1B">
      <w:pPr>
        <w:pStyle w:val="60"/>
        <w:ind w:left="0" w:firstLine="640" w:firstLineChars="200"/>
        <w:rPr>
          <w:rFonts w:hint="eastAsia" w:hAnsi="Times New Roman" w:cs="Times New Roman"/>
          <w:highlight w:val="none"/>
        </w:rPr>
      </w:pPr>
      <w:bookmarkStart w:id="291" w:name="_Toc198237414"/>
      <w:r>
        <w:rPr>
          <w:rFonts w:hint="eastAsia" w:hAnsi="Times New Roman" w:cs="Times New Roman"/>
          <w:highlight w:val="none"/>
        </w:rPr>
        <w:t>消防工程</w:t>
      </w:r>
      <w:bookmarkEnd w:id="291"/>
    </w:p>
    <w:p w14:paraId="082DF4C3">
      <w:pPr>
        <w:pStyle w:val="15"/>
        <w:ind w:firstLine="640"/>
        <w:rPr>
          <w:rFonts w:hint="eastAsia" w:hAnsi="仿宋_GB2312" w:cs="仿宋_GB2312"/>
          <w:szCs w:val="24"/>
          <w:highlight w:val="none"/>
          <w:lang w:bidi="ar"/>
        </w:rPr>
      </w:pPr>
      <w:r>
        <w:rPr>
          <w:rFonts w:hint="eastAsia" w:hAnsi="仿宋_GB2312" w:cs="仿宋_GB2312"/>
          <w:szCs w:val="24"/>
          <w:highlight w:val="none"/>
          <w:lang w:bidi="ar"/>
        </w:rPr>
        <w:t>完善镇区消防安全布局，统筹优化镇区易燃易爆危险品场所或设施布局。规划</w:t>
      </w:r>
      <w:r>
        <w:rPr>
          <w:rFonts w:hint="eastAsia" w:hAnsi="仿宋_GB2312" w:cs="仿宋_GB2312"/>
          <w:szCs w:val="24"/>
          <w:highlight w:val="none"/>
          <w:lang w:val="en-US" w:eastAsia="zh-CN" w:bidi="ar"/>
        </w:rPr>
        <w:t>结合镇政府设置</w:t>
      </w:r>
      <w:r>
        <w:rPr>
          <w:rFonts w:hint="eastAsia" w:hAnsi="仿宋_GB2312" w:cs="仿宋_GB2312"/>
          <w:szCs w:val="24"/>
          <w:highlight w:val="none"/>
          <w:lang w:bidi="ar"/>
        </w:rPr>
        <w:t>一处微型消防站，消防人员按照专职消防队进行设置。加强消防供水建设，形成市政水源为主、天然水源为辅的消防供水体系；加强消防通信建设，完善消防通信系统；加强消防车通道建设，提高镇区道路承载大型消防车的能力，确保消防车通行能力。</w:t>
      </w:r>
    </w:p>
    <w:p w14:paraId="1AF0F233">
      <w:pPr>
        <w:pStyle w:val="15"/>
        <w:ind w:firstLine="640"/>
        <w:rPr>
          <w:rFonts w:hint="eastAsia" w:hAnsi="仿宋_GB2312" w:cs="仿宋_GB2312"/>
          <w:szCs w:val="24"/>
          <w:highlight w:val="none"/>
          <w:lang w:val="en-US" w:eastAsia="zh-CN" w:bidi="ar"/>
        </w:rPr>
      </w:pPr>
      <w:r>
        <w:rPr>
          <w:rFonts w:hint="eastAsia" w:ascii="楷体_GB2312" w:hAnsi="楷体_GB2312" w:eastAsia="楷体_GB2312" w:cs="楷体_GB2312"/>
          <w:szCs w:val="32"/>
          <w:highlight w:val="none"/>
          <w:lang w:val="zh-CN"/>
        </w:rPr>
        <w:t>消防设施。</w:t>
      </w:r>
      <w:r>
        <w:rPr>
          <w:rFonts w:hint="eastAsia" w:hAnsi="仿宋_GB2312" w:cs="仿宋_GB2312"/>
          <w:szCs w:val="24"/>
          <w:highlight w:val="none"/>
          <w:lang w:val="en-US" w:eastAsia="zh-CN" w:bidi="ar"/>
        </w:rPr>
        <w:t>结合镇政府设置1处微型消防站，各类公共场所设置消防设施，提升灾害事故快速响应、高效救援能力。</w:t>
      </w:r>
    </w:p>
    <w:p w14:paraId="157F78FF">
      <w:pPr>
        <w:pStyle w:val="15"/>
        <w:ind w:firstLine="640"/>
        <w:rPr>
          <w:rFonts w:hint="eastAsia" w:hAnsi="仿宋_GB2312" w:cs="仿宋_GB2312"/>
          <w:szCs w:val="24"/>
          <w:highlight w:val="none"/>
          <w:lang w:val="en-US" w:eastAsia="zh-CN" w:bidi="ar"/>
        </w:rPr>
      </w:pPr>
      <w:r>
        <w:rPr>
          <w:rFonts w:hint="eastAsia" w:ascii="楷体_GB2312" w:hAnsi="楷体_GB2312" w:eastAsia="楷体_GB2312" w:cs="楷体_GB2312"/>
          <w:szCs w:val="32"/>
          <w:highlight w:val="none"/>
          <w:lang w:val="zh-CN"/>
        </w:rPr>
        <w:t>消防给水。</w:t>
      </w:r>
      <w:r>
        <w:rPr>
          <w:rFonts w:hint="eastAsia" w:hAnsi="仿宋_GB2312" w:cs="仿宋_GB2312"/>
          <w:szCs w:val="24"/>
          <w:highlight w:val="none"/>
          <w:lang w:val="en-US" w:eastAsia="zh-CN" w:bidi="ar"/>
        </w:rPr>
        <w:t>消防供水主要依托市政给水管网，给水管网管径不低于DN300，管网埋深位于冻土层以下。结合市政给水管网设置消火栓，间距不超过120米。</w:t>
      </w:r>
    </w:p>
    <w:p w14:paraId="15AC3E5D">
      <w:pPr>
        <w:pStyle w:val="15"/>
        <w:ind w:firstLine="640"/>
        <w:rPr>
          <w:rFonts w:hint="default" w:hAnsi="仿宋_GB2312" w:cs="仿宋_GB2312"/>
          <w:szCs w:val="24"/>
          <w:highlight w:val="none"/>
          <w:lang w:val="en-US" w:eastAsia="zh-CN" w:bidi="ar"/>
        </w:rPr>
      </w:pPr>
      <w:r>
        <w:rPr>
          <w:rFonts w:hint="eastAsia" w:ascii="楷体_GB2312" w:hAnsi="楷体_GB2312" w:eastAsia="楷体_GB2312" w:cs="楷体_GB2312"/>
          <w:sz w:val="32"/>
          <w:szCs w:val="32"/>
          <w:highlight w:val="none"/>
          <w:lang w:val="zh-CN"/>
        </w:rPr>
        <w:t>消防通道。</w:t>
      </w:r>
      <w:r>
        <w:rPr>
          <w:rFonts w:hint="default" w:hAnsi="仿宋_GB2312" w:cs="仿宋_GB2312"/>
          <w:szCs w:val="24"/>
          <w:highlight w:val="none"/>
          <w:lang w:val="en-US" w:eastAsia="zh-CN" w:bidi="ar"/>
        </w:rPr>
        <w:t>消防车通道应符合消防车辆安全、快捷通行的要求。加强消防车通道建设，提高集镇道路承载大型消防车的能力，确保消防车辆安全、快捷通行。</w:t>
      </w:r>
    </w:p>
    <w:p w14:paraId="4DB873B5">
      <w:pPr>
        <w:pStyle w:val="15"/>
        <w:ind w:firstLine="640"/>
        <w:rPr>
          <w:rFonts w:hint="default" w:hAnsi="仿宋_GB2312" w:cs="仿宋_GB2312"/>
          <w:szCs w:val="24"/>
          <w:highlight w:val="none"/>
          <w:lang w:val="en-US" w:eastAsia="zh-CN" w:bidi="ar"/>
        </w:rPr>
      </w:pPr>
      <w:r>
        <w:rPr>
          <w:rFonts w:hint="default" w:ascii="楷体_GB2312" w:hAnsi="楷体_GB2312" w:eastAsia="楷体_GB2312" w:cs="楷体_GB2312"/>
          <w:sz w:val="32"/>
          <w:szCs w:val="32"/>
          <w:highlight w:val="none"/>
          <w:lang w:val="en-US" w:eastAsia="zh-CN"/>
        </w:rPr>
        <w:t>耐火等级</w:t>
      </w:r>
      <w:r>
        <w:rPr>
          <w:rFonts w:hint="eastAsia" w:ascii="楷体_GB2312" w:hAnsi="楷体_GB2312" w:eastAsia="楷体_GB2312" w:cs="楷体_GB2312"/>
          <w:sz w:val="32"/>
          <w:szCs w:val="32"/>
          <w:highlight w:val="none"/>
          <w:lang w:val="zh-CN"/>
        </w:rPr>
        <w:t>。</w:t>
      </w:r>
      <w:r>
        <w:rPr>
          <w:rFonts w:hint="default" w:hAnsi="仿宋_GB2312" w:cs="仿宋_GB2312"/>
          <w:szCs w:val="24"/>
          <w:highlight w:val="none"/>
          <w:lang w:val="en-US" w:eastAsia="zh-CN" w:bidi="ar"/>
        </w:rPr>
        <w:t>新建建筑应当达到一、二级耐火等级标准，控制三级建筑，严格限制四级建筑，不准易燃简易搭盖。</w:t>
      </w:r>
    </w:p>
    <w:p w14:paraId="5A23C3D3">
      <w:pPr>
        <w:pStyle w:val="15"/>
        <w:rPr>
          <w:rFonts w:hint="eastAsia" w:hAnsi="仿宋_GB2312" w:cs="仿宋_GB2312"/>
          <w:szCs w:val="24"/>
          <w:highlight w:val="none"/>
          <w:lang w:val="en-US" w:eastAsia="zh-CN" w:bidi="ar"/>
        </w:rPr>
      </w:pPr>
      <w:r>
        <w:rPr>
          <w:rFonts w:hint="default" w:ascii="楷体_GB2312" w:hAnsi="楷体_GB2312" w:eastAsia="楷体_GB2312" w:cs="楷体_GB2312"/>
          <w:sz w:val="32"/>
          <w:szCs w:val="32"/>
          <w:highlight w:val="none"/>
          <w:lang w:val="en-US" w:eastAsia="zh-CN"/>
        </w:rPr>
        <w:t>防火间距</w:t>
      </w:r>
      <w:r>
        <w:rPr>
          <w:rFonts w:hint="eastAsia" w:ascii="楷体_GB2312" w:hAnsi="楷体_GB2312" w:eastAsia="楷体_GB2312" w:cs="楷体_GB2312"/>
          <w:sz w:val="32"/>
          <w:szCs w:val="32"/>
          <w:highlight w:val="none"/>
          <w:lang w:val="zh-CN"/>
        </w:rPr>
        <w:t>。</w:t>
      </w:r>
      <w:r>
        <w:rPr>
          <w:rFonts w:hint="default" w:hAnsi="仿宋_GB2312" w:cs="仿宋_GB2312"/>
          <w:szCs w:val="24"/>
          <w:highlight w:val="none"/>
          <w:lang w:val="en-US" w:eastAsia="zh-CN" w:bidi="ar"/>
        </w:rPr>
        <w:t>工业与民用建筑应根据建筑使用性质、建筑高度、耐火等级及火灾危险性等合理确定防火间距。建筑之间的防火间距应保证任意一侧建筑外墙受到的相邻建筑火灾辐射热强度均低于其临界引燃辐射热强度</w:t>
      </w:r>
      <w:r>
        <w:rPr>
          <w:rFonts w:hint="eastAsia" w:hAnsi="仿宋_GB2312" w:cs="仿宋_GB2312"/>
          <w:szCs w:val="24"/>
          <w:highlight w:val="none"/>
          <w:lang w:val="en-US" w:eastAsia="zh-CN" w:bidi="ar"/>
        </w:rPr>
        <w:t>。</w:t>
      </w:r>
    </w:p>
    <w:p w14:paraId="01554842">
      <w:pPr>
        <w:pStyle w:val="60"/>
        <w:ind w:left="0" w:firstLine="640" w:firstLineChars="200"/>
        <w:rPr>
          <w:rFonts w:hint="eastAsia" w:hAnsi="Times New Roman" w:cs="Times New Roman"/>
          <w:highlight w:val="none"/>
        </w:rPr>
      </w:pPr>
      <w:bookmarkStart w:id="292" w:name="_Toc198237415"/>
      <w:r>
        <w:rPr>
          <w:rFonts w:hint="eastAsia" w:hAnsi="Times New Roman" w:cs="Times New Roman"/>
          <w:highlight w:val="none"/>
        </w:rPr>
        <w:t>地质灾害防治</w:t>
      </w:r>
      <w:bookmarkEnd w:id="292"/>
    </w:p>
    <w:p w14:paraId="542A125A">
      <w:pPr>
        <w:pStyle w:val="15"/>
        <w:ind w:firstLine="640"/>
        <w:rPr>
          <w:rFonts w:hAnsi="仿宋_GB2312" w:cs="仿宋_GB2312"/>
          <w:szCs w:val="24"/>
          <w:highlight w:val="none"/>
          <w:lang w:bidi="ar"/>
        </w:rPr>
      </w:pPr>
      <w:r>
        <w:rPr>
          <w:rFonts w:hint="eastAsia" w:hAnsi="仿宋_GB2312" w:cs="仿宋_GB2312"/>
          <w:szCs w:val="24"/>
          <w:highlight w:val="none"/>
          <w:lang w:bidi="ar"/>
        </w:rPr>
        <w:t>江西沟镇区范围均为地质灾害高风险区，</w:t>
      </w:r>
      <w:r>
        <w:rPr>
          <w:rFonts w:hint="eastAsia"/>
          <w:bCs/>
          <w:highlight w:val="none"/>
        </w:rPr>
        <w:t>地质灾害防治划为重点防治区。深化地质灾害隐患点详细调查评价，</w:t>
      </w:r>
      <w:r>
        <w:rPr>
          <w:rFonts w:hint="eastAsia"/>
          <w:bCs/>
          <w:highlight w:val="none"/>
          <w:u w:val="single"/>
          <w:lang w:val="zh-CN"/>
        </w:rPr>
        <w:t>地质灾害易发区内的开发建设，应当进行地质灾害危险性评估，并根据地质灾害危险性评估提出的预防治理措施，有序开展地质灾害工程治理或搬迁避让工作，评估结果为不适宜的场地不得进行开发建设，地质灾害危险区内禁止从事容易诱发地质灾害的各种活动</w:t>
      </w:r>
      <w:r>
        <w:rPr>
          <w:rFonts w:hint="eastAsia"/>
          <w:bCs/>
          <w:highlight w:val="none"/>
        </w:rPr>
        <w:t>。综合采用工程治理、排危除险、避让搬迁、专业监测等多种措施，推进地质灾害隐患治理，降低地质灾害隐患风险。</w:t>
      </w:r>
    </w:p>
    <w:p w14:paraId="08B7C159">
      <w:pPr>
        <w:pStyle w:val="60"/>
        <w:ind w:left="0" w:firstLine="640" w:firstLineChars="200"/>
        <w:rPr>
          <w:rFonts w:hint="eastAsia" w:hAnsi="Times New Roman" w:cs="Times New Roman"/>
          <w:highlight w:val="none"/>
        </w:rPr>
      </w:pPr>
      <w:bookmarkStart w:id="293" w:name="_Toc198237416"/>
      <w:r>
        <w:rPr>
          <w:rFonts w:hint="eastAsia" w:hAnsi="Times New Roman" w:cs="Times New Roman"/>
          <w:highlight w:val="none"/>
        </w:rPr>
        <w:t>应急体系</w:t>
      </w:r>
      <w:bookmarkEnd w:id="293"/>
    </w:p>
    <w:p w14:paraId="0C813845">
      <w:pPr>
        <w:pStyle w:val="15"/>
        <w:ind w:firstLine="640"/>
        <w:rPr>
          <w:rFonts w:hAnsi="仿宋_GB2312" w:cs="仿宋_GB2312"/>
          <w:szCs w:val="24"/>
          <w:highlight w:val="none"/>
          <w:lang w:bidi="ar"/>
        </w:rPr>
      </w:pPr>
      <w:r>
        <w:rPr>
          <w:rFonts w:hint="eastAsia" w:hAnsi="仿宋_GB2312" w:cs="仿宋_GB2312"/>
          <w:szCs w:val="24"/>
          <w:highlight w:val="none"/>
          <w:lang w:bidi="ar"/>
        </w:rPr>
        <w:t>依托镇政府建设应急指挥中心，配套建设综合应急指挥调度平台，推动应急管理体系和能力现代化。构建由综合性消防救援队伍为主力、专业应急救援力量为协同、社会应急力量为辅助的应急救援力量体系。</w:t>
      </w:r>
    </w:p>
    <w:p w14:paraId="545866BD">
      <w:pPr>
        <w:pStyle w:val="15"/>
        <w:ind w:firstLine="640"/>
        <w:rPr>
          <w:rFonts w:hAnsi="仿宋_GB2312" w:cs="仿宋_GB2312"/>
          <w:szCs w:val="24"/>
          <w:highlight w:val="none"/>
          <w:lang w:bidi="ar"/>
        </w:rPr>
      </w:pPr>
      <w:r>
        <w:rPr>
          <w:rFonts w:hAnsi="仿宋_GB2312" w:cs="仿宋_GB2312"/>
          <w:szCs w:val="24"/>
          <w:highlight w:val="none"/>
          <w:lang w:bidi="ar"/>
        </w:rPr>
        <w:t>结合学校、体育场、公园等设置固定避难场所，结合公园、广场等</w:t>
      </w:r>
      <w:r>
        <w:rPr>
          <w:rFonts w:hint="eastAsia" w:hAnsi="仿宋_GB2312" w:cs="仿宋_GB2312"/>
          <w:szCs w:val="24"/>
          <w:highlight w:val="none"/>
          <w:lang w:eastAsia="zh-CN" w:bidi="ar"/>
        </w:rPr>
        <w:t>设置</w:t>
      </w:r>
      <w:r>
        <w:rPr>
          <w:rFonts w:hAnsi="仿宋_GB2312" w:cs="仿宋_GB2312"/>
          <w:szCs w:val="24"/>
          <w:highlight w:val="none"/>
          <w:lang w:bidi="ar"/>
        </w:rPr>
        <w:t>紧急避难疏散场地，以复合利用、应急转换为主，不单独占地，</w:t>
      </w:r>
      <w:r>
        <w:rPr>
          <w:rFonts w:hint="eastAsia" w:hAnsi="仿宋_GB2312" w:cs="仿宋_GB2312"/>
          <w:szCs w:val="24"/>
          <w:highlight w:val="none"/>
          <w:u w:val="single"/>
          <w:lang w:bidi="ar"/>
        </w:rPr>
        <w:t>镇区</w:t>
      </w:r>
      <w:r>
        <w:rPr>
          <w:rFonts w:hAnsi="仿宋_GB2312" w:cs="仿宋_GB2312"/>
          <w:szCs w:val="24"/>
          <w:highlight w:val="none"/>
          <w:u w:val="single"/>
          <w:lang w:bidi="ar"/>
        </w:rPr>
        <w:t>人均避难场所面积不低于1.5平方米。</w:t>
      </w:r>
      <w:r>
        <w:rPr>
          <w:rFonts w:hAnsi="仿宋_GB2312" w:cs="仿宋_GB2312"/>
          <w:szCs w:val="24"/>
          <w:highlight w:val="none"/>
          <w:lang w:bidi="ar"/>
        </w:rPr>
        <w:t>完善</w:t>
      </w:r>
      <w:r>
        <w:rPr>
          <w:rFonts w:hint="eastAsia" w:hAnsi="仿宋_GB2312" w:cs="仿宋_GB2312"/>
          <w:szCs w:val="24"/>
          <w:highlight w:val="none"/>
          <w:lang w:bidi="ar"/>
        </w:rPr>
        <w:t>镇区</w:t>
      </w:r>
      <w:r>
        <w:rPr>
          <w:rFonts w:hAnsi="仿宋_GB2312" w:cs="仿宋_GB2312"/>
          <w:szCs w:val="24"/>
          <w:highlight w:val="none"/>
          <w:lang w:bidi="ar"/>
        </w:rPr>
        <w:t>避难疏散体系，以</w:t>
      </w:r>
      <w:r>
        <w:rPr>
          <w:rFonts w:hint="eastAsia" w:hAnsi="仿宋_GB2312" w:cs="仿宋_GB2312"/>
          <w:szCs w:val="24"/>
          <w:highlight w:val="none"/>
          <w:lang w:bidi="ar"/>
        </w:rPr>
        <w:t>青海湖旅游专线</w:t>
      </w:r>
      <w:r>
        <w:rPr>
          <w:rFonts w:hAnsi="仿宋_GB2312" w:cs="仿宋_GB2312"/>
          <w:szCs w:val="24"/>
          <w:highlight w:val="none"/>
          <w:lang w:bidi="ar"/>
        </w:rPr>
        <w:t>等</w:t>
      </w:r>
      <w:r>
        <w:rPr>
          <w:rFonts w:hint="eastAsia" w:hAnsi="仿宋_GB2312" w:cs="仿宋_GB2312"/>
          <w:szCs w:val="24"/>
          <w:highlight w:val="none"/>
          <w:lang w:bidi="ar"/>
        </w:rPr>
        <w:t>主要</w:t>
      </w:r>
      <w:r>
        <w:rPr>
          <w:rFonts w:hAnsi="仿宋_GB2312" w:cs="仿宋_GB2312"/>
          <w:szCs w:val="24"/>
          <w:highlight w:val="none"/>
          <w:lang w:bidi="ar"/>
        </w:rPr>
        <w:t>公路</w:t>
      </w:r>
      <w:r>
        <w:rPr>
          <w:rFonts w:hint="eastAsia" w:hAnsi="仿宋_GB2312" w:cs="仿宋_GB2312"/>
          <w:szCs w:val="24"/>
          <w:highlight w:val="none"/>
          <w:lang w:bidi="ar"/>
        </w:rPr>
        <w:t>作为</w:t>
      </w:r>
      <w:r>
        <w:rPr>
          <w:rFonts w:hAnsi="仿宋_GB2312" w:cs="仿宋_GB2312"/>
          <w:szCs w:val="24"/>
          <w:highlight w:val="none"/>
          <w:lang w:bidi="ar"/>
        </w:rPr>
        <w:t>对外疏散通道。</w:t>
      </w:r>
    </w:p>
    <w:p w14:paraId="5E6A38ED">
      <w:pPr>
        <w:pStyle w:val="15"/>
        <w:ind w:firstLine="640"/>
        <w:rPr>
          <w:rFonts w:hAnsi="仿宋_GB2312" w:cs="仿宋_GB2312"/>
          <w:szCs w:val="24"/>
          <w:highlight w:val="none"/>
          <w:lang w:bidi="ar"/>
        </w:rPr>
      </w:pPr>
      <w:r>
        <w:rPr>
          <w:rFonts w:hint="eastAsia" w:hAnsi="仿宋_GB2312" w:cs="仿宋_GB2312"/>
          <w:szCs w:val="24"/>
          <w:highlight w:val="none"/>
          <w:lang w:bidi="ar"/>
        </w:rPr>
        <w:t>结合镇卫生院，建设镇级应急医疗急救中心，保障镇区预留突发公共卫生救援基地用地，做好应对突发性公共卫生事件的应急预案。</w:t>
      </w:r>
    </w:p>
    <w:p w14:paraId="2C16B4E4">
      <w:pPr>
        <w:pStyle w:val="3"/>
        <w:numPr>
          <w:ilvl w:val="1"/>
          <w:numId w:val="14"/>
        </w:numPr>
        <w:tabs>
          <w:tab w:val="left" w:pos="353"/>
        </w:tabs>
        <w:spacing w:before="260" w:after="260" w:line="416" w:lineRule="auto"/>
        <w:rPr>
          <w:highlight w:val="none"/>
          <w:lang w:val="zh-CN"/>
        </w:rPr>
      </w:pPr>
      <w:bookmarkStart w:id="294" w:name="_Toc198237534"/>
      <w:bookmarkStart w:id="295" w:name="_Toc198237417"/>
      <w:bookmarkStart w:id="296" w:name="_Toc24469"/>
      <w:bookmarkStart w:id="297" w:name="_Toc31439"/>
      <w:bookmarkStart w:id="298" w:name="_Toc2016"/>
      <w:r>
        <w:rPr>
          <w:rFonts w:hint="eastAsia"/>
          <w:highlight w:val="none"/>
          <w:lang w:val="zh-CN"/>
        </w:rPr>
        <w:t>城镇风貌引导与管控</w:t>
      </w:r>
      <w:bookmarkEnd w:id="294"/>
      <w:bookmarkEnd w:id="295"/>
      <w:bookmarkEnd w:id="296"/>
      <w:bookmarkEnd w:id="297"/>
      <w:bookmarkEnd w:id="298"/>
    </w:p>
    <w:p w14:paraId="7E264BAB">
      <w:pPr>
        <w:pStyle w:val="60"/>
        <w:ind w:left="0" w:firstLine="640" w:firstLineChars="200"/>
        <w:rPr>
          <w:rFonts w:hint="eastAsia" w:hAnsi="Times New Roman" w:cs="Times New Roman"/>
          <w:highlight w:val="none"/>
        </w:rPr>
      </w:pPr>
      <w:bookmarkStart w:id="299" w:name="_Toc198237418"/>
      <w:r>
        <w:rPr>
          <w:rFonts w:hint="eastAsia" w:hAnsi="Times New Roman" w:cs="Times New Roman"/>
          <w:highlight w:val="none"/>
        </w:rPr>
        <w:t>城镇风貌引导</w:t>
      </w:r>
      <w:bookmarkEnd w:id="299"/>
    </w:p>
    <w:p w14:paraId="1E31CBD8">
      <w:pPr>
        <w:pStyle w:val="15"/>
        <w:ind w:firstLine="640"/>
        <w:rPr>
          <w:rFonts w:hAnsi="仿宋_GB2312" w:cs="仿宋_GB2312"/>
          <w:szCs w:val="24"/>
          <w:highlight w:val="none"/>
          <w:lang w:bidi="ar"/>
        </w:rPr>
      </w:pPr>
      <w:r>
        <w:rPr>
          <w:rFonts w:hint="eastAsia" w:hAnsi="仿宋_GB2312" w:cs="仿宋_GB2312"/>
          <w:szCs w:val="24"/>
          <w:highlight w:val="none"/>
          <w:lang w:bidi="ar"/>
        </w:rPr>
        <w:t>总体风貌格局。江西沟镇独有的文化和特色日益缺失，城镇风貌特色呈现出越来越高的趋同性。保持和突显镇区的地域性特色风貌，规划江西沟镇“三区、两轴、多点”的风貌格局。</w:t>
      </w:r>
    </w:p>
    <w:p w14:paraId="7765E685">
      <w:pPr>
        <w:pStyle w:val="15"/>
        <w:ind w:firstLine="640"/>
        <w:rPr>
          <w:rFonts w:hAnsi="仿宋_GB2312" w:cs="仿宋_GB2312"/>
          <w:szCs w:val="24"/>
          <w:highlight w:val="none"/>
          <w:lang w:bidi="ar"/>
        </w:rPr>
      </w:pPr>
      <w:r>
        <w:rPr>
          <w:rFonts w:hint="eastAsia" w:hAnsi="仿宋_GB2312" w:cs="仿宋_GB2312"/>
          <w:szCs w:val="24"/>
          <w:highlight w:val="none"/>
          <w:lang w:bidi="ar"/>
        </w:rPr>
        <w:t>“三区”：高原特色旅游风貌区、生态宜居活力风貌区、现代综合服务风貌区；</w:t>
      </w:r>
    </w:p>
    <w:p w14:paraId="1B498058">
      <w:pPr>
        <w:pStyle w:val="15"/>
        <w:ind w:firstLine="640"/>
        <w:rPr>
          <w:rFonts w:hAnsi="仿宋_GB2312" w:cs="仿宋_GB2312"/>
          <w:szCs w:val="24"/>
          <w:highlight w:val="none"/>
          <w:lang w:bidi="ar"/>
        </w:rPr>
      </w:pPr>
      <w:r>
        <w:rPr>
          <w:rFonts w:hint="eastAsia" w:hAnsi="仿宋_GB2312" w:cs="仿宋_GB2312"/>
          <w:szCs w:val="24"/>
          <w:highlight w:val="none"/>
          <w:lang w:bidi="ar"/>
        </w:rPr>
        <w:t>“两轴”：旅游发展主轴、活力景观次轴；</w:t>
      </w:r>
    </w:p>
    <w:p w14:paraId="6DCD658A">
      <w:pPr>
        <w:pStyle w:val="15"/>
        <w:ind w:firstLine="640"/>
        <w:rPr>
          <w:rFonts w:hAnsi="仿宋_GB2312" w:cs="仿宋_GB2312"/>
          <w:szCs w:val="24"/>
          <w:highlight w:val="none"/>
          <w:lang w:bidi="ar"/>
        </w:rPr>
      </w:pPr>
      <w:r>
        <w:rPr>
          <w:rFonts w:hint="eastAsia" w:hAnsi="仿宋_GB2312" w:cs="仿宋_GB2312"/>
          <w:szCs w:val="24"/>
          <w:highlight w:val="none"/>
          <w:lang w:bidi="ar"/>
        </w:rPr>
        <w:t>“多点”：多个人工、自然景观节点。</w:t>
      </w:r>
    </w:p>
    <w:p w14:paraId="7BBD5A76">
      <w:pPr>
        <w:pStyle w:val="15"/>
        <w:ind w:firstLine="640"/>
        <w:rPr>
          <w:rFonts w:hAnsi="仿宋_GB2312" w:cs="仿宋_GB2312"/>
          <w:szCs w:val="24"/>
          <w:highlight w:val="none"/>
          <w:lang w:bidi="ar"/>
        </w:rPr>
      </w:pPr>
      <w:r>
        <w:rPr>
          <w:rFonts w:hint="eastAsia" w:hAnsi="仿宋_GB2312" w:cs="仿宋_GB2312"/>
          <w:szCs w:val="24"/>
          <w:highlight w:val="none"/>
          <w:lang w:bidi="ar"/>
        </w:rPr>
        <w:t>加强风貌引导。</w:t>
      </w:r>
      <w:r>
        <w:rPr>
          <w:rFonts w:hint="eastAsia" w:hAnsi="仿宋_GB2312" w:cs="仿宋_GB2312"/>
          <w:szCs w:val="24"/>
          <w:highlight w:val="none"/>
          <w:lang w:eastAsia="zh-CN" w:bidi="ar"/>
        </w:rPr>
        <w:t>江西沟镇政府</w:t>
      </w:r>
      <w:r>
        <w:rPr>
          <w:rFonts w:hint="eastAsia" w:hAnsi="仿宋_GB2312" w:cs="仿宋_GB2312"/>
          <w:szCs w:val="24"/>
          <w:highlight w:val="none"/>
          <w:lang w:bidi="ar"/>
        </w:rPr>
        <w:t>驻地的风貌定位“高原湖境，山海之城”。规划期内，充分利用镇区平坦的地貌资源，以及青海湖和哈干河水系资源，建设高原生态城镇。将高原民族要素融合到城镇建设中，突出江西沟镇的综合城镇魅力。</w:t>
      </w:r>
    </w:p>
    <w:p w14:paraId="2A446079">
      <w:pPr>
        <w:pStyle w:val="15"/>
        <w:ind w:firstLine="640"/>
        <w:rPr>
          <w:rFonts w:hAnsi="仿宋_GB2312" w:cs="仿宋_GB2312"/>
          <w:szCs w:val="24"/>
          <w:highlight w:val="none"/>
          <w:lang w:bidi="ar"/>
        </w:rPr>
      </w:pPr>
      <w:r>
        <w:rPr>
          <w:rFonts w:hint="eastAsia" w:hAnsi="仿宋_GB2312" w:cs="仿宋_GB2312"/>
          <w:szCs w:val="24"/>
          <w:highlight w:val="none"/>
          <w:lang w:bidi="ar"/>
        </w:rPr>
        <w:t>控制建筑体量及高度。总体形成中低开发强度、集约紧凑的建设模式，单体建筑长度不应超过80米。严格按照要求控制建筑高度，临街商业建筑层数一般应设置为1至2层，建筑高度不超过9米；重要的公共建筑及标志性建筑不得超过4层，建筑高度不超过15米；居住建筑以1-2层为宜。</w:t>
      </w:r>
    </w:p>
    <w:p w14:paraId="1C35C253">
      <w:pPr>
        <w:pStyle w:val="60"/>
        <w:ind w:left="0" w:firstLine="640" w:firstLineChars="200"/>
        <w:rPr>
          <w:rFonts w:hint="eastAsia" w:hAnsi="Times New Roman" w:cs="Times New Roman"/>
          <w:highlight w:val="none"/>
        </w:rPr>
      </w:pPr>
      <w:bookmarkStart w:id="300" w:name="_Toc198237419"/>
      <w:r>
        <w:rPr>
          <w:rFonts w:hint="eastAsia" w:hAnsi="Times New Roman" w:cs="Times New Roman"/>
          <w:highlight w:val="none"/>
        </w:rPr>
        <w:t>开发强度管控</w:t>
      </w:r>
      <w:bookmarkEnd w:id="300"/>
    </w:p>
    <w:p w14:paraId="556C9EC0">
      <w:pPr>
        <w:pStyle w:val="15"/>
        <w:ind w:firstLine="640"/>
        <w:rPr>
          <w:rFonts w:hAnsi="仿宋_GB2312" w:cs="仿宋_GB2312"/>
          <w:szCs w:val="24"/>
          <w:highlight w:val="none"/>
          <w:lang w:bidi="ar"/>
        </w:rPr>
      </w:pPr>
      <w:r>
        <w:rPr>
          <w:rFonts w:hint="eastAsia" w:hAnsi="仿宋_GB2312" w:cs="仿宋_GB2312"/>
          <w:szCs w:val="24"/>
          <w:highlight w:val="none"/>
          <w:lang w:bidi="ar"/>
        </w:rPr>
        <w:t>规划构建“北高南弱，南北低密”的开发强度管控。镇区北部为商业商务区，开发强度较高，其中商业用地容积率不大于</w:t>
      </w:r>
      <w:r>
        <w:rPr>
          <w:rFonts w:hint="eastAsia" w:hAnsi="仿宋_GB2312" w:cs="仿宋_GB2312"/>
          <w:szCs w:val="24"/>
          <w:highlight w:val="none"/>
          <w:lang w:val="en-US" w:eastAsia="zh-CN" w:bidi="ar"/>
        </w:rPr>
        <w:t>1.5</w:t>
      </w:r>
      <w:r>
        <w:rPr>
          <w:rFonts w:hint="eastAsia" w:hAnsi="仿宋_GB2312" w:cs="仿宋_GB2312"/>
          <w:szCs w:val="24"/>
          <w:highlight w:val="none"/>
          <w:lang w:bidi="ar"/>
        </w:rPr>
        <w:t>，公共管理和公共服务设施用地容积率不大于1.5，居住用地容积率不大于1.0；南部为居住生活区，以居住用地为主，开发强度不高，居住用地容积率不大于1.0，商业用地容积率不大于1.5；综合服务区以行政办公建筑为主，其中机关团体用地容积率不大于2.0，商业用地容积率不大于1.5，居住用地容积率不大于1.0。</w:t>
      </w:r>
    </w:p>
    <w:p w14:paraId="43131938">
      <w:pPr>
        <w:pStyle w:val="3"/>
        <w:numPr>
          <w:ilvl w:val="1"/>
          <w:numId w:val="14"/>
        </w:numPr>
        <w:tabs>
          <w:tab w:val="left" w:pos="353"/>
        </w:tabs>
        <w:spacing w:before="260" w:after="260" w:line="416" w:lineRule="auto"/>
        <w:rPr>
          <w:highlight w:val="none"/>
          <w:lang w:val="zh-CN"/>
        </w:rPr>
      </w:pPr>
      <w:bookmarkStart w:id="301" w:name="_Toc27557"/>
      <w:bookmarkStart w:id="302" w:name="_Toc198237535"/>
      <w:bookmarkStart w:id="303" w:name="_Toc198237420"/>
      <w:bookmarkStart w:id="304" w:name="_Toc12874"/>
      <w:bookmarkStart w:id="305" w:name="_Toc1538"/>
      <w:r>
        <w:rPr>
          <w:rFonts w:hint="eastAsia"/>
          <w:highlight w:val="none"/>
          <w:lang w:val="zh-CN"/>
        </w:rPr>
        <w:t>五线管控</w:t>
      </w:r>
      <w:bookmarkEnd w:id="301"/>
      <w:bookmarkEnd w:id="302"/>
      <w:bookmarkEnd w:id="303"/>
      <w:bookmarkEnd w:id="304"/>
      <w:bookmarkEnd w:id="305"/>
    </w:p>
    <w:p w14:paraId="6F176B16">
      <w:pPr>
        <w:pStyle w:val="60"/>
        <w:ind w:left="0" w:firstLine="640" w:firstLineChars="200"/>
        <w:rPr>
          <w:rFonts w:hint="eastAsia" w:hAnsi="Times New Roman" w:cs="Times New Roman"/>
          <w:highlight w:val="none"/>
        </w:rPr>
      </w:pPr>
      <w:bookmarkStart w:id="306" w:name="_Toc198237421"/>
      <w:r>
        <w:rPr>
          <w:rFonts w:hint="eastAsia" w:cs="Times New Roman"/>
          <w:highlight w:val="none"/>
          <w:lang w:val="en-US" w:eastAsia="zh-CN"/>
        </w:rPr>
        <w:t>道路红线</w:t>
      </w:r>
    </w:p>
    <w:p w14:paraId="031680A9">
      <w:pPr>
        <w:pStyle w:val="15"/>
        <w:ind w:firstLine="640"/>
        <w:rPr>
          <w:rFonts w:hint="eastAsia" w:hAnsi="仿宋_GB2312" w:cs="仿宋_GB2312"/>
          <w:szCs w:val="24"/>
          <w:highlight w:val="none"/>
          <w:u w:val="single"/>
          <w:lang w:bidi="ar"/>
        </w:rPr>
      </w:pPr>
      <w:r>
        <w:rPr>
          <w:rFonts w:hint="eastAsia" w:hAnsi="仿宋_GB2312" w:cs="仿宋_GB2312"/>
          <w:szCs w:val="24"/>
          <w:highlight w:val="none"/>
          <w:u w:val="single"/>
          <w:lang w:val="en-US" w:eastAsia="zh-CN" w:bidi="ar"/>
        </w:rPr>
        <w:t>将镇区主要城镇村道路作为道路红线进行强制性控制。</w:t>
      </w:r>
      <w:r>
        <w:rPr>
          <w:rFonts w:hint="eastAsia" w:hAnsi="仿宋_GB2312" w:cs="仿宋_GB2312"/>
          <w:szCs w:val="24"/>
          <w:highlight w:val="none"/>
          <w:u w:val="none"/>
          <w:lang w:val="en-US" w:eastAsia="zh-CN" w:bidi="ar"/>
        </w:rPr>
        <w:t>红线控制范围内，经城乡规划行政主管部门批准可以按规划建设绿化设施，市政公用地上、地下管（杆）线，道路交通安全设施。不得建设与道路功能无关的管（杆）线、配电设施、通信设施、环卫设施、道路交通安全设施等。禁止在红线控制范围内进行挖取沙土等改变地形地貌活动。</w:t>
      </w:r>
    </w:p>
    <w:p w14:paraId="4EBB61A5">
      <w:pPr>
        <w:pStyle w:val="60"/>
        <w:ind w:left="0" w:firstLine="640" w:firstLineChars="200"/>
        <w:rPr>
          <w:rFonts w:hint="eastAsia" w:hAnsi="Times New Roman" w:cs="Times New Roman"/>
          <w:highlight w:val="none"/>
        </w:rPr>
      </w:pPr>
      <w:r>
        <w:rPr>
          <w:rFonts w:hint="eastAsia" w:hAnsi="Times New Roman" w:cs="Times New Roman"/>
          <w:highlight w:val="none"/>
        </w:rPr>
        <w:t>绿线管控</w:t>
      </w:r>
      <w:bookmarkEnd w:id="306"/>
    </w:p>
    <w:p w14:paraId="059DCACA">
      <w:pPr>
        <w:pStyle w:val="15"/>
        <w:ind w:firstLine="640"/>
        <w:rPr>
          <w:rFonts w:hAnsi="仿宋_GB2312" w:cs="仿宋_GB2312"/>
          <w:szCs w:val="24"/>
          <w:highlight w:val="none"/>
          <w:lang w:bidi="ar"/>
        </w:rPr>
      </w:pPr>
      <w:r>
        <w:rPr>
          <w:rFonts w:hint="eastAsia" w:hAnsi="仿宋_GB2312" w:cs="仿宋_GB2312"/>
          <w:szCs w:val="24"/>
          <w:highlight w:val="none"/>
          <w:u w:val="single"/>
          <w:lang w:bidi="ar"/>
        </w:rPr>
        <w:t>将公园绿地、防护绿地和广场等用地划入镇区绿线管控范围，总面积0.34公顷。</w:t>
      </w:r>
      <w:r>
        <w:rPr>
          <w:rFonts w:hint="eastAsia" w:hAnsi="仿宋_GB2312" w:cs="仿宋_GB2312"/>
          <w:szCs w:val="24"/>
          <w:highlight w:val="none"/>
          <w:lang w:bidi="ar"/>
        </w:rPr>
        <w:t>城市绿线内所有建设活动均应符合相关管理要求。在总规模不减少的前提下，城市绿线的具体边界、定位可在详细规划编制和实施中落实。城市绿线内的用地，不得改作他用，不得违反法律法规、强制性标准以及批准的规划进行开发建设；在城市绿线范围内，不符合规划要求的建筑物、构筑物</w:t>
      </w:r>
      <w:r>
        <w:rPr>
          <w:rFonts w:hint="eastAsia" w:hAnsi="仿宋_GB2312" w:cs="仿宋_GB2312"/>
          <w:szCs w:val="24"/>
          <w:highlight w:val="none"/>
          <w:lang w:eastAsia="zh-CN" w:bidi="ar"/>
        </w:rPr>
        <w:t>及其他</w:t>
      </w:r>
      <w:r>
        <w:rPr>
          <w:rFonts w:hint="eastAsia" w:hAnsi="仿宋_GB2312" w:cs="仿宋_GB2312"/>
          <w:szCs w:val="24"/>
          <w:highlight w:val="none"/>
          <w:lang w:bidi="ar"/>
        </w:rPr>
        <w:t>设施应当限期迁出。绿线内可兼容设施道路、市政管线等线状交通、线状市政基础设施；因重大市政交通基础设施建设等公共利益确需调整绿线的，应保证绿线结构系统性；因建设</w:t>
      </w:r>
      <w:r>
        <w:rPr>
          <w:rFonts w:hint="eastAsia" w:hAnsi="仿宋_GB2312" w:cs="仿宋_GB2312"/>
          <w:szCs w:val="24"/>
          <w:highlight w:val="none"/>
          <w:lang w:eastAsia="zh-CN" w:bidi="ar"/>
        </w:rPr>
        <w:t>或者其他</w:t>
      </w:r>
      <w:r>
        <w:rPr>
          <w:rFonts w:hint="eastAsia" w:hAnsi="仿宋_GB2312" w:cs="仿宋_GB2312"/>
          <w:szCs w:val="24"/>
          <w:highlight w:val="none"/>
          <w:lang w:bidi="ar"/>
        </w:rPr>
        <w:t>特殊情况，需要临时占用城市绿线内用地的，必须依法办理相关审批手续。城市绿线的调整应符合国家有关规定。</w:t>
      </w:r>
    </w:p>
    <w:p w14:paraId="117964AD">
      <w:pPr>
        <w:pStyle w:val="60"/>
        <w:ind w:left="0" w:firstLine="640" w:firstLineChars="200"/>
        <w:rPr>
          <w:rFonts w:hint="eastAsia" w:hAnsi="Times New Roman" w:cs="Times New Roman"/>
          <w:highlight w:val="none"/>
        </w:rPr>
      </w:pPr>
      <w:bookmarkStart w:id="307" w:name="_Toc198237422"/>
      <w:r>
        <w:rPr>
          <w:rFonts w:hint="eastAsia" w:hAnsi="Times New Roman" w:cs="Times New Roman"/>
          <w:highlight w:val="none"/>
        </w:rPr>
        <w:t>黄线管控</w:t>
      </w:r>
      <w:bookmarkEnd w:id="307"/>
    </w:p>
    <w:p w14:paraId="79180AA6">
      <w:pPr>
        <w:pStyle w:val="15"/>
        <w:ind w:firstLine="640"/>
        <w:rPr>
          <w:rFonts w:hAnsi="仿宋_GB2312" w:cs="仿宋_GB2312"/>
          <w:szCs w:val="24"/>
          <w:highlight w:val="none"/>
          <w:lang w:bidi="ar"/>
        </w:rPr>
      </w:pPr>
      <w:r>
        <w:rPr>
          <w:rFonts w:hint="eastAsia" w:hAnsi="仿宋_GB2312" w:cs="仿宋_GB2312"/>
          <w:szCs w:val="24"/>
          <w:highlight w:val="none"/>
          <w:u w:val="single"/>
          <w:lang w:bidi="ar"/>
        </w:rPr>
        <w:t>将重大基础设施用地划入镇区黄线管控范围，主要包括公共交通设施、供电设施、通信设施，总面积</w:t>
      </w:r>
      <w:r>
        <w:rPr>
          <w:rFonts w:hint="eastAsia" w:hAnsi="仿宋_GB2312" w:cs="仿宋_GB2312"/>
          <w:szCs w:val="24"/>
          <w:highlight w:val="none"/>
          <w:u w:val="single"/>
          <w:lang w:val="en-US" w:eastAsia="zh-CN" w:bidi="ar"/>
        </w:rPr>
        <w:t>2.40</w:t>
      </w:r>
      <w:r>
        <w:rPr>
          <w:rFonts w:hint="eastAsia" w:hAnsi="仿宋_GB2312" w:cs="仿宋_GB2312"/>
          <w:szCs w:val="24"/>
          <w:highlight w:val="none"/>
          <w:u w:val="single"/>
          <w:lang w:bidi="ar"/>
        </w:rPr>
        <w:t>公顷。</w:t>
      </w:r>
      <w:r>
        <w:rPr>
          <w:rFonts w:hint="eastAsia" w:hAnsi="仿宋_GB2312" w:cs="仿宋_GB2312"/>
          <w:szCs w:val="24"/>
          <w:highlight w:val="none"/>
          <w:lang w:bidi="ar"/>
        </w:rPr>
        <w:t>在总规模不减少的前提下，城市黄线的具体边界、定位可在详细规划编制和实施中落实。规划划定的城市黄线严格按照相关法律法规进行管控，城市黄线一经批准，不得擅自调整，因城市发展和城市功能、布局变化等，需要调整城市黄线的，应进行规划论证，并保证基础设施的系统性和服务能力不降低。城市黄线的调整应符合国家有关规定。</w:t>
      </w:r>
    </w:p>
    <w:p w14:paraId="66AD2B06">
      <w:pPr>
        <w:keepNext/>
        <w:keepLines/>
        <w:pageBreakBefore w:val="0"/>
        <w:widowControl w:val="0"/>
        <w:numPr>
          <w:ilvl w:val="0"/>
          <w:numId w:val="5"/>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lang w:val="en-US" w:eastAsia="zh-CN"/>
        </w:rPr>
      </w:pPr>
      <w:r>
        <w:rPr>
          <w:rFonts w:hint="eastAsia" w:ascii="楷体_GB2312" w:hAnsi="Times New Roman" w:eastAsia="楷体_GB2312" w:cs="Times New Roman"/>
          <w:bCs/>
          <w:sz w:val="32"/>
          <w:szCs w:val="32"/>
          <w:lang w:val="en-US" w:eastAsia="zh-CN"/>
        </w:rPr>
        <w:t>紫线管控</w:t>
      </w:r>
    </w:p>
    <w:p w14:paraId="1AF449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江西沟镇区不涉及紫线。</w:t>
      </w:r>
    </w:p>
    <w:p w14:paraId="6C0AA64D">
      <w:pPr>
        <w:keepNext/>
        <w:keepLines/>
        <w:pageBreakBefore w:val="0"/>
        <w:widowControl w:val="0"/>
        <w:numPr>
          <w:ilvl w:val="0"/>
          <w:numId w:val="5"/>
        </w:numPr>
        <w:tabs>
          <w:tab w:val="left" w:pos="851"/>
        </w:tabs>
        <w:kinsoku/>
        <w:wordWrap/>
        <w:overflowPunct/>
        <w:topLinePunct w:val="0"/>
        <w:autoSpaceDE/>
        <w:autoSpaceDN/>
        <w:bidi w:val="0"/>
        <w:adjustRightInd/>
        <w:snapToGrid/>
        <w:spacing w:before="300" w:line="420" w:lineRule="exact"/>
        <w:ind w:left="0" w:firstLine="640" w:firstLineChars="200"/>
        <w:jc w:val="left"/>
        <w:textAlignment w:val="auto"/>
        <w:outlineLvl w:val="2"/>
        <w:rPr>
          <w:rFonts w:hint="eastAsia" w:ascii="楷体_GB2312" w:hAnsi="Times New Roman" w:eastAsia="楷体_GB2312" w:cs="Times New Roman"/>
          <w:bCs/>
          <w:sz w:val="32"/>
          <w:szCs w:val="32"/>
          <w:lang w:val="en-US" w:eastAsia="zh-CN"/>
        </w:rPr>
      </w:pPr>
      <w:r>
        <w:rPr>
          <w:rFonts w:hint="eastAsia" w:ascii="楷体_GB2312" w:hAnsi="Times New Roman" w:eastAsia="楷体_GB2312" w:cs="Times New Roman"/>
          <w:bCs/>
          <w:sz w:val="32"/>
          <w:szCs w:val="32"/>
          <w:lang w:val="en-US" w:eastAsia="zh-CN"/>
        </w:rPr>
        <w:t>蓝线管控</w:t>
      </w:r>
    </w:p>
    <w:p w14:paraId="5AB62B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仿宋_GB2312" w:cs="仿宋_GB2312"/>
          <w:szCs w:val="24"/>
          <w:highlight w:val="none"/>
          <w:lang w:bidi="ar"/>
        </w:rPr>
      </w:pPr>
      <w:r>
        <w:rPr>
          <w:rFonts w:hint="eastAsia" w:ascii="仿宋_GB2312" w:hAnsi="仿宋_GB2312" w:eastAsia="仿宋_GB2312" w:cs="仿宋_GB2312"/>
          <w:sz w:val="32"/>
          <w:szCs w:val="32"/>
          <w:lang w:val="en-US" w:eastAsia="zh-CN"/>
        </w:rPr>
        <w:t>江西沟镇区不涉及蓝线。</w:t>
      </w:r>
    </w:p>
    <w:p w14:paraId="5FE8EC75">
      <w:pPr>
        <w:rPr>
          <w:highlight w:val="none"/>
        </w:rPr>
      </w:pPr>
    </w:p>
    <w:p w14:paraId="05C435A6">
      <w:pPr>
        <w:rPr>
          <w:highlight w:val="none"/>
        </w:rPr>
      </w:pPr>
    </w:p>
    <w:p w14:paraId="534ADF6B">
      <w:pPr>
        <w:rPr>
          <w:highlight w:val="none"/>
        </w:rPr>
      </w:pPr>
    </w:p>
    <w:p w14:paraId="55CD39C7">
      <w:pPr>
        <w:widowControl/>
        <w:jc w:val="left"/>
        <w:rPr>
          <w:highlight w:val="none"/>
        </w:rPr>
      </w:pPr>
      <w:r>
        <w:rPr>
          <w:highlight w:val="none"/>
        </w:rPr>
        <w:br w:type="page"/>
      </w:r>
    </w:p>
    <w:p w14:paraId="5FD293F2">
      <w:pPr>
        <w:pStyle w:val="2"/>
        <w:ind w:left="0" w:firstLine="0"/>
        <w:rPr>
          <w:highlight w:val="none"/>
        </w:rPr>
      </w:pPr>
      <w:bookmarkStart w:id="308" w:name="_Toc23082"/>
      <w:bookmarkStart w:id="309" w:name="_Toc26905"/>
      <w:bookmarkStart w:id="310" w:name="_Toc198237423"/>
      <w:bookmarkStart w:id="311" w:name="_Toc198237536"/>
      <w:bookmarkStart w:id="312" w:name="_Toc19603"/>
      <w:r>
        <w:rPr>
          <w:rFonts w:hint="eastAsia"/>
          <w:highlight w:val="none"/>
        </w:rPr>
        <w:t>历史文化保护与景观风貌引导</w:t>
      </w:r>
      <w:bookmarkEnd w:id="308"/>
      <w:bookmarkEnd w:id="309"/>
      <w:bookmarkEnd w:id="310"/>
      <w:bookmarkEnd w:id="311"/>
      <w:bookmarkEnd w:id="312"/>
    </w:p>
    <w:p w14:paraId="2C829072">
      <w:pPr>
        <w:pStyle w:val="3"/>
        <w:numPr>
          <w:ilvl w:val="1"/>
          <w:numId w:val="15"/>
        </w:numPr>
        <w:tabs>
          <w:tab w:val="left" w:pos="353"/>
        </w:tabs>
        <w:spacing w:before="260" w:after="260" w:line="416" w:lineRule="auto"/>
        <w:rPr>
          <w:highlight w:val="none"/>
          <w:lang w:val="zh-CN"/>
        </w:rPr>
      </w:pPr>
      <w:bookmarkStart w:id="313" w:name="_Toc198237424"/>
      <w:bookmarkStart w:id="314" w:name="_Toc3026"/>
      <w:bookmarkStart w:id="315" w:name="_Toc198237537"/>
      <w:bookmarkStart w:id="316" w:name="_Toc7959"/>
      <w:bookmarkStart w:id="317" w:name="_Toc4564"/>
      <w:r>
        <w:rPr>
          <w:rFonts w:hint="eastAsia"/>
          <w:highlight w:val="none"/>
          <w:lang w:val="zh-CN"/>
        </w:rPr>
        <w:t>整体保护文化遗产，传承历史文化价值</w:t>
      </w:r>
      <w:bookmarkEnd w:id="313"/>
      <w:bookmarkEnd w:id="314"/>
      <w:bookmarkEnd w:id="315"/>
      <w:bookmarkEnd w:id="316"/>
      <w:bookmarkEnd w:id="317"/>
    </w:p>
    <w:p w14:paraId="27EC1D9D">
      <w:pPr>
        <w:pStyle w:val="60"/>
        <w:ind w:left="0" w:firstLine="640" w:firstLineChars="200"/>
        <w:rPr>
          <w:rFonts w:hint="eastAsia" w:hAnsi="Times New Roman" w:cs="Times New Roman"/>
          <w:highlight w:val="none"/>
        </w:rPr>
      </w:pPr>
      <w:bookmarkStart w:id="318" w:name="_Toc198237425"/>
      <w:r>
        <w:rPr>
          <w:rFonts w:hint="eastAsia" w:hAnsi="Times New Roman" w:cs="Times New Roman"/>
          <w:highlight w:val="none"/>
        </w:rPr>
        <w:t>健全历史文化资源保护体系</w:t>
      </w:r>
      <w:bookmarkEnd w:id="318"/>
    </w:p>
    <w:p w14:paraId="2838CC5B">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强化青海湖等自然遗产保护。</w:t>
      </w:r>
      <w:r>
        <w:rPr>
          <w:rFonts w:hint="eastAsia" w:hAnsi="仿宋_GB2312" w:cs="仿宋_GB2312"/>
          <w:szCs w:val="24"/>
          <w:highlight w:val="none"/>
          <w:lang w:bidi="ar"/>
        </w:rPr>
        <w:t>加强列入世界自然遗产预备名录的青海湖的全面保护与利用，对自然保护区、风景名胜区等各类自然遗产实施严格保护和管控，保护和恢复自然与人文景观的原真性，加强对景物、水体、植被、野生动物和各项设施的保护，适度有序开展游览或者进行科学、文化活动，相关开发活动应当与周围景观和环境相协调，不得破坏自然遗产整体风貌。</w:t>
      </w:r>
    </w:p>
    <w:p w14:paraId="26047B01">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融入全县历史文化保护格局。</w:t>
      </w:r>
      <w:r>
        <w:rPr>
          <w:rFonts w:hint="eastAsia" w:hAnsi="仿宋_GB2312" w:cs="仿宋_GB2312"/>
          <w:szCs w:val="24"/>
          <w:highlight w:val="none"/>
          <w:lang w:bidi="ar"/>
        </w:rPr>
        <w:t>共和县构建“三带四区”的保护和利用格局，江西沟镇属共和县传统民俗文化体验片区。江西沟镇依托青海湖旅游专线公路串联元者村、大仓村、莫热村，借力线性遗产廊道打造青海丝绸之路文化展示带，以廊带域，助力江西沟镇融入环湖旅游小镇建设，促进历史遗存有序转化为发展资源，并系统保护全镇历史文化资源。加强镇域文化资源挖掘和文化生态整体保护，整合镇域非物质文化遗产，塑造与青海湖景区紧密结合的传统民俗体验区，以景带区，丰富环湖旅游体验。</w:t>
      </w:r>
    </w:p>
    <w:p w14:paraId="14EF94D5">
      <w:pPr>
        <w:pStyle w:val="60"/>
        <w:ind w:left="0" w:firstLine="640" w:firstLineChars="200"/>
        <w:rPr>
          <w:rFonts w:hint="eastAsia" w:hAnsi="Times New Roman" w:cs="Times New Roman"/>
          <w:highlight w:val="none"/>
        </w:rPr>
      </w:pPr>
      <w:bookmarkStart w:id="319" w:name="_Toc7661"/>
      <w:bookmarkStart w:id="320" w:name="_Toc198237426"/>
      <w:r>
        <w:rPr>
          <w:rFonts w:hint="eastAsia" w:hAnsi="Times New Roman" w:cs="Times New Roman"/>
          <w:highlight w:val="none"/>
        </w:rPr>
        <w:t>强化历史文化保护空间管控与利用</w:t>
      </w:r>
      <w:bookmarkEnd w:id="319"/>
      <w:bookmarkEnd w:id="320"/>
    </w:p>
    <w:p w14:paraId="462D5D16">
      <w:pPr>
        <w:pStyle w:val="15"/>
        <w:ind w:firstLine="640"/>
        <w:rPr>
          <w:rFonts w:hint="eastAsia" w:hAnsi="仿宋_GB2312" w:eastAsia="仿宋_GB2312" w:cs="仿宋_GB2312"/>
          <w:szCs w:val="24"/>
          <w:highlight w:val="none"/>
          <w:lang w:eastAsia="zh-CN" w:bidi="ar"/>
        </w:rPr>
      </w:pPr>
      <w:r>
        <w:rPr>
          <w:rFonts w:hint="eastAsia" w:ascii="楷体_GB2312" w:hAnsi="仿宋_GB2312" w:eastAsia="楷体_GB2312" w:cs="仿宋_GB2312"/>
          <w:szCs w:val="24"/>
          <w:highlight w:val="none"/>
          <w:lang w:bidi="ar"/>
        </w:rPr>
        <w:t>线性生态人文景观廊道保护。</w:t>
      </w:r>
      <w:r>
        <w:rPr>
          <w:rFonts w:hint="eastAsia" w:hAnsi="仿宋_GB2312" w:cs="仿宋_GB2312"/>
          <w:szCs w:val="24"/>
          <w:highlight w:val="none"/>
          <w:lang w:bidi="ar"/>
        </w:rPr>
        <w:t>包括青海丝绸之路南线</w:t>
      </w:r>
      <w:r>
        <w:rPr>
          <w:rFonts w:hint="eastAsia" w:hAnsi="仿宋_GB2312" w:cs="仿宋_GB2312"/>
          <w:szCs w:val="24"/>
          <w:highlight w:val="none"/>
          <w:lang w:eastAsia="zh-CN" w:bidi="ar"/>
        </w:rPr>
        <w:t>，</w:t>
      </w:r>
      <w:r>
        <w:rPr>
          <w:rFonts w:hint="eastAsia" w:hAnsi="仿宋_GB2312" w:cs="仿宋_GB2312"/>
          <w:szCs w:val="24"/>
          <w:highlight w:val="none"/>
          <w:lang w:bidi="ar"/>
        </w:rPr>
        <w:t>位于横穿江西沟镇的青海湖旅游专线沿线。加强沿线自然景观与文化遗产整体管控，保护并恢复廊道的整体历史风貌与结构；加强沿线城镇文化旅游协同发展，增强线路展示与宣传，贯通景观休闲系统。</w:t>
      </w:r>
      <w:r>
        <w:rPr>
          <w:rFonts w:hint="eastAsia" w:hAnsi="仿宋_GB2312" w:cs="仿宋_GB2312"/>
          <w:szCs w:val="24"/>
          <w:highlight w:val="none"/>
          <w:lang w:val="en-US" w:eastAsia="zh-CN" w:bidi="ar"/>
        </w:rPr>
        <w:t>新建、改建</w:t>
      </w:r>
      <w:r>
        <w:rPr>
          <w:rFonts w:hint="eastAsia" w:hAnsi="仿宋_GB2312" w:cs="仿宋_GB2312"/>
          <w:szCs w:val="24"/>
          <w:highlight w:val="none"/>
          <w:lang w:bidi="ar"/>
        </w:rPr>
        <w:t>电力、通信等线型设施不</w:t>
      </w:r>
      <w:r>
        <w:rPr>
          <w:rFonts w:hint="eastAsia" w:hAnsi="仿宋_GB2312" w:cs="仿宋_GB2312"/>
          <w:szCs w:val="24"/>
          <w:highlight w:val="none"/>
          <w:lang w:val="en-US" w:eastAsia="zh-CN" w:bidi="ar"/>
        </w:rPr>
        <w:t>得</w:t>
      </w:r>
      <w:r>
        <w:rPr>
          <w:rFonts w:hint="eastAsia" w:hAnsi="仿宋_GB2312" w:cs="仿宋_GB2312"/>
          <w:szCs w:val="24"/>
          <w:highlight w:val="none"/>
          <w:lang w:bidi="ar"/>
        </w:rPr>
        <w:t>影响青海湖景观</w:t>
      </w:r>
      <w:r>
        <w:rPr>
          <w:rFonts w:hint="eastAsia" w:hAnsi="仿宋_GB2312" w:cs="仿宋_GB2312"/>
          <w:szCs w:val="24"/>
          <w:highlight w:val="none"/>
          <w:lang w:eastAsia="zh-CN" w:bidi="ar"/>
        </w:rPr>
        <w:t>。</w:t>
      </w:r>
    </w:p>
    <w:p w14:paraId="5558E730">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保护传承非物质文化遗产和传统文化。</w:t>
      </w:r>
      <w:r>
        <w:rPr>
          <w:rFonts w:hint="eastAsia" w:hAnsi="仿宋_GB2312" w:cs="仿宋_GB2312"/>
          <w:szCs w:val="24"/>
          <w:highlight w:val="none"/>
          <w:lang w:bidi="ar"/>
        </w:rPr>
        <w:t>江西沟镇加强本地独具特色的民俗节庆活动、民间口头文学、地方特产、特色美食、传统手工技能和表演艺术的保护。积极利用旅游文化建设保护和推广当地非物质文化遗产，保护、培养非物质文化遗产的传承人。如定期举办非物质文化遗产节庆活动、开发非物质文化遗产和传统文化为主要内容的旅游活动等。</w:t>
      </w:r>
    </w:p>
    <w:p w14:paraId="4EAA003E">
      <w:pPr>
        <w:pStyle w:val="3"/>
        <w:numPr>
          <w:ilvl w:val="1"/>
          <w:numId w:val="15"/>
        </w:numPr>
        <w:tabs>
          <w:tab w:val="left" w:pos="353"/>
        </w:tabs>
        <w:spacing w:before="260" w:after="260" w:line="416" w:lineRule="auto"/>
        <w:rPr>
          <w:highlight w:val="none"/>
          <w:lang w:val="zh-CN"/>
        </w:rPr>
      </w:pPr>
      <w:bookmarkStart w:id="321" w:name="_Toc25183"/>
      <w:bookmarkStart w:id="322" w:name="_Toc22738"/>
      <w:bookmarkStart w:id="323" w:name="_Toc13601"/>
      <w:bookmarkStart w:id="324" w:name="_Toc24356"/>
      <w:bookmarkStart w:id="325" w:name="_Toc198237538"/>
      <w:bookmarkStart w:id="326" w:name="_Toc198237427"/>
      <w:r>
        <w:rPr>
          <w:rFonts w:hint="eastAsia"/>
          <w:highlight w:val="none"/>
          <w:lang w:val="zh-CN"/>
        </w:rPr>
        <w:t>美丽城镇建设与风貌引导</w:t>
      </w:r>
      <w:bookmarkEnd w:id="321"/>
      <w:bookmarkEnd w:id="322"/>
      <w:bookmarkEnd w:id="323"/>
      <w:bookmarkEnd w:id="324"/>
      <w:bookmarkEnd w:id="325"/>
      <w:bookmarkEnd w:id="326"/>
    </w:p>
    <w:p w14:paraId="6AD82243">
      <w:pPr>
        <w:pStyle w:val="60"/>
        <w:ind w:left="0" w:firstLine="640" w:firstLineChars="200"/>
        <w:rPr>
          <w:rFonts w:hint="eastAsia" w:hAnsi="Times New Roman" w:cs="Times New Roman"/>
          <w:highlight w:val="none"/>
        </w:rPr>
      </w:pPr>
      <w:bookmarkStart w:id="327" w:name="_Toc12590"/>
      <w:bookmarkStart w:id="328" w:name="_Toc198237428"/>
      <w:r>
        <w:rPr>
          <w:rFonts w:hint="eastAsia" w:hAnsi="Times New Roman" w:cs="Times New Roman"/>
          <w:highlight w:val="none"/>
        </w:rPr>
        <w:t>构建美丽城镇景观</w:t>
      </w:r>
      <w:bookmarkEnd w:id="327"/>
      <w:bookmarkEnd w:id="328"/>
    </w:p>
    <w:p w14:paraId="00A75915">
      <w:pPr>
        <w:pStyle w:val="15"/>
        <w:ind w:firstLine="640"/>
        <w:rPr>
          <w:rFonts w:hAnsi="仿宋_GB2312" w:cs="仿宋_GB2312"/>
          <w:szCs w:val="24"/>
          <w:highlight w:val="none"/>
          <w:lang w:bidi="ar"/>
        </w:rPr>
      </w:pPr>
      <w:r>
        <w:rPr>
          <w:rFonts w:hint="eastAsia" w:hAnsi="仿宋_GB2312" w:cs="仿宋_GB2312"/>
          <w:szCs w:val="24"/>
          <w:highlight w:val="none"/>
          <w:lang w:bidi="ar"/>
        </w:rPr>
        <w:t>以全面促进共和县高原美丽城镇建设，提升城镇功能品质，创造良好的生产生活环境为规划目标，形成“山湖相映，景镇融合。”的天蓝、地绿、水秀的魅力江西沟，打造宜居、闲适、恬静的城乡总体风貌。</w:t>
      </w:r>
    </w:p>
    <w:p w14:paraId="2F112E1B">
      <w:pPr>
        <w:pStyle w:val="60"/>
        <w:ind w:left="0" w:firstLine="640" w:firstLineChars="200"/>
        <w:rPr>
          <w:rFonts w:hint="eastAsia" w:hAnsi="Times New Roman" w:cs="Times New Roman"/>
          <w:highlight w:val="none"/>
        </w:rPr>
      </w:pPr>
      <w:bookmarkStart w:id="329" w:name="_Toc26935"/>
      <w:bookmarkStart w:id="330" w:name="_Toc198237429"/>
      <w:r>
        <w:rPr>
          <w:rFonts w:hint="eastAsia" w:hAnsi="Times New Roman" w:cs="Times New Roman"/>
          <w:highlight w:val="none"/>
        </w:rPr>
        <w:t>城乡特色风貌引导与管控</w:t>
      </w:r>
      <w:bookmarkEnd w:id="329"/>
      <w:bookmarkEnd w:id="330"/>
    </w:p>
    <w:p w14:paraId="4122937B">
      <w:pPr>
        <w:pStyle w:val="15"/>
        <w:ind w:firstLine="640"/>
        <w:rPr>
          <w:rFonts w:hAnsi="仿宋_GB2312" w:cs="仿宋_GB2312"/>
          <w:szCs w:val="24"/>
          <w:highlight w:val="none"/>
          <w:lang w:bidi="ar"/>
        </w:rPr>
      </w:pPr>
      <w:r>
        <w:rPr>
          <w:rFonts w:hint="eastAsia" w:hAnsi="仿宋_GB2312" w:cs="仿宋_GB2312"/>
          <w:szCs w:val="24"/>
          <w:highlight w:val="none"/>
          <w:lang w:bidi="ar"/>
        </w:rPr>
        <w:t>依托山水资源本底，以体现高原牧区风貌、彰显城镇特色为原则，构建城乡风貌格局。依托江西沟镇区、中心村、一般村，打造两个风貌分区。</w:t>
      </w:r>
    </w:p>
    <w:p w14:paraId="6680BA93">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江西沟镇镇区沿街街区划定为重要建设区。</w:t>
      </w:r>
      <w:r>
        <w:rPr>
          <w:rFonts w:hint="eastAsia" w:hAnsi="仿宋_GB2312" w:cs="仿宋_GB2312"/>
          <w:szCs w:val="24"/>
          <w:highlight w:val="none"/>
          <w:lang w:bidi="ar"/>
        </w:rPr>
        <w:t>镇区风貌突出“藏风新韵、古今交融”，建筑风格以新藏式为主，依托江西沟镇得天独厚的“山、湖、河、草”生态本底和民俗文化，抽象、简化藏式元素，活化利用民族相关元素，弱化符号化的装饰，采用传统肌理演绎形式，包括围合式、簇群式、行列式，鼓励丰富多样的建筑组合形式。在滨水、滨湖部分与环境相协调，建筑组合不宜呆板单调。在镇区营造生态格局优越、地域文化突出的新藏式小镇整体风貌。</w:t>
      </w:r>
    </w:p>
    <w:p w14:paraId="73827650">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结合生态景观节点划定青海湖自然保护区</w:t>
      </w:r>
      <w:r>
        <w:rPr>
          <w:rFonts w:hint="eastAsia" w:hAnsi="仿宋_GB2312" w:cs="仿宋_GB2312"/>
          <w:szCs w:val="24"/>
          <w:highlight w:val="none"/>
          <w:lang w:bidi="ar"/>
        </w:rPr>
        <w:t>。依托江西沟镇的生态本底以及民俗文化，以生态保护为重点，保留牧区原生态格局，打造藏式传统生态风貌区。</w:t>
      </w:r>
    </w:p>
    <w:p w14:paraId="6F01BDE4">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建筑风格引导。</w:t>
      </w:r>
      <w:r>
        <w:rPr>
          <w:rFonts w:hint="eastAsia" w:hAnsi="仿宋_GB2312" w:cs="仿宋_GB2312"/>
          <w:szCs w:val="24"/>
          <w:highlight w:val="none"/>
          <w:lang w:bidi="ar"/>
        </w:rPr>
        <w:t>公共建筑以藏式传统公共建筑基本特征为基础，适度展示时代精神。居住建筑以庄廓基本形态为主，建筑风格以仿藏式风格为主，抽象、简化藏式元素，弱化符号化的装饰，宜采用传统肌理演绎形式。</w:t>
      </w:r>
    </w:p>
    <w:p w14:paraId="30DEC426">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建筑色彩。</w:t>
      </w:r>
      <w:r>
        <w:rPr>
          <w:rFonts w:hint="eastAsia" w:hAnsi="仿宋_GB2312" w:cs="仿宋_GB2312"/>
          <w:szCs w:val="24"/>
          <w:highlight w:val="none"/>
          <w:lang w:bidi="ar"/>
        </w:rPr>
        <w:t>江西沟镇临街建筑总体风格为典型的藏式风格，色彩以藏民族传统的白色、土黄色和红色为主。规划建筑主体色为灰色和白色，辅助色为土黄色，用于建筑外墙面，点缀色为藏红色和灰色，用于女儿墙、窗框窗楣等建筑细部装饰。外墙采用土黄色和灰色文化石贴面与白色外墙结合，部分墙体做藏式风格上小下大的斜墙面，体现厚重、坚固的建筑特色。</w:t>
      </w:r>
    </w:p>
    <w:p w14:paraId="0B46A6E5">
      <w:pPr>
        <w:rPr>
          <w:b/>
          <w:highlight w:val="none"/>
        </w:rPr>
      </w:pPr>
    </w:p>
    <w:p w14:paraId="09F0AC8E">
      <w:pPr>
        <w:pStyle w:val="2"/>
        <w:ind w:left="0" w:firstLine="0"/>
        <w:rPr>
          <w:highlight w:val="none"/>
        </w:rPr>
      </w:pPr>
      <w:r>
        <w:rPr>
          <w:highlight w:val="none"/>
        </w:rPr>
        <w:br w:type="page"/>
      </w:r>
      <w:bookmarkStart w:id="331" w:name="_Toc198237430"/>
      <w:bookmarkStart w:id="332" w:name="_Toc10492"/>
      <w:bookmarkStart w:id="333" w:name="_Toc19583"/>
      <w:bookmarkStart w:id="334" w:name="_Toc198237539"/>
      <w:bookmarkStart w:id="335" w:name="_Toc27644"/>
      <w:bookmarkStart w:id="336" w:name="_Toc14843"/>
      <w:r>
        <w:rPr>
          <w:rFonts w:hint="eastAsia"/>
          <w:highlight w:val="none"/>
        </w:rPr>
        <w:t>强化空间统筹，保障重大基础设施建设</w:t>
      </w:r>
      <w:bookmarkEnd w:id="331"/>
      <w:bookmarkEnd w:id="332"/>
      <w:bookmarkEnd w:id="333"/>
      <w:bookmarkEnd w:id="334"/>
      <w:bookmarkEnd w:id="335"/>
      <w:bookmarkEnd w:id="336"/>
    </w:p>
    <w:p w14:paraId="71188B5D">
      <w:pPr>
        <w:pStyle w:val="3"/>
        <w:numPr>
          <w:ilvl w:val="1"/>
          <w:numId w:val="16"/>
        </w:numPr>
        <w:tabs>
          <w:tab w:val="left" w:pos="353"/>
        </w:tabs>
        <w:spacing w:before="260" w:after="260" w:line="416" w:lineRule="auto"/>
        <w:rPr>
          <w:highlight w:val="none"/>
          <w:lang w:val="zh-CN"/>
        </w:rPr>
      </w:pPr>
      <w:bookmarkStart w:id="337" w:name="_Toc6943"/>
      <w:bookmarkStart w:id="338" w:name="_Toc11457"/>
      <w:bookmarkStart w:id="339" w:name="_Toc198237431"/>
      <w:bookmarkStart w:id="340" w:name="_Toc11755"/>
      <w:bookmarkStart w:id="341" w:name="_Toc13536"/>
      <w:bookmarkStart w:id="342" w:name="_Toc198237540"/>
      <w:r>
        <w:rPr>
          <w:rFonts w:hint="eastAsia"/>
          <w:highlight w:val="none"/>
          <w:lang w:val="zh-CN"/>
        </w:rPr>
        <w:t>优化综合交通和物流网络布局</w:t>
      </w:r>
      <w:bookmarkEnd w:id="337"/>
      <w:bookmarkEnd w:id="338"/>
      <w:bookmarkEnd w:id="339"/>
      <w:bookmarkEnd w:id="340"/>
      <w:bookmarkEnd w:id="341"/>
      <w:bookmarkEnd w:id="342"/>
    </w:p>
    <w:p w14:paraId="55A76F70">
      <w:pPr>
        <w:pStyle w:val="60"/>
        <w:ind w:left="0" w:firstLine="640" w:firstLineChars="200"/>
        <w:rPr>
          <w:rFonts w:hint="eastAsia" w:hAnsi="Times New Roman" w:cs="Times New Roman"/>
          <w:highlight w:val="none"/>
        </w:rPr>
      </w:pPr>
      <w:bookmarkStart w:id="343" w:name="_Toc198237432"/>
      <w:bookmarkStart w:id="344" w:name="_Toc10281"/>
      <w:r>
        <w:rPr>
          <w:rFonts w:hint="eastAsia" w:hAnsi="Times New Roman" w:cs="Times New Roman"/>
          <w:highlight w:val="none"/>
        </w:rPr>
        <w:t>构建综合交通体系</w:t>
      </w:r>
      <w:bookmarkEnd w:id="343"/>
      <w:bookmarkEnd w:id="344"/>
    </w:p>
    <w:p w14:paraId="136AF0E2">
      <w:pPr>
        <w:pStyle w:val="15"/>
        <w:ind w:firstLine="640"/>
        <w:rPr>
          <w:rFonts w:hAnsi="仿宋_GB2312" w:cs="仿宋_GB2312"/>
          <w:szCs w:val="24"/>
          <w:highlight w:val="none"/>
          <w:lang w:bidi="ar"/>
        </w:rPr>
      </w:pPr>
      <w:r>
        <w:rPr>
          <w:rFonts w:hint="eastAsia" w:hAnsi="仿宋_GB2312" w:cs="仿宋_GB2312"/>
          <w:szCs w:val="24"/>
          <w:highlight w:val="none"/>
          <w:lang w:bidi="ar"/>
        </w:rPr>
        <w:t>加快构建综合交通运输体系。加强交通运输体系建设与管理，提高各种对外交通运输整体联运效能，形成铁路、公路等各种运输方式协调发展的综合交通运输体系。与全县共同打造泛共和盆地城镇区交通极核。</w:t>
      </w:r>
    </w:p>
    <w:p w14:paraId="08A7D5BD">
      <w:pPr>
        <w:pStyle w:val="60"/>
        <w:ind w:left="0" w:firstLine="640" w:firstLineChars="200"/>
        <w:rPr>
          <w:rFonts w:hint="eastAsia" w:hAnsi="Times New Roman" w:cs="Times New Roman"/>
          <w:highlight w:val="none"/>
        </w:rPr>
      </w:pPr>
      <w:bookmarkStart w:id="345" w:name="_Toc198237433"/>
      <w:bookmarkStart w:id="346" w:name="_Toc29182"/>
      <w:r>
        <w:rPr>
          <w:rFonts w:hint="eastAsia" w:hAnsi="Times New Roman" w:cs="Times New Roman"/>
          <w:highlight w:val="none"/>
        </w:rPr>
        <w:t>完善村庄道路网</w:t>
      </w:r>
      <w:bookmarkEnd w:id="345"/>
    </w:p>
    <w:p w14:paraId="29BF59A7">
      <w:pPr>
        <w:pStyle w:val="15"/>
        <w:ind w:firstLine="640"/>
        <w:rPr>
          <w:rFonts w:hAnsi="仿宋_GB2312" w:cs="仿宋_GB2312"/>
          <w:szCs w:val="24"/>
          <w:highlight w:val="none"/>
          <w:lang w:bidi="ar"/>
        </w:rPr>
      </w:pPr>
      <w:r>
        <w:rPr>
          <w:rFonts w:hint="eastAsia" w:hAnsi="仿宋_GB2312" w:cs="仿宋_GB2312"/>
          <w:szCs w:val="24"/>
          <w:highlight w:val="none"/>
          <w:lang w:bidi="ar"/>
        </w:rPr>
        <w:t>至规划期末，规划完善“两横多纵”的乡村道路网。规划城镇村道路红线宽度6米。</w:t>
      </w:r>
    </w:p>
    <w:p w14:paraId="2CDF12AB">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两横：</w:t>
      </w:r>
      <w:r>
        <w:rPr>
          <w:rFonts w:hint="eastAsia" w:hAnsi="仿宋_GB2312" w:cs="仿宋_GB2312"/>
          <w:szCs w:val="24"/>
          <w:highlight w:val="none"/>
          <w:lang w:bidi="ar"/>
        </w:rPr>
        <w:t>青海湖旅游专用公路（现状二级公路改扩建，一级公路）、莫热村－正却乎村公路（Y109</w:t>
      </w:r>
      <w:r>
        <w:rPr>
          <w:rFonts w:hint="eastAsia" w:hAnsi="仿宋_GB2312" w:cs="仿宋_GB2312"/>
          <w:szCs w:val="24"/>
          <w:highlight w:val="none"/>
          <w:lang w:eastAsia="zh-CN" w:bidi="ar"/>
        </w:rPr>
        <w:t>）</w:t>
      </w:r>
      <w:r>
        <w:rPr>
          <w:rFonts w:hint="eastAsia" w:hAnsi="仿宋_GB2312" w:cs="仿宋_GB2312"/>
          <w:szCs w:val="24"/>
          <w:highlight w:val="none"/>
          <w:lang w:bidi="ar"/>
        </w:rPr>
        <w:t>。</w:t>
      </w:r>
    </w:p>
    <w:p w14:paraId="04DBEA0A">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多纵：</w:t>
      </w:r>
      <w:r>
        <w:rPr>
          <w:rFonts w:hint="eastAsia" w:hAnsi="仿宋_GB2312" w:cs="仿宋_GB2312"/>
          <w:szCs w:val="24"/>
          <w:highlight w:val="none"/>
          <w:lang w:bidi="ar"/>
        </w:rPr>
        <w:t>各村域内形成连接北侧青海湖旅游专用公路、南侧Y109的多条村内道路网。</w:t>
      </w:r>
    </w:p>
    <w:p w14:paraId="03AE32CA">
      <w:pPr>
        <w:pStyle w:val="15"/>
        <w:ind w:firstLine="640"/>
        <w:rPr>
          <w:rFonts w:hAnsi="仿宋_GB2312" w:cs="仿宋_GB2312"/>
          <w:szCs w:val="24"/>
          <w:highlight w:val="none"/>
          <w:lang w:bidi="ar"/>
        </w:rPr>
      </w:pPr>
      <w:r>
        <w:rPr>
          <w:rFonts w:hint="eastAsia" w:hAnsi="仿宋_GB2312" w:cs="仿宋_GB2312"/>
          <w:szCs w:val="24"/>
          <w:highlight w:val="none"/>
          <w:lang w:bidi="ar"/>
        </w:rPr>
        <w:t>推进“四好农村路”建设，实现全县各行政村通双车道四级公路比例达100%，推进较大人口规模的自然村通双车道硬化公路，提升农村公路覆盖广度和深度。合理布局村庄道路。小街巷突出江西沟乡土特色。因地制宜</w:t>
      </w:r>
      <w:r>
        <w:rPr>
          <w:rFonts w:hint="eastAsia" w:hAnsi="仿宋_GB2312" w:cs="仿宋_GB2312"/>
          <w:szCs w:val="24"/>
          <w:highlight w:val="none"/>
          <w:lang w:eastAsia="zh-CN" w:bidi="ar"/>
        </w:rPr>
        <w:t>地</w:t>
      </w:r>
      <w:r>
        <w:rPr>
          <w:rFonts w:hint="eastAsia" w:hAnsi="仿宋_GB2312" w:cs="仿宋_GB2312"/>
          <w:szCs w:val="24"/>
          <w:highlight w:val="none"/>
          <w:lang w:bidi="ar"/>
        </w:rPr>
        <w:t>选择路面硬化材料。出村道路安全通畅，实现镇与村、村与村之间通过乡道及以上道路相连，同时规划村道以树杈状连通农村居民点。</w:t>
      </w:r>
    </w:p>
    <w:p w14:paraId="4CDF28DA">
      <w:pPr>
        <w:pStyle w:val="60"/>
        <w:ind w:left="0" w:firstLine="640" w:firstLineChars="200"/>
        <w:rPr>
          <w:rFonts w:hint="eastAsia" w:hAnsi="Times New Roman" w:cs="Times New Roman"/>
          <w:highlight w:val="none"/>
        </w:rPr>
      </w:pPr>
      <w:bookmarkStart w:id="347" w:name="_Toc198237434"/>
      <w:r>
        <w:rPr>
          <w:rFonts w:hint="eastAsia" w:hAnsi="Times New Roman" w:cs="Times New Roman"/>
          <w:highlight w:val="none"/>
        </w:rPr>
        <w:t>预控铁路廊道实现跨越式发展</w:t>
      </w:r>
      <w:bookmarkEnd w:id="346"/>
      <w:bookmarkEnd w:id="347"/>
    </w:p>
    <w:p w14:paraId="282F1940">
      <w:pPr>
        <w:pStyle w:val="15"/>
        <w:ind w:firstLine="640"/>
        <w:rPr>
          <w:rFonts w:hAnsi="仿宋_GB2312" w:cs="仿宋_GB2312"/>
          <w:szCs w:val="24"/>
          <w:highlight w:val="none"/>
          <w:lang w:bidi="ar"/>
        </w:rPr>
      </w:pPr>
      <w:r>
        <w:rPr>
          <w:rFonts w:hint="eastAsia" w:hAnsi="仿宋_GB2312" w:cs="仿宋_GB2312"/>
          <w:szCs w:val="24"/>
          <w:highlight w:val="none"/>
          <w:lang w:bidi="ar"/>
        </w:rPr>
        <w:t>借力区域铁路发展机遇，加快推进铁路建设，衔接区域大通道，融入区域铁路网。通过铁路干线，提升客运出行效率，引导大宗物资运输实现“公转铁”，加快推进“西宁-共和-青海湖-茶卡”城际铁路青海湖站的建设。助力共和充分融入“西宁-海东都市圈”，与西宁共建“1小时核心交通圈”，实现同城化、—体化发展。</w:t>
      </w:r>
    </w:p>
    <w:p w14:paraId="31E86EDD">
      <w:pPr>
        <w:pStyle w:val="15"/>
        <w:ind w:firstLine="640"/>
        <w:rPr>
          <w:rFonts w:hAnsi="仿宋_GB2312" w:cs="仿宋_GB2312"/>
          <w:szCs w:val="24"/>
          <w:highlight w:val="none"/>
          <w:lang w:bidi="ar"/>
        </w:rPr>
      </w:pPr>
      <w:r>
        <w:rPr>
          <w:rFonts w:hint="eastAsia" w:hAnsi="仿宋_GB2312" w:cs="仿宋_GB2312"/>
          <w:szCs w:val="24"/>
          <w:highlight w:val="none"/>
          <w:lang w:bidi="ar"/>
        </w:rPr>
        <w:t>有效预留普通铁路廊道。</w:t>
      </w:r>
      <w:bookmarkStart w:id="348" w:name="_Hlk164960439"/>
      <w:r>
        <w:rPr>
          <w:rFonts w:hint="eastAsia" w:hAnsi="仿宋_GB2312" w:cs="仿宋_GB2312"/>
          <w:szCs w:val="24"/>
          <w:highlight w:val="none"/>
          <w:lang w:bidi="ar"/>
        </w:rPr>
        <w:t>预留“青藏滇”铁路建设项目线路廊道，铁路线两侧安全保护范围各10米。积极打造公路货运与铁路高效衔接的多式链，以青海湖站为枢纽节点，形成统一的多式联运标准和准则。</w:t>
      </w:r>
      <w:bookmarkEnd w:id="348"/>
    </w:p>
    <w:p w14:paraId="3CF1DA1E">
      <w:pPr>
        <w:pStyle w:val="60"/>
        <w:rPr>
          <w:highlight w:val="none"/>
        </w:rPr>
      </w:pPr>
      <w:bookmarkStart w:id="349" w:name="_Toc198237435"/>
      <w:bookmarkStart w:id="350" w:name="_Toc12231"/>
      <w:r>
        <w:rPr>
          <w:rFonts w:hint="eastAsia"/>
          <w:highlight w:val="none"/>
        </w:rPr>
        <w:t>提质增效建设高标准公路网络</w:t>
      </w:r>
      <w:bookmarkEnd w:id="349"/>
      <w:bookmarkEnd w:id="350"/>
    </w:p>
    <w:p w14:paraId="254995D4">
      <w:pPr>
        <w:pStyle w:val="15"/>
        <w:ind w:firstLine="640"/>
        <w:rPr>
          <w:rFonts w:hAnsi="仿宋_GB2312" w:cs="仿宋_GB2312"/>
          <w:szCs w:val="24"/>
          <w:highlight w:val="none"/>
          <w:lang w:bidi="ar"/>
        </w:rPr>
      </w:pPr>
      <w:r>
        <w:rPr>
          <w:rFonts w:hint="eastAsia" w:hAnsi="仿宋_GB2312" w:cs="仿宋_GB2312"/>
          <w:szCs w:val="24"/>
          <w:highlight w:val="none"/>
          <w:lang w:bidi="ar"/>
        </w:rPr>
        <w:t>构筑完善的高等级公路骨架网，至规划期末，形成“两横两纵”的高等级公路主骨架网络，实现高等级公路互联互通、覆盖成网。</w:t>
      </w:r>
    </w:p>
    <w:p w14:paraId="1305B332">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两横：</w:t>
      </w:r>
      <w:r>
        <w:rPr>
          <w:rFonts w:hint="eastAsia" w:hAnsi="仿宋_GB2312" w:cs="仿宋_GB2312"/>
          <w:szCs w:val="24"/>
          <w:highlight w:val="none"/>
          <w:lang w:bidi="ar"/>
        </w:rPr>
        <w:t>青海湖旅游专用公路（现状二级公路改扩建，一级公路）、莫热村－正却乎村公路。</w:t>
      </w:r>
    </w:p>
    <w:p w14:paraId="5CB83C16">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两纵：</w:t>
      </w:r>
      <w:r>
        <w:rPr>
          <w:rFonts w:hint="eastAsia" w:hAnsi="仿宋_GB2312" w:cs="仿宋_GB2312"/>
          <w:szCs w:val="24"/>
          <w:highlight w:val="none"/>
          <w:lang w:bidi="ar"/>
        </w:rPr>
        <w:t>江西沟莫热至廿地乡切扎村公路、省道S307。</w:t>
      </w:r>
    </w:p>
    <w:p w14:paraId="22E5F74E">
      <w:pPr>
        <w:pStyle w:val="15"/>
        <w:ind w:firstLine="640"/>
        <w:rPr>
          <w:rFonts w:hAnsi="仿宋_GB2312" w:cs="仿宋_GB2312"/>
          <w:szCs w:val="24"/>
          <w:highlight w:val="none"/>
          <w:lang w:bidi="ar"/>
        </w:rPr>
      </w:pPr>
      <w:r>
        <w:rPr>
          <w:rFonts w:hint="eastAsia" w:hAnsi="仿宋_GB2312" w:cs="仿宋_GB2312"/>
          <w:szCs w:val="24"/>
          <w:highlight w:val="none"/>
          <w:lang w:bidi="ar"/>
        </w:rPr>
        <w:t>以优化路网结构和提高服务水平为重点，推进普通国、省干线公路升级改造。至规划期末，普通国、省干线全部达到二级公路及以上技术标准，与高速公路、一级公路共同支撑县域乡镇1.5小时交通便捷可达。</w:t>
      </w:r>
    </w:p>
    <w:p w14:paraId="6B4D209C">
      <w:pPr>
        <w:pStyle w:val="15"/>
        <w:ind w:firstLine="640"/>
        <w:rPr>
          <w:rFonts w:hAnsi="仿宋_GB2312" w:cs="仿宋_GB2312"/>
          <w:szCs w:val="24"/>
          <w:highlight w:val="none"/>
          <w:lang w:bidi="ar"/>
        </w:rPr>
      </w:pPr>
      <w:r>
        <w:rPr>
          <w:rFonts w:hint="eastAsia" w:hAnsi="仿宋_GB2312" w:cs="仿宋_GB2312"/>
          <w:szCs w:val="24"/>
          <w:highlight w:val="none"/>
          <w:lang w:bidi="ar"/>
        </w:rPr>
        <w:t>其中，公路建筑控制区的范围，从公路用地外缘起向外的距离标准为：国道不少于20米；省道不少于15米；属于高速公路的，公路建筑控制区的范围从公路用地外缘起向外的距离标准不少于30米。</w:t>
      </w:r>
    </w:p>
    <w:p w14:paraId="08E8E022">
      <w:pPr>
        <w:pStyle w:val="60"/>
        <w:ind w:left="0" w:firstLine="640" w:firstLineChars="200"/>
        <w:rPr>
          <w:rFonts w:hint="eastAsia" w:hAnsi="Times New Roman" w:cs="Times New Roman"/>
          <w:highlight w:val="none"/>
        </w:rPr>
      </w:pPr>
      <w:bookmarkStart w:id="351" w:name="_Toc198237436"/>
      <w:bookmarkStart w:id="352" w:name="_Toc30272"/>
      <w:r>
        <w:rPr>
          <w:rFonts w:hint="eastAsia" w:hAnsi="Times New Roman" w:cs="Times New Roman"/>
          <w:highlight w:val="none"/>
        </w:rPr>
        <w:t>统筹一体高质量发展城乡公交</w:t>
      </w:r>
      <w:bookmarkEnd w:id="351"/>
      <w:bookmarkEnd w:id="352"/>
    </w:p>
    <w:p w14:paraId="68EB3BB6">
      <w:pPr>
        <w:pStyle w:val="15"/>
        <w:ind w:firstLine="640"/>
        <w:rPr>
          <w:rFonts w:hAnsi="仿宋_GB2312" w:cs="仿宋_GB2312"/>
          <w:szCs w:val="24"/>
          <w:highlight w:val="none"/>
          <w:lang w:bidi="ar"/>
        </w:rPr>
      </w:pPr>
      <w:r>
        <w:rPr>
          <w:rFonts w:hint="eastAsia" w:hAnsi="仿宋_GB2312" w:cs="仿宋_GB2312"/>
          <w:szCs w:val="24"/>
          <w:highlight w:val="none"/>
          <w:lang w:bidi="ar"/>
        </w:rPr>
        <w:t>以城乡公交—体化发展为目标，推动城乡公交提质增效，拓展通达深度、发车频率和服务效率。</w:t>
      </w:r>
      <w:bookmarkStart w:id="353" w:name="_Hlk155187357"/>
      <w:r>
        <w:rPr>
          <w:rFonts w:hint="eastAsia" w:hAnsi="仿宋_GB2312" w:cs="仿宋_GB2312"/>
          <w:szCs w:val="24"/>
          <w:highlight w:val="none"/>
          <w:lang w:bidi="ar"/>
        </w:rPr>
        <w:t>推进交旅设施融合发展，结合青海湖国家公园基础设施建设，逐步完善交通设施，优化公交线网和场站布局，加快充电设施建设，加快补齐城镇公交设施短板，提升改造现状江西沟站综合客运中心，建设公交港湾、公共停车场等，提升公共交通转换效率。依托青海湖景观节点，重点打造自助（驾）游租赁服务体系，推动城乡公交高质量发展，促进交旅融合良性互动。</w:t>
      </w:r>
      <w:bookmarkEnd w:id="353"/>
    </w:p>
    <w:p w14:paraId="235E9A46">
      <w:pPr>
        <w:pStyle w:val="60"/>
        <w:ind w:left="0" w:firstLine="640" w:firstLineChars="200"/>
        <w:rPr>
          <w:rFonts w:hint="eastAsia" w:hAnsi="Times New Roman" w:cs="Times New Roman"/>
          <w:highlight w:val="none"/>
        </w:rPr>
      </w:pPr>
      <w:bookmarkStart w:id="354" w:name="_Toc28227"/>
      <w:bookmarkStart w:id="355" w:name="_Toc198237437"/>
      <w:r>
        <w:rPr>
          <w:rFonts w:hint="eastAsia" w:hAnsi="Times New Roman" w:cs="Times New Roman"/>
          <w:highlight w:val="none"/>
        </w:rPr>
        <w:t>多式协同完善现代化物流体系</w:t>
      </w:r>
      <w:bookmarkEnd w:id="354"/>
      <w:bookmarkEnd w:id="355"/>
    </w:p>
    <w:p w14:paraId="7F512B25">
      <w:pPr>
        <w:pStyle w:val="15"/>
        <w:ind w:firstLine="640"/>
        <w:rPr>
          <w:rFonts w:hAnsi="仿宋_GB2312" w:cs="仿宋_GB2312"/>
          <w:szCs w:val="24"/>
          <w:highlight w:val="none"/>
          <w:lang w:bidi="ar"/>
        </w:rPr>
      </w:pPr>
      <w:r>
        <w:rPr>
          <w:rFonts w:hint="eastAsia" w:hAnsi="仿宋_GB2312" w:cs="仿宋_GB2312"/>
          <w:szCs w:val="24"/>
          <w:highlight w:val="none"/>
          <w:lang w:bidi="ar"/>
        </w:rPr>
        <w:t>构建完善的物流运输网络。结合县域城镇物流体系规划，加快建设江西沟镇专业物流中心，在镇区设置一处物流集散点。依托覆盖镇域的综合立体交通网，构建公路为主的物流运输网络。</w:t>
      </w:r>
    </w:p>
    <w:p w14:paraId="67F121BA">
      <w:pPr>
        <w:pStyle w:val="15"/>
        <w:ind w:firstLine="640"/>
        <w:rPr>
          <w:rFonts w:hAnsi="仿宋_GB2312" w:cs="仿宋_GB2312"/>
          <w:szCs w:val="24"/>
          <w:highlight w:val="none"/>
          <w:lang w:bidi="ar"/>
        </w:rPr>
      </w:pPr>
      <w:r>
        <w:rPr>
          <w:rFonts w:hint="eastAsia" w:hAnsi="仿宋_GB2312" w:cs="仿宋_GB2312"/>
          <w:szCs w:val="24"/>
          <w:highlight w:val="none"/>
          <w:lang w:bidi="ar"/>
        </w:rPr>
        <w:t>完善乡村物流配送网络。加快推进农村生产生活资料配送网络建设，完善乡（镇）、村两级农村物流配送体系，有效解决乡村物流“最后一公里”问题。鼓励邮政和快递服务网点合作，推动客运班线代运货邮小件，实现优势互补，拓展服务范围。</w:t>
      </w:r>
    </w:p>
    <w:p w14:paraId="28A7BD01">
      <w:pPr>
        <w:pStyle w:val="60"/>
        <w:ind w:left="0" w:firstLine="640" w:firstLineChars="200"/>
        <w:rPr>
          <w:rFonts w:hint="eastAsia" w:hAnsi="Times New Roman" w:cs="Times New Roman"/>
          <w:highlight w:val="none"/>
        </w:rPr>
      </w:pPr>
      <w:bookmarkStart w:id="356" w:name="_Toc198237438"/>
      <w:r>
        <w:rPr>
          <w:rFonts w:hint="eastAsia" w:hAnsi="Times New Roman" w:cs="Times New Roman"/>
          <w:highlight w:val="none"/>
        </w:rPr>
        <w:t>推动低空经济发展</w:t>
      </w:r>
      <w:bookmarkEnd w:id="356"/>
    </w:p>
    <w:p w14:paraId="460AA070">
      <w:pPr>
        <w:pStyle w:val="15"/>
        <w:ind w:firstLine="640"/>
        <w:rPr>
          <w:rFonts w:hAnsi="仿宋_GB2312" w:cs="仿宋_GB2312"/>
          <w:szCs w:val="24"/>
          <w:highlight w:val="none"/>
          <w:lang w:bidi="ar"/>
        </w:rPr>
      </w:pPr>
      <w:r>
        <w:rPr>
          <w:rFonts w:hint="eastAsia" w:hAnsi="仿宋_GB2312" w:cs="仿宋_GB2312"/>
          <w:szCs w:val="24"/>
          <w:highlight w:val="none"/>
          <w:lang w:bidi="ar"/>
        </w:rPr>
        <w:t>青海省将低空经济发展作为重要内容融入“十五五</w:t>
      </w:r>
      <w:r>
        <w:rPr>
          <w:rFonts w:hint="eastAsia" w:hAnsi="仿宋_GB2312" w:cs="仿宋_GB2312"/>
          <w:szCs w:val="24"/>
          <w:highlight w:val="none"/>
          <w:lang w:eastAsia="zh-CN" w:bidi="ar"/>
        </w:rPr>
        <w:t>”</w:t>
      </w:r>
      <w:r>
        <w:rPr>
          <w:rFonts w:hint="eastAsia" w:hAnsi="仿宋_GB2312" w:cs="仿宋_GB2312"/>
          <w:szCs w:val="24"/>
          <w:highlight w:val="none"/>
          <w:lang w:bidi="ar"/>
        </w:rPr>
        <w:t>地方规划和有关专项规划，推动青海省低空经济发展行稳致远。</w:t>
      </w:r>
    </w:p>
    <w:p w14:paraId="20B9B0B2">
      <w:pPr>
        <w:pStyle w:val="15"/>
        <w:ind w:firstLine="640"/>
        <w:rPr>
          <w:rFonts w:hAnsi="仿宋_GB2312" w:cs="仿宋_GB2312"/>
          <w:szCs w:val="24"/>
          <w:highlight w:val="none"/>
          <w:lang w:bidi="ar"/>
        </w:rPr>
      </w:pPr>
      <w:r>
        <w:rPr>
          <w:rFonts w:hint="eastAsia" w:hAnsi="仿宋_GB2312" w:cs="仿宋_GB2312"/>
          <w:szCs w:val="24"/>
          <w:highlight w:val="none"/>
          <w:lang w:bidi="ar"/>
        </w:rPr>
        <w:t>江西沟镇地域辽阔、空域干净，低空空域资源丰富，为低空飞行活动提供了广阔的空间。针对不同消费群体，开发多样化的低空经济产品，如亲子低空旅游套餐、商务低空通勤服务等，进一步拓展市场空间。完善地面通信、导航、气象监测等配套设施，构建安全、高效的低空飞行保障体系。</w:t>
      </w:r>
    </w:p>
    <w:p w14:paraId="0EBC657F">
      <w:pPr>
        <w:pStyle w:val="3"/>
        <w:numPr>
          <w:ilvl w:val="1"/>
          <w:numId w:val="16"/>
        </w:numPr>
        <w:tabs>
          <w:tab w:val="left" w:pos="353"/>
        </w:tabs>
        <w:spacing w:before="260" w:after="260" w:line="416" w:lineRule="auto"/>
        <w:rPr>
          <w:highlight w:val="none"/>
          <w:lang w:val="zh-CN"/>
        </w:rPr>
      </w:pPr>
      <w:bookmarkStart w:id="357" w:name="_Toc18623"/>
      <w:bookmarkStart w:id="358" w:name="_Toc800"/>
      <w:bookmarkStart w:id="359" w:name="_Toc12002"/>
      <w:bookmarkStart w:id="360" w:name="_Toc13499"/>
      <w:bookmarkStart w:id="361" w:name="_Toc198237439"/>
      <w:bookmarkStart w:id="362" w:name="_Toc198237541"/>
      <w:r>
        <w:rPr>
          <w:rFonts w:hint="eastAsia"/>
          <w:highlight w:val="none"/>
          <w:lang w:val="zh-CN"/>
        </w:rPr>
        <w:t>构建安全可靠水利基础设施网络</w:t>
      </w:r>
      <w:bookmarkEnd w:id="357"/>
      <w:bookmarkEnd w:id="358"/>
      <w:bookmarkEnd w:id="359"/>
      <w:bookmarkEnd w:id="360"/>
      <w:bookmarkEnd w:id="361"/>
      <w:bookmarkEnd w:id="362"/>
    </w:p>
    <w:p w14:paraId="6C8E81E4">
      <w:pPr>
        <w:pStyle w:val="60"/>
        <w:ind w:left="0" w:firstLine="640" w:firstLineChars="200"/>
        <w:rPr>
          <w:rFonts w:hint="eastAsia" w:hAnsi="Times New Roman" w:cs="Times New Roman"/>
          <w:highlight w:val="none"/>
        </w:rPr>
      </w:pPr>
      <w:bookmarkStart w:id="363" w:name="_Toc28743"/>
      <w:bookmarkStart w:id="364" w:name="_Toc198237440"/>
      <w:r>
        <w:rPr>
          <w:rFonts w:hint="eastAsia" w:hAnsi="Times New Roman" w:cs="Times New Roman"/>
          <w:highlight w:val="none"/>
        </w:rPr>
        <w:t>镇村水利工程</w:t>
      </w:r>
      <w:bookmarkEnd w:id="363"/>
      <w:bookmarkEnd w:id="364"/>
    </w:p>
    <w:p w14:paraId="3219EFFB">
      <w:pPr>
        <w:pStyle w:val="15"/>
        <w:ind w:firstLine="640"/>
        <w:rPr>
          <w:rFonts w:hAnsi="仿宋_GB2312" w:cs="仿宋_GB2312"/>
          <w:szCs w:val="24"/>
          <w:highlight w:val="none"/>
          <w:lang w:bidi="ar"/>
        </w:rPr>
      </w:pPr>
      <w:r>
        <w:rPr>
          <w:rFonts w:hint="eastAsia" w:hAnsi="仿宋_GB2312" w:cs="仿宋_GB2312"/>
          <w:szCs w:val="24"/>
          <w:highlight w:val="none"/>
          <w:lang w:bidi="ar"/>
        </w:rPr>
        <w:t>江西沟镇在共和县“十四五”规划布局中属于环湖片区，应以生态保护与自然修复并举，巩固和扩大生态保护建设成果，结合生态移民搬迁、牧民定居，实施人畜饮水标准化建设，提高饮水安全保障程度。江西沟镇供水水源受季节性影响较大不稳定，存在水源保证率不高问题，计划通过地下水与地表水联合调度解决，远期采用布哈河引水工程，加快推进重点水源和骨干工程建设，实施完成江西沟镇抗旱水源工程建设，保障乡镇居民用水。</w:t>
      </w:r>
    </w:p>
    <w:p w14:paraId="2818363E">
      <w:pPr>
        <w:pStyle w:val="60"/>
        <w:ind w:left="0" w:firstLine="640" w:firstLineChars="200"/>
        <w:rPr>
          <w:rFonts w:hint="eastAsia" w:hAnsi="Times New Roman" w:cs="Times New Roman"/>
          <w:highlight w:val="none"/>
        </w:rPr>
      </w:pPr>
      <w:bookmarkStart w:id="365" w:name="_Toc32327"/>
      <w:bookmarkStart w:id="366" w:name="_Toc198237441"/>
      <w:r>
        <w:rPr>
          <w:rFonts w:hint="eastAsia" w:hAnsi="Times New Roman" w:cs="Times New Roman"/>
          <w:highlight w:val="none"/>
        </w:rPr>
        <w:t>流域综合治理工程</w:t>
      </w:r>
      <w:bookmarkEnd w:id="365"/>
      <w:bookmarkEnd w:id="366"/>
    </w:p>
    <w:p w14:paraId="43E5BBFE">
      <w:pPr>
        <w:pStyle w:val="15"/>
        <w:ind w:firstLine="640"/>
        <w:rPr>
          <w:rFonts w:hAnsi="仿宋_GB2312" w:cs="仿宋_GB2312"/>
          <w:szCs w:val="24"/>
          <w:highlight w:val="none"/>
          <w:lang w:bidi="ar"/>
        </w:rPr>
      </w:pPr>
      <w:r>
        <w:rPr>
          <w:rFonts w:hint="eastAsia" w:hAnsi="仿宋_GB2312" w:cs="仿宋_GB2312"/>
          <w:szCs w:val="24"/>
          <w:highlight w:val="none"/>
          <w:lang w:bidi="ar"/>
        </w:rPr>
        <w:t>统筹推进小流域综合治理，以小流域为单元，完善流域水土流失综合防护体系，开展生态清洁小流域建设，保障恰卜恰河、哈琼沟、多君曲、哈尔根沟流域生态治理综合工程及其他农村沟道治理工程等项目建设用地。构建生态优美、生活宜居的生态环境。</w:t>
      </w:r>
    </w:p>
    <w:p w14:paraId="5F69E673">
      <w:pPr>
        <w:pStyle w:val="3"/>
        <w:numPr>
          <w:ilvl w:val="1"/>
          <w:numId w:val="16"/>
        </w:numPr>
        <w:tabs>
          <w:tab w:val="left" w:pos="353"/>
        </w:tabs>
        <w:spacing w:before="260" w:after="260" w:line="416" w:lineRule="auto"/>
        <w:rPr>
          <w:highlight w:val="none"/>
          <w:lang w:val="zh-CN"/>
        </w:rPr>
      </w:pPr>
      <w:bookmarkStart w:id="367" w:name="_Toc5951"/>
      <w:bookmarkStart w:id="368" w:name="_Toc198237542"/>
      <w:bookmarkStart w:id="369" w:name="_Toc8304"/>
      <w:bookmarkStart w:id="370" w:name="_Toc2522"/>
      <w:bookmarkStart w:id="371" w:name="_Toc198237442"/>
      <w:bookmarkStart w:id="372" w:name="_Toc4612"/>
      <w:r>
        <w:rPr>
          <w:rFonts w:hint="eastAsia"/>
          <w:highlight w:val="none"/>
          <w:lang w:val="zh-CN"/>
        </w:rPr>
        <w:t>保障国家清洁能源产业高地建设</w:t>
      </w:r>
      <w:bookmarkEnd w:id="367"/>
      <w:bookmarkEnd w:id="368"/>
      <w:bookmarkEnd w:id="369"/>
      <w:bookmarkEnd w:id="370"/>
      <w:bookmarkEnd w:id="371"/>
      <w:bookmarkEnd w:id="372"/>
    </w:p>
    <w:p w14:paraId="7CBAA82F">
      <w:pPr>
        <w:pStyle w:val="60"/>
        <w:ind w:left="0" w:firstLine="640" w:firstLineChars="200"/>
        <w:rPr>
          <w:rFonts w:hint="eastAsia" w:hAnsi="Times New Roman" w:cs="Times New Roman"/>
          <w:highlight w:val="none"/>
        </w:rPr>
      </w:pPr>
      <w:bookmarkStart w:id="373" w:name="_Toc25757"/>
      <w:bookmarkStart w:id="374" w:name="_Toc198237443"/>
      <w:r>
        <w:rPr>
          <w:rFonts w:hint="eastAsia" w:hAnsi="Times New Roman" w:cs="Times New Roman"/>
          <w:highlight w:val="none"/>
        </w:rPr>
        <w:t>能源利用</w:t>
      </w:r>
      <w:bookmarkEnd w:id="373"/>
      <w:bookmarkEnd w:id="374"/>
    </w:p>
    <w:p w14:paraId="1FD30E2F">
      <w:pPr>
        <w:pStyle w:val="15"/>
        <w:ind w:firstLine="640"/>
        <w:rPr>
          <w:rFonts w:hAnsi="仿宋_GB2312" w:cs="仿宋_GB2312"/>
          <w:szCs w:val="24"/>
          <w:highlight w:val="none"/>
          <w:lang w:bidi="ar"/>
        </w:rPr>
      </w:pPr>
      <w:r>
        <w:rPr>
          <w:rFonts w:hint="eastAsia" w:hAnsi="仿宋_GB2312" w:cs="仿宋_GB2312"/>
          <w:szCs w:val="24"/>
          <w:highlight w:val="none"/>
          <w:lang w:bidi="ar"/>
        </w:rPr>
        <w:t>大力倡导绿色价值观，坚持节约优先理念，树立节约集约循环利用的资源观，加快推动生产方式、生活方式绿色化，扩大水能、太阳能、风能等清洁能源开发利用规模。</w:t>
      </w:r>
    </w:p>
    <w:p w14:paraId="7ED3E555">
      <w:pPr>
        <w:pStyle w:val="15"/>
        <w:ind w:firstLine="640"/>
        <w:rPr>
          <w:rFonts w:hAnsi="仿宋_GB2312" w:cs="仿宋_GB2312"/>
          <w:szCs w:val="24"/>
          <w:highlight w:val="none"/>
          <w:lang w:bidi="ar"/>
        </w:rPr>
      </w:pPr>
      <w:r>
        <w:rPr>
          <w:rFonts w:hint="eastAsia" w:hAnsi="仿宋_GB2312" w:cs="仿宋_GB2312"/>
          <w:szCs w:val="24"/>
          <w:highlight w:val="none"/>
          <w:lang w:bidi="ar"/>
        </w:rPr>
        <w:t>探索“清洁能源+生态+畜牧业+惠民+旅游”发展模式，重点开展清洁能源与改善生态环境、清洁能源与精准扶贫和清洁能源发电区域全覆盖的示范工作，实现清洁能源高效应用，打造清洁能源可持续利用示范样板。完善清洁能源可持续利用服务体系推动清洁能源产业科技服务平台建设，建设清洁能源智能化服务体系。清洁能源市场化、产业化，江西沟镇农牧区采取清洁供暖工程和电采暖工程。</w:t>
      </w:r>
    </w:p>
    <w:p w14:paraId="2211D9ED">
      <w:pPr>
        <w:pStyle w:val="60"/>
        <w:ind w:left="0" w:firstLine="640" w:firstLineChars="200"/>
        <w:rPr>
          <w:rFonts w:hint="eastAsia" w:hAnsi="Times New Roman" w:cs="Times New Roman"/>
          <w:highlight w:val="none"/>
        </w:rPr>
      </w:pPr>
      <w:bookmarkStart w:id="375" w:name="_Toc198237444"/>
      <w:bookmarkStart w:id="376" w:name="_Toc16724"/>
      <w:r>
        <w:rPr>
          <w:rFonts w:hint="eastAsia" w:hAnsi="Times New Roman" w:cs="Times New Roman"/>
          <w:highlight w:val="none"/>
        </w:rPr>
        <w:t>能源用地引导与管控</w:t>
      </w:r>
      <w:bookmarkEnd w:id="375"/>
      <w:bookmarkEnd w:id="376"/>
    </w:p>
    <w:p w14:paraId="21E2303E">
      <w:pPr>
        <w:pStyle w:val="15"/>
        <w:ind w:firstLine="640"/>
        <w:rPr>
          <w:rFonts w:hAnsi="仿宋_GB2312" w:cs="仿宋_GB2312"/>
          <w:szCs w:val="24"/>
          <w:highlight w:val="none"/>
          <w:lang w:bidi="ar"/>
        </w:rPr>
      </w:pPr>
      <w:r>
        <w:rPr>
          <w:rFonts w:hint="eastAsia" w:hAnsi="仿宋_GB2312" w:cs="仿宋_GB2312"/>
          <w:szCs w:val="24"/>
          <w:highlight w:val="none"/>
          <w:lang w:bidi="ar"/>
        </w:rPr>
        <w:t>综合太阳能资源分布、风能资源分布、生态保护红线分布、耕地和永久基本农田分布、草地资源分布及沙地裸土地</w:t>
      </w:r>
      <w:r>
        <w:rPr>
          <w:rFonts w:hint="eastAsia" w:hAnsi="仿宋_GB2312" w:cs="仿宋_GB2312"/>
          <w:szCs w:val="24"/>
          <w:highlight w:val="none"/>
          <w:lang w:val="en-US" w:eastAsia="zh-CN" w:bidi="ar"/>
        </w:rPr>
        <w:t>裸岩石砾地</w:t>
      </w:r>
      <w:r>
        <w:rPr>
          <w:rFonts w:hint="eastAsia" w:hAnsi="仿宋_GB2312" w:cs="仿宋_GB2312"/>
          <w:szCs w:val="24"/>
          <w:highlight w:val="none"/>
          <w:lang w:bidi="ar"/>
        </w:rPr>
        <w:t>分布、沙地禁封区分布等因素，并结合共和县清洁能源发展规划可利用清洁能源用地。</w:t>
      </w:r>
    </w:p>
    <w:p w14:paraId="7D617783">
      <w:pPr>
        <w:pStyle w:val="15"/>
        <w:ind w:firstLine="640"/>
        <w:rPr>
          <w:rFonts w:hAnsi="仿宋_GB2312" w:cs="仿宋_GB2312"/>
          <w:szCs w:val="24"/>
          <w:highlight w:val="none"/>
          <w:lang w:bidi="ar"/>
        </w:rPr>
      </w:pPr>
      <w:r>
        <w:rPr>
          <w:rFonts w:hint="eastAsia" w:hAnsi="仿宋_GB2312" w:cs="仿宋_GB2312"/>
          <w:szCs w:val="24"/>
          <w:highlight w:val="none"/>
          <w:lang w:bidi="ar"/>
        </w:rPr>
        <w:t>新能源项目选址应当避让耕地、生态保护红线、历史文化保护线、特殊自然景观价值和文化标识区域、天然林地、国家沙化土地封禁保护区（光伏发电项目输出线路允许穿越国家沙化土地封禁保护区）等；涉及自然保护地的，还应当符合自然保护地相关法规和政策要求。新建、扩建光伏发电项目，一律不得占用永久基本农田、基本草原、Ⅰ级保护林地和东北内蒙古重点国有林区。清洁能源用地引导线以外不宜布局集中分布的风电、光电项目，新能源项目立项、勘察设计阶段，可根据实际情况修改控制引导线边界。项目落地原则上按照优先发展区、引导发展区、控制引导区的优先顺序进行选址。项目永久性建</w:t>
      </w:r>
      <w:r>
        <w:rPr>
          <w:rFonts w:hint="eastAsia" w:hAnsi="仿宋_GB2312" w:cs="仿宋_GB2312"/>
          <w:szCs w:val="24"/>
          <w:highlight w:val="none"/>
          <w:lang w:eastAsia="zh-CN" w:bidi="ar"/>
        </w:rPr>
        <w:t>（</w:t>
      </w:r>
      <w:r>
        <w:rPr>
          <w:rFonts w:hint="eastAsia" w:hAnsi="仿宋_GB2312" w:cs="仿宋_GB2312"/>
          <w:szCs w:val="24"/>
          <w:highlight w:val="none"/>
          <w:lang w:bidi="ar"/>
        </w:rPr>
        <w:t>构</w:t>
      </w:r>
      <w:r>
        <w:rPr>
          <w:rFonts w:hint="eastAsia" w:hAnsi="仿宋_GB2312" w:cs="仿宋_GB2312"/>
          <w:szCs w:val="24"/>
          <w:highlight w:val="none"/>
          <w:lang w:eastAsia="zh-CN" w:bidi="ar"/>
        </w:rPr>
        <w:t>）</w:t>
      </w:r>
      <w:r>
        <w:rPr>
          <w:rFonts w:hint="eastAsia" w:hAnsi="仿宋_GB2312" w:cs="仿宋_GB2312"/>
          <w:szCs w:val="24"/>
          <w:highlight w:val="none"/>
          <w:lang w:bidi="ar"/>
        </w:rPr>
        <w:t>筑、光伏</w:t>
      </w:r>
      <w:r>
        <w:rPr>
          <w:rFonts w:hint="eastAsia" w:hAnsi="仿宋_GB2312" w:cs="仿宋_GB2312"/>
          <w:szCs w:val="24"/>
          <w:highlight w:val="none"/>
          <w:lang w:eastAsia="zh-CN" w:bidi="ar"/>
        </w:rPr>
        <w:t>（</w:t>
      </w:r>
      <w:r>
        <w:rPr>
          <w:rFonts w:hint="eastAsia" w:hAnsi="仿宋_GB2312" w:cs="仿宋_GB2312"/>
          <w:szCs w:val="24"/>
          <w:highlight w:val="none"/>
          <w:lang w:bidi="ar"/>
        </w:rPr>
        <w:t>风电</w:t>
      </w:r>
      <w:r>
        <w:rPr>
          <w:rFonts w:hint="eastAsia" w:hAnsi="仿宋_GB2312" w:cs="仿宋_GB2312"/>
          <w:szCs w:val="24"/>
          <w:highlight w:val="none"/>
          <w:lang w:eastAsia="zh-CN" w:bidi="ar"/>
        </w:rPr>
        <w:t>）</w:t>
      </w:r>
      <w:r>
        <w:rPr>
          <w:rFonts w:hint="eastAsia" w:hAnsi="仿宋_GB2312" w:cs="仿宋_GB2312"/>
          <w:szCs w:val="24"/>
          <w:highlight w:val="none"/>
          <w:lang w:bidi="ar"/>
        </w:rPr>
        <w:t>阵列基座和硬化土地等改变原土地形态的用地部分配置年度新增建设用地计划指标，并依法按建设用地办理手续。</w:t>
      </w:r>
    </w:p>
    <w:p w14:paraId="1F32D740">
      <w:pPr>
        <w:pStyle w:val="3"/>
        <w:numPr>
          <w:ilvl w:val="1"/>
          <w:numId w:val="16"/>
        </w:numPr>
        <w:tabs>
          <w:tab w:val="left" w:pos="353"/>
        </w:tabs>
        <w:spacing w:before="260" w:after="260" w:line="416" w:lineRule="auto"/>
        <w:rPr>
          <w:highlight w:val="none"/>
          <w:lang w:val="zh-CN"/>
        </w:rPr>
      </w:pPr>
      <w:bookmarkStart w:id="377" w:name="_Toc673"/>
      <w:bookmarkStart w:id="378" w:name="_Toc19345"/>
      <w:bookmarkStart w:id="379" w:name="_Toc6211"/>
      <w:bookmarkStart w:id="380" w:name="_Toc198237543"/>
      <w:bookmarkStart w:id="381" w:name="_Toc29662"/>
      <w:bookmarkStart w:id="382" w:name="_Toc198237445"/>
      <w:r>
        <w:rPr>
          <w:rFonts w:hint="eastAsia"/>
          <w:highlight w:val="none"/>
          <w:lang w:val="zh-CN"/>
        </w:rPr>
        <w:t>推进绿色矿业建设</w:t>
      </w:r>
      <w:bookmarkEnd w:id="377"/>
      <w:bookmarkEnd w:id="378"/>
      <w:bookmarkEnd w:id="379"/>
      <w:bookmarkEnd w:id="380"/>
      <w:bookmarkEnd w:id="381"/>
      <w:bookmarkEnd w:id="382"/>
    </w:p>
    <w:p w14:paraId="7C78730F">
      <w:pPr>
        <w:pStyle w:val="60"/>
        <w:ind w:left="0" w:firstLine="640" w:firstLineChars="200"/>
        <w:rPr>
          <w:rFonts w:hint="eastAsia" w:hAnsi="Times New Roman" w:cs="Times New Roman"/>
          <w:highlight w:val="none"/>
        </w:rPr>
      </w:pPr>
      <w:bookmarkStart w:id="383" w:name="_Toc198237446"/>
      <w:bookmarkStart w:id="384" w:name="_Toc4897"/>
      <w:r>
        <w:rPr>
          <w:rFonts w:hint="eastAsia" w:hAnsi="Times New Roman" w:cs="Times New Roman"/>
          <w:highlight w:val="none"/>
        </w:rPr>
        <w:t>加快推进绿色矿山建设</w:t>
      </w:r>
      <w:bookmarkEnd w:id="383"/>
      <w:bookmarkEnd w:id="384"/>
    </w:p>
    <w:p w14:paraId="33E30B39">
      <w:pPr>
        <w:pStyle w:val="15"/>
        <w:ind w:firstLine="640"/>
        <w:rPr>
          <w:rFonts w:hAnsi="仿宋_GB2312" w:cs="仿宋_GB2312"/>
          <w:szCs w:val="24"/>
          <w:highlight w:val="none"/>
          <w:lang w:bidi="ar"/>
        </w:rPr>
      </w:pPr>
      <w:r>
        <w:rPr>
          <w:rFonts w:hint="eastAsia" w:hAnsi="仿宋_GB2312" w:cs="仿宋_GB2312"/>
          <w:szCs w:val="24"/>
          <w:highlight w:val="none"/>
          <w:lang w:bidi="ar"/>
        </w:rPr>
        <w:t>积极响应省级规划绿色矿业发展要求，加快转变矿业发展方式，按照“政府组织、部门协作、企业主体、公众参与、共同推进”的原则，以建设绿色矿山、逐步形成绿色矿业发展示范区为目标，把绿色发展理念和绿色矿山建设要求贯穿到矿山规划、设计、建设、运营和闭坑全过程，努力形成开采方式科学、资源利用高效、企业管理规范、生产工艺环保、矿山环境优美、矿山社区和谐的绿色矿业发展模式。力争到2035年，大中型矿山全部为绿色矿山，绿色矿山比例达100%，做到资源集约节约利用水平显著提高，矿山地质环境得到有效保护和治理，矿区土地复垦水平全面提升，矿山企业与地方和谐发展。</w:t>
      </w:r>
    </w:p>
    <w:p w14:paraId="28325E74">
      <w:pPr>
        <w:pStyle w:val="60"/>
        <w:ind w:left="0" w:firstLine="640" w:firstLineChars="200"/>
        <w:rPr>
          <w:rFonts w:hint="eastAsia" w:hAnsi="Times New Roman" w:cs="Times New Roman"/>
          <w:highlight w:val="none"/>
        </w:rPr>
      </w:pPr>
      <w:bookmarkStart w:id="385" w:name="_Toc198237447"/>
      <w:bookmarkStart w:id="386" w:name="_Toc7652"/>
      <w:r>
        <w:rPr>
          <w:rFonts w:hint="eastAsia" w:hAnsi="Times New Roman" w:cs="Times New Roman"/>
          <w:highlight w:val="none"/>
        </w:rPr>
        <w:t>加强矿产资源保护</w:t>
      </w:r>
      <w:bookmarkEnd w:id="385"/>
      <w:bookmarkEnd w:id="386"/>
    </w:p>
    <w:p w14:paraId="2F5E4C54">
      <w:pPr>
        <w:pStyle w:val="15"/>
        <w:ind w:firstLine="640"/>
        <w:rPr>
          <w:rFonts w:hAnsi="仿宋_GB2312" w:cs="仿宋_GB2312"/>
          <w:szCs w:val="24"/>
          <w:highlight w:val="none"/>
          <w:lang w:bidi="ar"/>
        </w:rPr>
      </w:pPr>
      <w:r>
        <w:rPr>
          <w:rFonts w:hint="eastAsia" w:hAnsi="仿宋_GB2312" w:cs="仿宋_GB2312"/>
          <w:szCs w:val="24"/>
          <w:highlight w:val="none"/>
          <w:lang w:bidi="ar"/>
        </w:rPr>
        <w:t>按照资源合理利用与保护相统一、资源开发与环境保护相协调的原则，统筹矿产资源规划，处理好地上与地下、矿产资源勘查开采与生态保护红线及永久基本农田等控制线的关系，优化矿产资源开采布局。加强对达不到开发要求的矿产资源和矿产开发过程中共生、伴生的尚难利用的资源的保护。促进矿产资源开发与矿山地质环境保护协调发展，最大限度地减少或避免在建矿山、生产矿山和关闭矿山因矿产开采形成的地质灾害、环境污染和生态破坏。</w:t>
      </w:r>
    </w:p>
    <w:p w14:paraId="4FA2F13B">
      <w:pPr>
        <w:pStyle w:val="3"/>
        <w:numPr>
          <w:ilvl w:val="1"/>
          <w:numId w:val="16"/>
        </w:numPr>
        <w:tabs>
          <w:tab w:val="left" w:pos="353"/>
        </w:tabs>
        <w:spacing w:before="260" w:after="260" w:line="416" w:lineRule="auto"/>
        <w:rPr>
          <w:highlight w:val="none"/>
          <w:lang w:val="zh-CN"/>
        </w:rPr>
      </w:pPr>
      <w:bookmarkStart w:id="387" w:name="_Toc5603"/>
      <w:bookmarkStart w:id="388" w:name="_Toc30387"/>
      <w:bookmarkStart w:id="389" w:name="_Toc23655"/>
      <w:bookmarkStart w:id="390" w:name="_Toc198237544"/>
      <w:bookmarkStart w:id="391" w:name="_Toc6349"/>
      <w:bookmarkStart w:id="392" w:name="_Toc198237448"/>
      <w:r>
        <w:rPr>
          <w:rFonts w:hint="eastAsia"/>
          <w:highlight w:val="none"/>
          <w:lang w:val="zh-CN"/>
        </w:rPr>
        <w:t>系统布局新型基础设施</w:t>
      </w:r>
      <w:bookmarkEnd w:id="387"/>
      <w:bookmarkEnd w:id="388"/>
      <w:bookmarkEnd w:id="389"/>
      <w:bookmarkEnd w:id="390"/>
      <w:bookmarkEnd w:id="391"/>
      <w:bookmarkEnd w:id="392"/>
    </w:p>
    <w:p w14:paraId="390D3F8C">
      <w:pPr>
        <w:pStyle w:val="60"/>
        <w:ind w:left="0" w:firstLine="640" w:firstLineChars="200"/>
        <w:rPr>
          <w:rFonts w:hint="eastAsia" w:hAnsi="Times New Roman" w:cs="Times New Roman"/>
          <w:highlight w:val="none"/>
        </w:rPr>
      </w:pPr>
      <w:bookmarkStart w:id="393" w:name="_Toc31525"/>
      <w:bookmarkStart w:id="394" w:name="_Toc198237449"/>
      <w:r>
        <w:rPr>
          <w:rFonts w:hint="eastAsia" w:hAnsi="Times New Roman" w:cs="Times New Roman"/>
          <w:highlight w:val="none"/>
        </w:rPr>
        <w:t>给水工程</w:t>
      </w:r>
      <w:bookmarkEnd w:id="393"/>
      <w:bookmarkEnd w:id="394"/>
    </w:p>
    <w:p w14:paraId="4C4BB2E7">
      <w:pPr>
        <w:pStyle w:val="15"/>
        <w:ind w:firstLine="640"/>
        <w:rPr>
          <w:rFonts w:hAnsi="仿宋_GB2312" w:cs="仿宋_GB2312"/>
          <w:szCs w:val="24"/>
          <w:highlight w:val="none"/>
          <w:lang w:bidi="ar"/>
        </w:rPr>
      </w:pPr>
      <w:r>
        <w:rPr>
          <w:rFonts w:hint="eastAsia" w:ascii="楷体_GB2312" w:hAnsi="楷体_GB2312" w:eastAsia="楷体_GB2312" w:cs="楷体_GB2312"/>
          <w:kern w:val="2"/>
          <w:sz w:val="32"/>
          <w:szCs w:val="32"/>
          <w:highlight w:val="none"/>
          <w:lang w:val="en-US" w:eastAsia="zh-CN" w:bidi="ar-SA"/>
        </w:rPr>
        <w:t>多水源保障供水安全。</w:t>
      </w:r>
      <w:r>
        <w:rPr>
          <w:rFonts w:hint="eastAsia" w:hAnsi="仿宋_GB2312" w:cs="仿宋_GB2312"/>
          <w:szCs w:val="24"/>
          <w:highlight w:val="none"/>
          <w:lang w:bidi="ar"/>
        </w:rPr>
        <w:t>提高水源安全保障水平，规划江西沟镇水源以地下水和地表水联合调度供给，近期充分利用现状供水设施，逐步创造条件实行区域给水管网联网，实现区域供水，规划远期采用布哈河引水工程，开展水源地生态保护，确保饮用水水源地水质稳定达标。</w:t>
      </w:r>
    </w:p>
    <w:p w14:paraId="0F1B27FB">
      <w:pPr>
        <w:pStyle w:val="15"/>
        <w:ind w:firstLine="640"/>
        <w:rPr>
          <w:rFonts w:hint="eastAsia" w:hAnsi="仿宋_GB2312" w:cs="仿宋_GB2312"/>
          <w:szCs w:val="24"/>
          <w:highlight w:val="none"/>
          <w:lang w:bidi="ar"/>
        </w:rPr>
      </w:pPr>
      <w:r>
        <w:rPr>
          <w:rFonts w:hint="eastAsia" w:ascii="楷体_GB2312" w:hAnsi="楷体_GB2312" w:eastAsia="楷体_GB2312" w:cs="楷体_GB2312"/>
          <w:kern w:val="2"/>
          <w:sz w:val="32"/>
          <w:szCs w:val="32"/>
          <w:highlight w:val="none"/>
          <w:lang w:val="en-US" w:eastAsia="zh-CN" w:bidi="ar-SA"/>
        </w:rPr>
        <w:t>保障城乡供水基础设施建设。</w:t>
      </w:r>
      <w:r>
        <w:rPr>
          <w:rFonts w:hint="eastAsia" w:hAnsi="仿宋_GB2312" w:cs="仿宋_GB2312"/>
          <w:szCs w:val="24"/>
          <w:highlight w:val="none"/>
          <w:lang w:bidi="ar"/>
        </w:rPr>
        <w:t>提升镇区供水服务保障水平，巩固完善镇区供水工程，保障镇域供水工程用地需求；开展抗旱水源工程建设，保障旱区城乡用水。村庄按照实际需求设置小型给水设施，相邻较近的村庄可以共建供水设施。</w:t>
      </w:r>
    </w:p>
    <w:p w14:paraId="045F8D82">
      <w:pPr>
        <w:pStyle w:val="15"/>
        <w:ind w:firstLine="640"/>
        <w:rPr>
          <w:rFonts w:hint="eastAsia" w:hAnsi="仿宋_GB2312" w:cs="仿宋_GB2312"/>
          <w:szCs w:val="24"/>
          <w:highlight w:val="none"/>
          <w:lang w:bidi="ar"/>
        </w:rPr>
      </w:pPr>
      <w:r>
        <w:rPr>
          <w:rFonts w:hint="eastAsia" w:ascii="楷体_GB2312" w:hAnsi="楷体_GB2312" w:eastAsia="楷体_GB2312" w:cs="楷体_GB2312"/>
          <w:kern w:val="2"/>
          <w:sz w:val="32"/>
          <w:szCs w:val="32"/>
          <w:highlight w:val="none"/>
          <w:lang w:val="en-US" w:eastAsia="zh-CN" w:bidi="ar-SA"/>
        </w:rPr>
        <w:t>水源保护。</w:t>
      </w:r>
      <w:r>
        <w:rPr>
          <w:rFonts w:hint="eastAsia" w:hAnsi="仿宋_GB2312" w:cs="仿宋_GB2312"/>
          <w:szCs w:val="24"/>
          <w:highlight w:val="none"/>
          <w:lang w:val="en-US" w:eastAsia="zh-CN" w:bidi="ar"/>
        </w:rPr>
        <w:t>对于以地下水为水源的供水工程，水井周围30米范围内，不得修建渗水厕所渗水坑，不得堆放垃圾、粪便、废渣或铺设污水管道，应保持良好的卫生状况，并应建立卫生检查制度，确保饮用水水源地水质稳定达标。</w:t>
      </w:r>
    </w:p>
    <w:p w14:paraId="1FD9766B">
      <w:pPr>
        <w:pStyle w:val="60"/>
        <w:ind w:left="0" w:firstLine="640" w:firstLineChars="200"/>
        <w:rPr>
          <w:rFonts w:hint="eastAsia" w:hAnsi="Times New Roman" w:cs="Times New Roman"/>
          <w:highlight w:val="none"/>
        </w:rPr>
      </w:pPr>
      <w:bookmarkStart w:id="395" w:name="_Toc198237450"/>
      <w:bookmarkStart w:id="396" w:name="_Toc27658"/>
      <w:r>
        <w:rPr>
          <w:rFonts w:hint="eastAsia" w:hAnsi="Times New Roman" w:cs="Times New Roman"/>
          <w:highlight w:val="none"/>
        </w:rPr>
        <w:t>排水工程</w:t>
      </w:r>
      <w:bookmarkEnd w:id="395"/>
      <w:bookmarkEnd w:id="396"/>
    </w:p>
    <w:p w14:paraId="74A09D1E">
      <w:pPr>
        <w:pStyle w:val="15"/>
        <w:ind w:firstLine="640"/>
        <w:rPr>
          <w:rFonts w:hAnsi="仿宋_GB2312" w:cs="仿宋_GB2312"/>
          <w:szCs w:val="24"/>
          <w:highlight w:val="none"/>
          <w:lang w:bidi="ar"/>
        </w:rPr>
      </w:pPr>
      <w:r>
        <w:rPr>
          <w:rFonts w:hint="eastAsia" w:ascii="楷体_GB2312" w:hAnsi="楷体_GB2312" w:eastAsia="楷体_GB2312" w:cs="楷体_GB2312"/>
          <w:kern w:val="2"/>
          <w:sz w:val="32"/>
          <w:szCs w:val="32"/>
          <w:highlight w:val="none"/>
          <w:lang w:val="en-US" w:eastAsia="zh-CN" w:bidi="ar-SA"/>
        </w:rPr>
        <w:t>保障污水处理设施建设。</w:t>
      </w:r>
      <w:r>
        <w:rPr>
          <w:rFonts w:hint="eastAsia" w:hAnsi="仿宋_GB2312" w:cs="仿宋_GB2312"/>
          <w:szCs w:val="24"/>
          <w:highlight w:val="none"/>
          <w:lang w:bidi="ar"/>
        </w:rPr>
        <w:t>保障</w:t>
      </w:r>
      <w:r>
        <w:rPr>
          <w:rFonts w:hint="eastAsia" w:hAnsi="仿宋_GB2312" w:cs="仿宋_GB2312"/>
          <w:szCs w:val="24"/>
          <w:highlight w:val="none"/>
          <w:lang w:val="en-US" w:eastAsia="zh-CN" w:bidi="ar"/>
        </w:rPr>
        <w:t>江西沟</w:t>
      </w:r>
      <w:r>
        <w:rPr>
          <w:rFonts w:hint="eastAsia" w:hAnsi="仿宋_GB2312" w:cs="仿宋_GB2312"/>
          <w:szCs w:val="24"/>
          <w:highlight w:val="none"/>
          <w:lang w:bidi="ar"/>
        </w:rPr>
        <w:t>镇区北部污水处理设施建设用地需求，支持污水处理尾水湿地净化项目建设，保障151景区附近污水处理厂用地。推进农村牧区生活污水治理，实施农村生活污水治理项目，推进美丽乡村建设。相对分散的农村牧区采取污水处理与资源利用相结合、运用分散式、生态化处理基础，提高农村牧区污水处理率。</w:t>
      </w:r>
    </w:p>
    <w:p w14:paraId="50B87538">
      <w:pPr>
        <w:pStyle w:val="60"/>
        <w:ind w:left="0" w:firstLine="640" w:firstLineChars="200"/>
        <w:rPr>
          <w:rFonts w:hint="eastAsia" w:hAnsi="Times New Roman" w:cs="Times New Roman"/>
          <w:highlight w:val="none"/>
        </w:rPr>
      </w:pPr>
      <w:bookmarkStart w:id="397" w:name="_Toc198237451"/>
      <w:bookmarkStart w:id="398" w:name="_Toc24113"/>
      <w:r>
        <w:rPr>
          <w:rFonts w:hint="eastAsia" w:hAnsi="Times New Roman" w:cs="Times New Roman"/>
          <w:highlight w:val="none"/>
        </w:rPr>
        <w:t>电力工程</w:t>
      </w:r>
      <w:bookmarkEnd w:id="397"/>
      <w:bookmarkEnd w:id="398"/>
    </w:p>
    <w:p w14:paraId="4F75BFC8">
      <w:pPr>
        <w:pStyle w:val="15"/>
        <w:ind w:firstLine="640"/>
        <w:rPr>
          <w:rFonts w:hAnsi="仿宋_GB2312" w:cs="仿宋_GB2312"/>
          <w:szCs w:val="24"/>
          <w:highlight w:val="none"/>
          <w:lang w:bidi="ar"/>
        </w:rPr>
      </w:pPr>
      <w:r>
        <w:rPr>
          <w:rFonts w:hint="eastAsia" w:ascii="楷体_GB2312" w:hAnsi="楷体_GB2312" w:eastAsia="楷体_GB2312" w:cs="楷体_GB2312"/>
          <w:kern w:val="2"/>
          <w:sz w:val="32"/>
          <w:szCs w:val="32"/>
          <w:highlight w:val="none"/>
          <w:lang w:val="en-US" w:eastAsia="zh-CN" w:bidi="ar-SA"/>
        </w:rPr>
        <w:t>升级改造镇村电力设施，大幅提高城乡供电安全保障能力。</w:t>
      </w:r>
      <w:r>
        <w:rPr>
          <w:rFonts w:hint="eastAsia" w:hAnsi="仿宋_GB2312" w:cs="仿宋_GB2312"/>
          <w:szCs w:val="24"/>
          <w:highlight w:val="none"/>
          <w:lang w:bidi="ar"/>
        </w:rPr>
        <w:t>江西沟镇35千伏变电站作为主供电源，规划扩容改建为110千伏变电站。加强10千伏配网建设工程，强化网架结构，提高用电的安全可靠性。</w:t>
      </w:r>
    </w:p>
    <w:p w14:paraId="734B3EB5">
      <w:pPr>
        <w:pStyle w:val="15"/>
        <w:ind w:firstLine="640"/>
        <w:rPr>
          <w:rFonts w:hAnsi="仿宋_GB2312" w:cs="仿宋_GB2312"/>
          <w:szCs w:val="24"/>
          <w:highlight w:val="none"/>
          <w:lang w:bidi="ar"/>
        </w:rPr>
      </w:pPr>
      <w:r>
        <w:rPr>
          <w:rFonts w:hint="eastAsia" w:ascii="楷体_GB2312" w:hAnsi="楷体_GB2312" w:eastAsia="楷体_GB2312" w:cs="楷体_GB2312"/>
          <w:kern w:val="2"/>
          <w:sz w:val="32"/>
          <w:szCs w:val="32"/>
          <w:highlight w:val="none"/>
          <w:lang w:val="en-US" w:eastAsia="zh-CN" w:bidi="ar-SA"/>
        </w:rPr>
        <w:t>加强重大电力廊道的控制与保护，保障电力运行的安全韧性。</w:t>
      </w:r>
      <w:r>
        <w:rPr>
          <w:rFonts w:hint="eastAsia" w:hAnsi="仿宋_GB2312" w:cs="仿宋_GB2312"/>
          <w:szCs w:val="24"/>
          <w:highlight w:val="none"/>
          <w:lang w:bidi="ar"/>
        </w:rPr>
        <w:t>高压廊道保护与管控符合相关规范要求，在高压廊道内，不得新建建筑物、构筑物。110千伏线路高压线走廊宽度15-25米；35千伏线路高压线走廊宽度15-20米。</w:t>
      </w:r>
    </w:p>
    <w:p w14:paraId="28B1AAE7">
      <w:pPr>
        <w:pStyle w:val="60"/>
        <w:ind w:left="0" w:firstLine="640" w:firstLineChars="200"/>
        <w:rPr>
          <w:rFonts w:hint="eastAsia" w:hAnsi="Times New Roman" w:cs="Times New Roman"/>
          <w:highlight w:val="none"/>
        </w:rPr>
      </w:pPr>
      <w:bookmarkStart w:id="399" w:name="_Toc198237452"/>
      <w:bookmarkStart w:id="400" w:name="_Toc29860"/>
      <w:r>
        <w:rPr>
          <w:rFonts w:hint="eastAsia" w:hAnsi="Times New Roman" w:cs="Times New Roman"/>
          <w:highlight w:val="none"/>
        </w:rPr>
        <w:t>燃气工程</w:t>
      </w:r>
      <w:bookmarkEnd w:id="399"/>
      <w:bookmarkEnd w:id="400"/>
    </w:p>
    <w:p w14:paraId="42F63137">
      <w:pPr>
        <w:pStyle w:val="15"/>
        <w:ind w:firstLine="640"/>
        <w:rPr>
          <w:rFonts w:hAnsi="仿宋_GB2312" w:cs="仿宋_GB2312"/>
          <w:szCs w:val="24"/>
          <w:highlight w:val="none"/>
          <w:lang w:bidi="ar"/>
        </w:rPr>
      </w:pPr>
      <w:r>
        <w:rPr>
          <w:rFonts w:hint="eastAsia" w:ascii="楷体_GB2312" w:hAnsi="楷体_GB2312" w:eastAsia="楷体_GB2312" w:cs="楷体_GB2312"/>
          <w:kern w:val="2"/>
          <w:sz w:val="32"/>
          <w:szCs w:val="32"/>
          <w:highlight w:val="none"/>
          <w:lang w:val="en-US" w:eastAsia="zh-CN" w:bidi="ar-SA"/>
        </w:rPr>
        <w:t>加强天然气设施的建设，提高镇村供气可靠性。</w:t>
      </w:r>
      <w:r>
        <w:rPr>
          <w:rFonts w:hint="eastAsia" w:hAnsi="仿宋_GB2312" w:cs="仿宋_GB2312"/>
          <w:szCs w:val="24"/>
          <w:highlight w:val="none"/>
          <w:lang w:bidi="ar"/>
        </w:rPr>
        <w:t>至2035年，江西沟镇镇区管道天然气气化率为80%，新建江西沟镇配气站，保障江西沟配气站建设用地。城镇管网可以延伸到的农村以管道天然气为主，</w:t>
      </w:r>
      <w:r>
        <w:rPr>
          <w:rFonts w:hint="eastAsia" w:hAnsi="仿宋_GB2312" w:cs="仿宋_GB2312"/>
          <w:szCs w:val="24"/>
          <w:highlight w:val="none"/>
          <w:lang w:eastAsia="zh-CN" w:bidi="ar"/>
        </w:rPr>
        <w:t>其他</w:t>
      </w:r>
      <w:r>
        <w:rPr>
          <w:rFonts w:hint="eastAsia" w:hAnsi="仿宋_GB2312" w:cs="仿宋_GB2312"/>
          <w:szCs w:val="24"/>
          <w:highlight w:val="none"/>
          <w:lang w:bidi="ar"/>
        </w:rPr>
        <w:t>村庄以电力、液化石油气为主。</w:t>
      </w:r>
    </w:p>
    <w:p w14:paraId="79CAE7E3">
      <w:pPr>
        <w:pStyle w:val="60"/>
        <w:ind w:left="0" w:firstLine="640" w:firstLineChars="200"/>
        <w:rPr>
          <w:rFonts w:hint="eastAsia" w:hAnsi="Times New Roman" w:cs="Times New Roman"/>
          <w:highlight w:val="none"/>
        </w:rPr>
      </w:pPr>
      <w:bookmarkStart w:id="401" w:name="_Toc198237453"/>
      <w:bookmarkStart w:id="402" w:name="_Toc30788"/>
      <w:r>
        <w:rPr>
          <w:rFonts w:hint="eastAsia" w:hAnsi="Times New Roman" w:cs="Times New Roman"/>
          <w:highlight w:val="none"/>
        </w:rPr>
        <w:t>供热工程</w:t>
      </w:r>
      <w:bookmarkEnd w:id="401"/>
      <w:bookmarkEnd w:id="402"/>
    </w:p>
    <w:p w14:paraId="782EF8A8">
      <w:pPr>
        <w:pStyle w:val="15"/>
        <w:ind w:firstLine="640"/>
        <w:rPr>
          <w:rFonts w:hAnsi="仿宋_GB2312" w:cs="仿宋_GB2312"/>
          <w:szCs w:val="24"/>
          <w:highlight w:val="none"/>
          <w:lang w:bidi="ar"/>
        </w:rPr>
      </w:pPr>
      <w:r>
        <w:rPr>
          <w:rFonts w:hint="eastAsia" w:ascii="楷体_GB2312" w:hAnsi="楷体_GB2312" w:eastAsia="楷体_GB2312" w:cs="楷体_GB2312"/>
          <w:kern w:val="2"/>
          <w:sz w:val="32"/>
          <w:szCs w:val="32"/>
          <w:highlight w:val="none"/>
          <w:lang w:val="en-US" w:eastAsia="zh-CN" w:bidi="ar-SA"/>
        </w:rPr>
        <w:t>大力提升供暖清洁率，保障居民温暖过冬。</w:t>
      </w:r>
      <w:r>
        <w:rPr>
          <w:rFonts w:hint="eastAsia" w:hAnsi="仿宋_GB2312" w:cs="仿宋_GB2312"/>
          <w:szCs w:val="24"/>
          <w:highlight w:val="none"/>
          <w:lang w:bidi="ar"/>
        </w:rPr>
        <w:t>近期，城镇新建建筑中绿色建筑占比达到100%，新建城镇居住建筑全部执行75%及以上节能设计标准、新建公共建筑全部执行72%节能设计标准。至规划末期，清洁取暖率达到100%。</w:t>
      </w:r>
    </w:p>
    <w:p w14:paraId="3D063559">
      <w:pPr>
        <w:pStyle w:val="15"/>
        <w:ind w:firstLine="640"/>
        <w:rPr>
          <w:rFonts w:hAnsi="仿宋_GB2312" w:cs="仿宋_GB2312"/>
          <w:szCs w:val="24"/>
          <w:highlight w:val="none"/>
          <w:lang w:bidi="ar"/>
        </w:rPr>
      </w:pPr>
      <w:r>
        <w:rPr>
          <w:rFonts w:hint="eastAsia" w:ascii="楷体_GB2312" w:hAnsi="楷体_GB2312" w:eastAsia="楷体_GB2312" w:cs="楷体_GB2312"/>
          <w:kern w:val="2"/>
          <w:sz w:val="32"/>
          <w:szCs w:val="32"/>
          <w:highlight w:val="none"/>
          <w:lang w:val="en-US" w:eastAsia="zh-CN" w:bidi="ar-SA"/>
        </w:rPr>
        <w:t>因地制宜选择方式多样清洁供暖模式，推进清洁供暖。</w:t>
      </w:r>
      <w:r>
        <w:rPr>
          <w:rFonts w:hint="eastAsia" w:hAnsi="仿宋_GB2312" w:cs="仿宋_GB2312"/>
          <w:szCs w:val="24"/>
          <w:highlight w:val="none"/>
          <w:lang w:bidi="ar"/>
        </w:rPr>
        <w:t>镇区及周边乡村天然气覆盖区域采用气代煤清洁取暖方式；未覆盖到的地区宜采用电采暖方式取暖；农村牧区应通过推广普及电力、太阳能等清洁取暖方式，逐步将农村地区散烧煤、粪区域全部改为清洁取暖。</w:t>
      </w:r>
    </w:p>
    <w:p w14:paraId="32397BF6">
      <w:pPr>
        <w:pStyle w:val="60"/>
        <w:ind w:left="0" w:firstLine="640" w:firstLineChars="200"/>
        <w:rPr>
          <w:rFonts w:hint="eastAsia" w:hAnsi="Times New Roman" w:cs="Times New Roman"/>
          <w:highlight w:val="none"/>
        </w:rPr>
      </w:pPr>
      <w:bookmarkStart w:id="403" w:name="_Toc12138"/>
      <w:bookmarkStart w:id="404" w:name="_Toc198237454"/>
      <w:r>
        <w:rPr>
          <w:rFonts w:hint="eastAsia" w:hAnsi="Times New Roman" w:cs="Times New Roman"/>
          <w:highlight w:val="none"/>
        </w:rPr>
        <w:t>环卫工程</w:t>
      </w:r>
      <w:bookmarkEnd w:id="403"/>
      <w:bookmarkEnd w:id="404"/>
    </w:p>
    <w:p w14:paraId="62556408">
      <w:pPr>
        <w:pStyle w:val="15"/>
        <w:ind w:firstLine="640"/>
        <w:rPr>
          <w:rFonts w:hAnsi="仿宋_GB2312" w:cs="仿宋_GB2312"/>
          <w:szCs w:val="24"/>
          <w:highlight w:val="none"/>
          <w:lang w:bidi="ar"/>
        </w:rPr>
      </w:pPr>
      <w:r>
        <w:rPr>
          <w:rFonts w:hint="eastAsia" w:ascii="楷体_GB2312" w:hAnsi="楷体_GB2312" w:eastAsia="楷体_GB2312" w:cs="楷体_GB2312"/>
          <w:kern w:val="2"/>
          <w:sz w:val="32"/>
          <w:szCs w:val="32"/>
          <w:highlight w:val="none"/>
          <w:lang w:val="en-US" w:eastAsia="zh-CN" w:bidi="ar-SA"/>
        </w:rPr>
        <w:t>全面推进生活垃圾处理升级。</w:t>
      </w:r>
      <w:r>
        <w:rPr>
          <w:rFonts w:hint="eastAsia" w:hAnsi="仿宋_GB2312" w:cs="仿宋_GB2312"/>
          <w:szCs w:val="24"/>
          <w:highlight w:val="none"/>
          <w:lang w:bidi="ar"/>
        </w:rPr>
        <w:t>规划采用“户收集、村转运、镇处理”的收集方式处理生活垃圾，通过“填埋</w:t>
      </w:r>
      <w:r>
        <w:rPr>
          <w:rFonts w:hAnsi="仿宋_GB2312" w:cs="仿宋_GB2312"/>
          <w:szCs w:val="24"/>
          <w:highlight w:val="none"/>
          <w:lang w:bidi="ar"/>
        </w:rPr>
        <w:t>+</w:t>
      </w:r>
      <w:r>
        <w:rPr>
          <w:rFonts w:hint="eastAsia" w:hAnsi="仿宋_GB2312" w:cs="仿宋_GB2312"/>
          <w:szCs w:val="24"/>
          <w:highlight w:val="none"/>
          <w:lang w:bidi="ar"/>
        </w:rPr>
        <w:t>高温热解</w:t>
      </w:r>
      <w:r>
        <w:rPr>
          <w:rFonts w:hAnsi="仿宋_GB2312" w:cs="仿宋_GB2312"/>
          <w:szCs w:val="24"/>
          <w:highlight w:val="none"/>
          <w:lang w:bidi="ar"/>
        </w:rPr>
        <w:t>”相结</w:t>
      </w:r>
      <w:r>
        <w:rPr>
          <w:rFonts w:hint="eastAsia" w:hAnsi="仿宋_GB2312" w:cs="仿宋_GB2312"/>
          <w:szCs w:val="24"/>
          <w:highlight w:val="none"/>
          <w:lang w:bidi="ar"/>
        </w:rPr>
        <w:t>合</w:t>
      </w:r>
      <w:r>
        <w:rPr>
          <w:rFonts w:hAnsi="仿宋_GB2312" w:cs="仿宋_GB2312"/>
          <w:szCs w:val="24"/>
          <w:highlight w:val="none"/>
          <w:lang w:bidi="ar"/>
        </w:rPr>
        <w:t>的垃圾处理方式延长生活垃圾填埋场使用年限</w:t>
      </w:r>
      <w:r>
        <w:rPr>
          <w:rFonts w:hint="eastAsia" w:hAnsi="仿宋_GB2312" w:cs="仿宋_GB2312"/>
          <w:szCs w:val="24"/>
          <w:highlight w:val="none"/>
          <w:lang w:bidi="ar"/>
        </w:rPr>
        <w:t>。规划保留现状江西沟镇生活垃圾填埋场用地，位于镇区南部约1.5公里处</w:t>
      </w:r>
      <w:r>
        <w:rPr>
          <w:rFonts w:hAnsi="仿宋_GB2312" w:cs="仿宋_GB2312"/>
          <w:szCs w:val="24"/>
          <w:highlight w:val="none"/>
          <w:lang w:bidi="ar"/>
        </w:rPr>
        <w:t>；</w:t>
      </w:r>
      <w:r>
        <w:rPr>
          <w:rFonts w:hint="eastAsia" w:hAnsi="仿宋_GB2312" w:cs="仿宋_GB2312"/>
          <w:szCs w:val="24"/>
          <w:highlight w:val="none"/>
          <w:lang w:bidi="ar"/>
        </w:rPr>
        <w:t>预留垃圾填埋场扩建用地，合理预控填埋场扩建新增建设用地规模，强化环卫设施用地集约节约利用。</w:t>
      </w:r>
    </w:p>
    <w:p w14:paraId="00EB74AE">
      <w:pPr>
        <w:pStyle w:val="15"/>
        <w:ind w:firstLine="640"/>
        <w:rPr>
          <w:rFonts w:hAnsi="仿宋_GB2312" w:cs="仿宋_GB2312"/>
          <w:szCs w:val="24"/>
          <w:highlight w:val="none"/>
          <w:lang w:bidi="ar"/>
        </w:rPr>
      </w:pPr>
      <w:r>
        <w:rPr>
          <w:rFonts w:hint="eastAsia" w:ascii="楷体_GB2312" w:hAnsi="楷体_GB2312" w:eastAsia="楷体_GB2312" w:cs="楷体_GB2312"/>
          <w:szCs w:val="32"/>
          <w:highlight w:val="none"/>
        </w:rPr>
        <w:t>推进厕所革命，普及农村卫生厕所。</w:t>
      </w:r>
      <w:r>
        <w:rPr>
          <w:rFonts w:hint="eastAsia" w:hAnsi="仿宋_GB2312" w:cs="仿宋_GB2312"/>
          <w:szCs w:val="24"/>
          <w:highlight w:val="none"/>
          <w:lang w:bidi="ar"/>
        </w:rPr>
        <w:t>贯彻落实国务院办公厅发布的《农村人居环境整治提升五年行动方案（2021－2025年）》中针对“厕所革命”</w:t>
      </w:r>
      <w:r>
        <w:rPr>
          <w:rFonts w:hint="eastAsia" w:hAnsi="仿宋_GB2312" w:cs="仿宋_GB2312"/>
          <w:szCs w:val="24"/>
          <w:highlight w:val="none"/>
          <w:lang w:eastAsia="zh-CN" w:bidi="ar"/>
        </w:rPr>
        <w:t>提</w:t>
      </w:r>
      <w:r>
        <w:rPr>
          <w:rFonts w:hint="eastAsia" w:hAnsi="仿宋_GB2312" w:cs="仿宋_GB2312"/>
          <w:szCs w:val="24"/>
          <w:highlight w:val="none"/>
          <w:lang w:bidi="ar"/>
        </w:rPr>
        <w:t>出的重要要求：逐步普及农村卫生厕所；切实提高改厕质量；加强厕所粪污无害化处理与资源化利用。</w:t>
      </w:r>
    </w:p>
    <w:p w14:paraId="63E7EEA8">
      <w:pPr>
        <w:pStyle w:val="60"/>
        <w:ind w:left="0" w:firstLine="640" w:firstLineChars="200"/>
        <w:rPr>
          <w:rFonts w:hint="eastAsia" w:hAnsi="Times New Roman" w:cs="Times New Roman"/>
          <w:highlight w:val="none"/>
        </w:rPr>
      </w:pPr>
      <w:bookmarkStart w:id="405" w:name="_Toc16153"/>
      <w:bookmarkStart w:id="406" w:name="_Toc198237455"/>
      <w:r>
        <w:rPr>
          <w:rFonts w:hint="eastAsia" w:hAnsi="Times New Roman" w:cs="Times New Roman"/>
          <w:highlight w:val="none"/>
        </w:rPr>
        <w:t>新基建工程</w:t>
      </w:r>
      <w:bookmarkEnd w:id="405"/>
      <w:bookmarkEnd w:id="406"/>
    </w:p>
    <w:p w14:paraId="53BB8CC1">
      <w:pPr>
        <w:pStyle w:val="15"/>
        <w:ind w:firstLine="640"/>
        <w:rPr>
          <w:rFonts w:hAnsi="仿宋_GB2312" w:cs="仿宋_GB2312"/>
          <w:szCs w:val="24"/>
          <w:highlight w:val="none"/>
          <w:lang w:bidi="ar"/>
        </w:rPr>
      </w:pPr>
      <w:r>
        <w:rPr>
          <w:rFonts w:hint="eastAsia" w:hAnsi="仿宋_GB2312" w:cs="仿宋_GB2312"/>
          <w:szCs w:val="24"/>
          <w:highlight w:val="none"/>
          <w:lang w:bidi="ar"/>
        </w:rPr>
        <w:t>加快推进5G基站建设，镇区宏基站设置密度为7个基站/平方千米，基站站间距400-450米；农村宏基站设置密度为2个基站/平方千米，基站站间距750-700米。依托清洁能源发电优势，重点推进高压输配电设施建设。因地制宜建设充电场、充电桩等新能源汽车充电设施，多途径推进新基建工程建设。</w:t>
      </w:r>
    </w:p>
    <w:p w14:paraId="5D13B8BB">
      <w:pPr>
        <w:pStyle w:val="3"/>
        <w:numPr>
          <w:ilvl w:val="1"/>
          <w:numId w:val="16"/>
        </w:numPr>
        <w:tabs>
          <w:tab w:val="left" w:pos="353"/>
        </w:tabs>
        <w:spacing w:before="260" w:after="260" w:line="416" w:lineRule="auto"/>
        <w:rPr>
          <w:highlight w:val="none"/>
          <w:lang w:val="zh-CN"/>
        </w:rPr>
      </w:pPr>
      <w:bookmarkStart w:id="407" w:name="_Toc198237456"/>
      <w:bookmarkStart w:id="408" w:name="_Toc27605"/>
      <w:bookmarkStart w:id="409" w:name="_Toc1847"/>
      <w:bookmarkStart w:id="410" w:name="_Toc16152"/>
      <w:bookmarkStart w:id="411" w:name="_Toc6962"/>
      <w:bookmarkStart w:id="412" w:name="_Toc198237545"/>
      <w:r>
        <w:rPr>
          <w:rFonts w:hint="eastAsia"/>
          <w:highlight w:val="none"/>
          <w:lang w:val="zh-CN"/>
        </w:rPr>
        <w:t>构建韧性安全的综合防灾体系</w:t>
      </w:r>
      <w:bookmarkEnd w:id="407"/>
      <w:bookmarkEnd w:id="408"/>
      <w:bookmarkEnd w:id="409"/>
      <w:bookmarkEnd w:id="410"/>
      <w:bookmarkEnd w:id="411"/>
      <w:bookmarkEnd w:id="412"/>
    </w:p>
    <w:p w14:paraId="58A2B7FF">
      <w:pPr>
        <w:pStyle w:val="60"/>
        <w:ind w:left="0" w:firstLine="640" w:firstLineChars="200"/>
        <w:rPr>
          <w:rFonts w:hint="eastAsia" w:hAnsi="Times New Roman" w:cs="Times New Roman"/>
          <w:highlight w:val="none"/>
        </w:rPr>
      </w:pPr>
      <w:bookmarkStart w:id="413" w:name="_Toc198237457"/>
      <w:bookmarkStart w:id="414" w:name="_Toc1700"/>
      <w:r>
        <w:rPr>
          <w:rFonts w:hint="eastAsia" w:hAnsi="Times New Roman" w:cs="Times New Roman"/>
          <w:highlight w:val="none"/>
        </w:rPr>
        <w:t>防震减灾工程</w:t>
      </w:r>
      <w:bookmarkEnd w:id="413"/>
      <w:bookmarkEnd w:id="414"/>
    </w:p>
    <w:p w14:paraId="75799836">
      <w:pPr>
        <w:pStyle w:val="15"/>
        <w:ind w:firstLine="640"/>
        <w:rPr>
          <w:rFonts w:hAnsi="仿宋_GB2312" w:cs="仿宋_GB2312"/>
          <w:szCs w:val="24"/>
          <w:highlight w:val="none"/>
          <w:lang w:bidi="ar"/>
        </w:rPr>
      </w:pPr>
      <w:r>
        <w:rPr>
          <w:rFonts w:hint="eastAsia" w:hAnsi="仿宋_GB2312" w:cs="仿宋_GB2312"/>
          <w:szCs w:val="24"/>
          <w:highlight w:val="none"/>
          <w:u w:val="none"/>
          <w:lang w:bidi="ar"/>
        </w:rPr>
        <w:t>江西沟镇地震动峰值加速度</w:t>
      </w:r>
      <w:r>
        <w:rPr>
          <w:rFonts w:hAnsi="仿宋_GB2312" w:cs="仿宋_GB2312"/>
          <w:szCs w:val="24"/>
          <w:highlight w:val="none"/>
          <w:u w:val="none"/>
          <w:lang w:bidi="ar"/>
        </w:rPr>
        <w:t>0.15g，</w:t>
      </w:r>
      <w:r>
        <w:rPr>
          <w:rFonts w:hAnsi="仿宋_GB2312" w:cs="仿宋_GB2312"/>
          <w:szCs w:val="24"/>
          <w:highlight w:val="none"/>
          <w:u w:val="single"/>
          <w:lang w:bidi="ar"/>
        </w:rPr>
        <w:t>抗震设防基本烈度7度</w:t>
      </w:r>
      <w:r>
        <w:rPr>
          <w:rFonts w:hint="eastAsia" w:hAnsi="仿宋_GB2312" w:cs="仿宋_GB2312"/>
          <w:szCs w:val="24"/>
          <w:highlight w:val="none"/>
          <w:u w:val="single"/>
          <w:lang w:bidi="ar"/>
        </w:rPr>
        <w:t>。</w:t>
      </w:r>
      <w:r>
        <w:rPr>
          <w:rFonts w:hint="eastAsia" w:hAnsi="仿宋_GB2312" w:cs="仿宋_GB2312"/>
          <w:szCs w:val="24"/>
          <w:highlight w:val="none"/>
          <w:lang w:bidi="ar"/>
        </w:rPr>
        <w:t>新建、改建、扩建工程应严格按照标准设防，重大工程和可能因地震产生严重次生灾害的建设工程，应当按照有关规定开展地震安全性评价，并</w:t>
      </w:r>
      <w:r>
        <w:rPr>
          <w:rFonts w:hint="eastAsia" w:hAnsi="仿宋_GB2312" w:cs="仿宋_GB2312"/>
          <w:szCs w:val="24"/>
          <w:highlight w:val="none"/>
          <w:lang w:eastAsia="zh-CN" w:bidi="ar"/>
        </w:rPr>
        <w:t>按照</w:t>
      </w:r>
      <w:r>
        <w:rPr>
          <w:rFonts w:hint="eastAsia" w:hAnsi="仿宋_GB2312" w:cs="仿宋_GB2312"/>
          <w:szCs w:val="24"/>
          <w:highlight w:val="none"/>
          <w:lang w:bidi="ar"/>
        </w:rPr>
        <w:t>地震安全性评价结果所确定的抗震设防要求进行抗震设计。学校、医院、体育场馆、文化场馆等大型公共建筑和重要生命线工程应当适当提高地震动峰值加速度取值，在建设工程中采取有效措施，增强抗震能力。建设项目必须满足相应的抗震设防要求。落实海南州测震站网规划，完善地震监测设施布局，加强地震监测设施和地震观测环境的保护。</w:t>
      </w:r>
    </w:p>
    <w:p w14:paraId="54D14301">
      <w:pPr>
        <w:pStyle w:val="60"/>
        <w:ind w:left="0" w:firstLine="640" w:firstLineChars="200"/>
        <w:rPr>
          <w:rFonts w:hint="eastAsia" w:hAnsi="Times New Roman" w:cs="Times New Roman"/>
          <w:highlight w:val="none"/>
        </w:rPr>
      </w:pPr>
      <w:bookmarkStart w:id="415" w:name="_Toc7000"/>
      <w:bookmarkStart w:id="416" w:name="_Toc198237458"/>
      <w:r>
        <w:rPr>
          <w:rFonts w:hint="eastAsia" w:hAnsi="Times New Roman" w:cs="Times New Roman"/>
          <w:highlight w:val="none"/>
        </w:rPr>
        <w:t>地质灾害防治</w:t>
      </w:r>
      <w:bookmarkEnd w:id="415"/>
      <w:bookmarkEnd w:id="416"/>
    </w:p>
    <w:p w14:paraId="7B047313">
      <w:pPr>
        <w:pStyle w:val="15"/>
        <w:ind w:firstLine="640"/>
        <w:rPr>
          <w:rFonts w:hAnsi="仿宋_GB2312" w:cs="仿宋_GB2312"/>
          <w:szCs w:val="24"/>
          <w:highlight w:val="none"/>
          <w:lang w:bidi="ar"/>
        </w:rPr>
      </w:pPr>
      <w:r>
        <w:rPr>
          <w:rFonts w:hint="eastAsia" w:hAnsi="仿宋_GB2312" w:cs="仿宋_GB2312"/>
          <w:szCs w:val="24"/>
          <w:highlight w:val="none"/>
          <w:lang w:bidi="ar"/>
        </w:rPr>
        <w:t>江西沟镇处于地质灾害中风险区，对地质灾害隐患点进行分类管控，综合采用工程治理、排危除险、避让搬迁、专业监测和监测预警等多种措施，对镇域内地质灾害实施综合防治。</w:t>
      </w:r>
    </w:p>
    <w:p w14:paraId="32867832">
      <w:pPr>
        <w:pStyle w:val="15"/>
        <w:ind w:firstLine="640"/>
        <w:rPr>
          <w:rFonts w:hint="eastAsia" w:hAnsi="仿宋_GB2312" w:cs="仿宋_GB2312"/>
          <w:szCs w:val="24"/>
          <w:highlight w:val="none"/>
          <w:u w:val="single"/>
          <w:lang w:bidi="ar"/>
        </w:rPr>
      </w:pPr>
      <w:bookmarkStart w:id="417" w:name="_Toc5476"/>
      <w:bookmarkStart w:id="418" w:name="_Toc198237459"/>
      <w:r>
        <w:rPr>
          <w:rFonts w:hint="eastAsia" w:hAnsi="仿宋_GB2312" w:cs="仿宋_GB2312"/>
          <w:szCs w:val="24"/>
          <w:highlight w:val="none"/>
          <w:lang w:bidi="ar"/>
        </w:rPr>
        <w:t>严格落实地质灾害安全管控要求，</w:t>
      </w:r>
      <w:r>
        <w:rPr>
          <w:rFonts w:hint="eastAsia" w:hAnsi="仿宋_GB2312" w:cs="仿宋_GB2312"/>
          <w:szCs w:val="24"/>
          <w:highlight w:val="none"/>
          <w:u w:val="single"/>
          <w:lang w:bidi="ar"/>
        </w:rPr>
        <w:t>地质灾害易发区内的开发建设，应当进行地质灾害危险性评估，并根据地质灾害危险性评估提出的预防治理措施，有序开展地质灾害工程治理或搬迁避让工作，对可能引发地质灾害的建设活动采取积极有效的防护治理措施，避免工程建设引发或遭受地质灾害的威胁。评估结果为不适宜的场地不得进行开发建设，地质灾害危险区内禁止从事容易诱发地质灾害的各种活动。</w:t>
      </w:r>
    </w:p>
    <w:p w14:paraId="72BC482D">
      <w:pPr>
        <w:pStyle w:val="60"/>
        <w:ind w:left="0" w:firstLine="640" w:firstLineChars="200"/>
        <w:rPr>
          <w:rFonts w:hint="eastAsia" w:hAnsi="Times New Roman" w:cs="Times New Roman"/>
          <w:highlight w:val="none"/>
        </w:rPr>
      </w:pPr>
      <w:r>
        <w:rPr>
          <w:rFonts w:hint="eastAsia" w:hAnsi="Times New Roman" w:cs="Times New Roman"/>
          <w:highlight w:val="none"/>
        </w:rPr>
        <w:t>防洪排涝工程</w:t>
      </w:r>
      <w:bookmarkEnd w:id="417"/>
      <w:bookmarkEnd w:id="418"/>
    </w:p>
    <w:p w14:paraId="3C29DADD">
      <w:pPr>
        <w:pStyle w:val="15"/>
        <w:ind w:firstLine="640"/>
        <w:rPr>
          <w:rFonts w:hAnsi="仿宋_GB2312" w:cs="仿宋_GB2312"/>
          <w:szCs w:val="24"/>
          <w:highlight w:val="none"/>
          <w:lang w:bidi="ar"/>
        </w:rPr>
      </w:pPr>
      <w:r>
        <w:rPr>
          <w:rFonts w:hint="eastAsia" w:ascii="楷体_GB2312" w:hAnsi="楷体_GB2312" w:eastAsia="楷体_GB2312" w:cs="楷体_GB2312"/>
          <w:szCs w:val="32"/>
          <w:highlight w:val="none"/>
        </w:rPr>
        <w:t>洪涝风险控制线。</w:t>
      </w:r>
      <w:r>
        <w:rPr>
          <w:rFonts w:hint="eastAsia" w:hAnsi="仿宋_GB2312" w:cs="仿宋_GB2312"/>
          <w:szCs w:val="24"/>
          <w:highlight w:val="none"/>
          <w:lang w:bidi="ar"/>
        </w:rPr>
        <w:t>以水利部门依法划定的河湖管理范围为基础，将主要行洪排涝通道、河湖湿地等洪涝水行泄、调蓄的自然空间划入洪涝风险控制线，保障防洪排涝系统完整性和通达性，洪涝风险控制线总面积5.13平方千米。对洪涝风险控制线内的耕地，在不妨碍行洪、蓄洪和输水等功能的前提下，依法依规分类处理。城市建设和发展不得占用洪涝行泄空间；对妨碍行洪、影响河势稳定、危害水工程安全的已建项目，依法限期拆除并恢复原状。对桥梁、码头等审批类项目进行防洪影响评价，消除不利影响。</w:t>
      </w:r>
    </w:p>
    <w:p w14:paraId="2CBE1525">
      <w:pPr>
        <w:pStyle w:val="15"/>
        <w:ind w:firstLine="640"/>
        <w:rPr>
          <w:rFonts w:hAnsi="仿宋_GB2312" w:cs="仿宋_GB2312"/>
          <w:szCs w:val="24"/>
          <w:highlight w:val="none"/>
          <w:lang w:bidi="ar"/>
        </w:rPr>
      </w:pPr>
      <w:r>
        <w:rPr>
          <w:rFonts w:hint="eastAsia" w:ascii="楷体_GB2312" w:hAnsi="楷体_GB2312" w:eastAsia="楷体_GB2312" w:cs="楷体_GB2312"/>
          <w:szCs w:val="32"/>
          <w:highlight w:val="none"/>
        </w:rPr>
        <w:t>完善镇村防洪排涝体系。</w:t>
      </w:r>
      <w:r>
        <w:rPr>
          <w:rFonts w:hint="eastAsia" w:hAnsi="仿宋_GB2312" w:cs="仿宋_GB2312"/>
          <w:szCs w:val="24"/>
          <w:highlight w:val="none"/>
          <w:u w:val="single"/>
          <w:lang w:bidi="ar"/>
        </w:rPr>
        <w:t>镇区防洪标准达到20年一遇，农村10年一遇。</w:t>
      </w:r>
      <w:r>
        <w:rPr>
          <w:rFonts w:hint="eastAsia" w:hAnsi="仿宋_GB2312" w:cs="仿宋_GB2312"/>
          <w:szCs w:val="24"/>
          <w:highlight w:val="none"/>
          <w:lang w:bidi="ar"/>
        </w:rPr>
        <w:t>完善重要河流防洪治理工程建设，加快推进重点河段防洪达标治理，全面推进中小河流治理工程。实施重点山洪沟防洪治理工程措施，巩固提升山洪防治非工程措施。保障防洪堤、排洪沟（渠）等水工设施用地需求。</w:t>
      </w:r>
    </w:p>
    <w:p w14:paraId="133E0383">
      <w:pPr>
        <w:pStyle w:val="60"/>
        <w:ind w:left="0" w:firstLine="640" w:firstLineChars="200"/>
        <w:rPr>
          <w:rFonts w:hint="eastAsia" w:hAnsi="Times New Roman" w:cs="Times New Roman"/>
          <w:highlight w:val="none"/>
        </w:rPr>
      </w:pPr>
      <w:bookmarkStart w:id="419" w:name="_Toc20543"/>
      <w:bookmarkStart w:id="420" w:name="_Toc198237460"/>
      <w:r>
        <w:rPr>
          <w:rFonts w:hint="eastAsia" w:hAnsi="Times New Roman" w:cs="Times New Roman"/>
          <w:highlight w:val="none"/>
        </w:rPr>
        <w:t>消防工程</w:t>
      </w:r>
      <w:bookmarkEnd w:id="419"/>
      <w:bookmarkEnd w:id="420"/>
    </w:p>
    <w:p w14:paraId="43D884AF">
      <w:pPr>
        <w:pStyle w:val="15"/>
        <w:ind w:firstLine="640"/>
        <w:rPr>
          <w:rFonts w:hint="eastAsia" w:hAnsi="仿宋_GB2312" w:cs="仿宋_GB2312"/>
          <w:szCs w:val="24"/>
          <w:highlight w:val="none"/>
          <w:lang w:val="en-US" w:eastAsia="zh-CN" w:bidi="ar"/>
        </w:rPr>
      </w:pPr>
      <w:r>
        <w:rPr>
          <w:rFonts w:hint="eastAsia" w:ascii="楷体_GB2312" w:hAnsi="楷体_GB2312" w:eastAsia="楷体_GB2312" w:cs="楷体_GB2312"/>
          <w:szCs w:val="32"/>
          <w:highlight w:val="none"/>
          <w:lang w:val="en-US" w:eastAsia="zh-CN"/>
        </w:rPr>
        <w:t>消防设施。</w:t>
      </w:r>
      <w:r>
        <w:rPr>
          <w:rFonts w:hint="eastAsia" w:hAnsi="仿宋_GB2312" w:cs="仿宋_GB2312"/>
          <w:szCs w:val="24"/>
          <w:highlight w:val="none"/>
          <w:lang w:bidi="ar"/>
        </w:rPr>
        <w:t>形成以乡镇政府专职消防队伍为主要消防力量，以</w:t>
      </w:r>
      <w:r>
        <w:rPr>
          <w:rFonts w:hAnsi="仿宋_GB2312" w:cs="仿宋_GB2312"/>
          <w:szCs w:val="24"/>
          <w:highlight w:val="none"/>
          <w:lang w:bidi="ar"/>
        </w:rPr>
        <w:t>志愿消防队伍</w:t>
      </w:r>
      <w:r>
        <w:rPr>
          <w:rFonts w:hint="eastAsia" w:hAnsi="仿宋_GB2312" w:cs="仿宋_GB2312"/>
          <w:szCs w:val="24"/>
          <w:highlight w:val="none"/>
          <w:lang w:bidi="ar"/>
        </w:rPr>
        <w:t>或</w:t>
      </w:r>
      <w:r>
        <w:rPr>
          <w:rFonts w:hAnsi="仿宋_GB2312" w:cs="仿宋_GB2312"/>
          <w:szCs w:val="24"/>
          <w:highlight w:val="none"/>
          <w:lang w:bidi="ar"/>
        </w:rPr>
        <w:t>企业兼职消防队伍</w:t>
      </w:r>
      <w:r>
        <w:rPr>
          <w:rFonts w:hint="eastAsia" w:hAnsi="仿宋_GB2312" w:cs="仿宋_GB2312"/>
          <w:szCs w:val="24"/>
          <w:highlight w:val="none"/>
          <w:lang w:bidi="ar"/>
        </w:rPr>
        <w:t>为补充的消防体系，农业牧区集中居民点内</w:t>
      </w:r>
      <w:r>
        <w:rPr>
          <w:rFonts w:hint="eastAsia" w:hAnsi="仿宋_GB2312" w:cs="仿宋_GB2312"/>
          <w:szCs w:val="24"/>
          <w:highlight w:val="none"/>
          <w:lang w:val="en-US" w:eastAsia="zh-CN" w:bidi="ar"/>
        </w:rPr>
        <w:t>结合村委会</w:t>
      </w:r>
      <w:r>
        <w:rPr>
          <w:rFonts w:hint="eastAsia" w:hAnsi="仿宋_GB2312" w:cs="仿宋_GB2312"/>
          <w:szCs w:val="24"/>
          <w:highlight w:val="none"/>
          <w:lang w:bidi="ar"/>
        </w:rPr>
        <w:t>设置微型消防站，配备供紧急使用的灭火器材、前线救援器材和消防人员防护器材。规划在镇区设置微型消防站</w:t>
      </w:r>
      <w:r>
        <w:rPr>
          <w:rFonts w:hint="eastAsia" w:hAnsi="仿宋_GB2312" w:cs="仿宋_GB2312"/>
          <w:szCs w:val="24"/>
          <w:highlight w:val="none"/>
          <w:lang w:eastAsia="zh-CN" w:bidi="ar"/>
        </w:rPr>
        <w:t>，</w:t>
      </w:r>
      <w:r>
        <w:rPr>
          <w:rFonts w:hint="eastAsia" w:hAnsi="仿宋_GB2312" w:cs="仿宋_GB2312"/>
          <w:szCs w:val="24"/>
          <w:highlight w:val="none"/>
          <w:lang w:val="en-US" w:eastAsia="zh-CN" w:bidi="ar"/>
        </w:rPr>
        <w:t>在风情小镇设置1处消防站。</w:t>
      </w:r>
    </w:p>
    <w:p w14:paraId="28A26918">
      <w:pPr>
        <w:pStyle w:val="15"/>
        <w:ind w:firstLine="640"/>
        <w:rPr>
          <w:rFonts w:hint="eastAsia" w:hAnsi="仿宋_GB2312" w:cs="仿宋_GB2312"/>
          <w:szCs w:val="24"/>
          <w:highlight w:val="none"/>
          <w:lang w:bidi="ar"/>
        </w:rPr>
      </w:pPr>
      <w:r>
        <w:rPr>
          <w:rFonts w:hint="eastAsia" w:ascii="楷体_GB2312" w:hAnsi="楷体_GB2312" w:eastAsia="楷体_GB2312" w:cs="楷体_GB2312"/>
          <w:szCs w:val="32"/>
          <w:highlight w:val="none"/>
          <w:lang w:val="en-US" w:eastAsia="zh-CN"/>
        </w:rPr>
        <w:t>消防供水。</w:t>
      </w:r>
      <w:r>
        <w:rPr>
          <w:rFonts w:hint="eastAsia" w:hAnsi="仿宋_GB2312" w:cs="仿宋_GB2312"/>
          <w:szCs w:val="24"/>
          <w:highlight w:val="none"/>
          <w:lang w:val="en-US" w:eastAsia="zh-CN" w:bidi="ar"/>
        </w:rPr>
        <w:t>镇区和风情小镇消防供水以市政给水管网为主，给水管网管径不低于DN100，管网埋深位于冻土层以下。结合市政给水管网设置消火栓，间距不超过120米。其余</w:t>
      </w:r>
      <w:r>
        <w:rPr>
          <w:rFonts w:hint="eastAsia" w:hAnsi="仿宋_GB2312" w:cs="仿宋_GB2312"/>
          <w:szCs w:val="24"/>
          <w:highlight w:val="none"/>
          <w:lang w:bidi="ar"/>
        </w:rPr>
        <w:t>各村结合实际情况建设消防水池，消防水池的建设应满足防寒抗冻的要求。</w:t>
      </w:r>
    </w:p>
    <w:p w14:paraId="154D2FA7">
      <w:pPr>
        <w:pStyle w:val="15"/>
        <w:ind w:firstLine="640"/>
        <w:rPr>
          <w:rFonts w:hint="default" w:hAnsi="仿宋_GB2312" w:cs="仿宋_GB2312"/>
          <w:szCs w:val="24"/>
          <w:highlight w:val="none"/>
          <w:lang w:val="en-US" w:eastAsia="zh-CN" w:bidi="ar"/>
        </w:rPr>
      </w:pPr>
      <w:r>
        <w:rPr>
          <w:rFonts w:hint="default" w:ascii="楷体_GB2312" w:hAnsi="楷体_GB2312" w:eastAsia="楷体_GB2312" w:cs="楷体_GB2312"/>
          <w:szCs w:val="32"/>
          <w:highlight w:val="none"/>
          <w:lang w:val="en-US" w:eastAsia="zh-CN"/>
        </w:rPr>
        <w:t>消防通道</w:t>
      </w:r>
      <w:r>
        <w:rPr>
          <w:rFonts w:hint="eastAsia" w:ascii="楷体_GB2312" w:hAnsi="楷体_GB2312" w:eastAsia="楷体_GB2312" w:cs="楷体_GB2312"/>
          <w:szCs w:val="32"/>
          <w:highlight w:val="none"/>
          <w:lang w:val="en-US" w:eastAsia="zh-CN"/>
        </w:rPr>
        <w:t>。</w:t>
      </w:r>
      <w:r>
        <w:rPr>
          <w:rFonts w:hint="default" w:hAnsi="仿宋_GB2312" w:cs="仿宋_GB2312"/>
          <w:szCs w:val="24"/>
          <w:highlight w:val="none"/>
          <w:lang w:val="en-US" w:eastAsia="zh-CN" w:bidi="ar"/>
        </w:rPr>
        <w:t>消防车通道应符合消防车辆安全、快捷通行的要求。加强消防车通道建设，提高道路承载大型消防车的能力，确保消防车辆安全、快捷通行。</w:t>
      </w:r>
    </w:p>
    <w:p w14:paraId="1E6544C0">
      <w:pPr>
        <w:pStyle w:val="15"/>
        <w:ind w:firstLine="640"/>
        <w:rPr>
          <w:rFonts w:hint="default" w:hAnsi="仿宋_GB2312" w:cs="仿宋_GB2312"/>
          <w:szCs w:val="24"/>
          <w:highlight w:val="none"/>
          <w:lang w:val="en-US" w:eastAsia="zh-CN" w:bidi="ar"/>
        </w:rPr>
      </w:pPr>
      <w:r>
        <w:rPr>
          <w:rFonts w:hint="default" w:ascii="楷体_GB2312" w:hAnsi="楷体_GB2312" w:eastAsia="楷体_GB2312" w:cs="楷体_GB2312"/>
          <w:szCs w:val="32"/>
          <w:highlight w:val="none"/>
          <w:lang w:val="en-US" w:eastAsia="zh-CN"/>
        </w:rPr>
        <w:t>耐火等级</w:t>
      </w:r>
      <w:r>
        <w:rPr>
          <w:rFonts w:hint="eastAsia" w:ascii="楷体_GB2312" w:hAnsi="楷体_GB2312" w:eastAsia="楷体_GB2312" w:cs="楷体_GB2312"/>
          <w:szCs w:val="32"/>
          <w:highlight w:val="none"/>
          <w:lang w:val="en-US" w:eastAsia="zh-CN"/>
        </w:rPr>
        <w:t>。</w:t>
      </w:r>
      <w:r>
        <w:rPr>
          <w:rFonts w:hint="default" w:hAnsi="仿宋_GB2312" w:cs="仿宋_GB2312"/>
          <w:szCs w:val="24"/>
          <w:highlight w:val="none"/>
          <w:lang w:val="en-US" w:eastAsia="zh-CN" w:bidi="ar"/>
        </w:rPr>
        <w:t>新建建筑应当达到一、二级耐火等级标准，控制三级建筑，严格限制四级建筑，不准易燃简易搭盖。</w:t>
      </w:r>
    </w:p>
    <w:p w14:paraId="36CFA224">
      <w:pPr>
        <w:pStyle w:val="15"/>
        <w:ind w:firstLine="640"/>
        <w:rPr>
          <w:rFonts w:hint="eastAsia" w:hAnsi="仿宋_GB2312" w:eastAsia="仿宋_GB2312" w:cs="仿宋_GB2312"/>
          <w:szCs w:val="24"/>
          <w:highlight w:val="none"/>
          <w:lang w:eastAsia="zh-CN" w:bidi="ar"/>
        </w:rPr>
      </w:pPr>
      <w:r>
        <w:rPr>
          <w:rFonts w:hint="eastAsia" w:ascii="楷体_GB2312" w:hAnsi="楷体_GB2312" w:eastAsia="楷体_GB2312" w:cs="楷体_GB2312"/>
          <w:szCs w:val="32"/>
          <w:highlight w:val="none"/>
          <w:lang w:val="en-US" w:eastAsia="zh-CN"/>
        </w:rPr>
        <w:t>消防科技赋能。</w:t>
      </w:r>
      <w:r>
        <w:rPr>
          <w:rFonts w:hint="eastAsia" w:hAnsi="仿宋_GB2312" w:cs="仿宋_GB2312"/>
          <w:szCs w:val="24"/>
          <w:highlight w:val="none"/>
          <w:lang w:val="en-US" w:eastAsia="zh-CN" w:bidi="ar"/>
        </w:rPr>
        <w:t>通过物联网传感器、大数据与AI分析、消防机器人等技术创新与数字化手段，全面提升火灾预防、监测、救援和管理的效率，</w:t>
      </w:r>
      <w:r>
        <w:rPr>
          <w:rFonts w:hint="eastAsia" w:hAnsi="仿宋_GB2312" w:cs="仿宋_GB2312"/>
          <w:szCs w:val="24"/>
          <w:highlight w:val="none"/>
          <w:lang w:bidi="ar"/>
        </w:rPr>
        <w:t>实现从"被动响应"到"主动防控"的转型，最终构建"人防+技防+智防"的全新体系</w:t>
      </w:r>
      <w:r>
        <w:rPr>
          <w:rFonts w:hint="eastAsia" w:hAnsi="仿宋_GB2312" w:cs="仿宋_GB2312"/>
          <w:szCs w:val="24"/>
          <w:highlight w:val="none"/>
          <w:lang w:eastAsia="zh-CN" w:bidi="ar"/>
        </w:rPr>
        <w:t>。</w:t>
      </w:r>
    </w:p>
    <w:p w14:paraId="63B55573">
      <w:pPr>
        <w:pStyle w:val="60"/>
        <w:ind w:left="0" w:firstLine="640" w:firstLineChars="200"/>
        <w:rPr>
          <w:rFonts w:hint="eastAsia" w:hAnsi="Times New Roman" w:cs="Times New Roman"/>
          <w:highlight w:val="none"/>
        </w:rPr>
      </w:pPr>
      <w:bookmarkStart w:id="421" w:name="_Toc28768"/>
      <w:bookmarkStart w:id="422" w:name="_Toc198237461"/>
      <w:r>
        <w:rPr>
          <w:rFonts w:hint="eastAsia" w:hAnsi="Times New Roman" w:cs="Times New Roman"/>
          <w:highlight w:val="none"/>
        </w:rPr>
        <w:t>气象灾害防治</w:t>
      </w:r>
      <w:bookmarkEnd w:id="421"/>
      <w:bookmarkEnd w:id="422"/>
    </w:p>
    <w:p w14:paraId="3E9C0381">
      <w:pPr>
        <w:pStyle w:val="15"/>
        <w:ind w:firstLine="640"/>
        <w:rPr>
          <w:rFonts w:hAnsi="仿宋_GB2312" w:cs="仿宋_GB2312"/>
          <w:szCs w:val="24"/>
          <w:highlight w:val="none"/>
          <w:lang w:bidi="ar"/>
        </w:rPr>
      </w:pPr>
      <w:r>
        <w:rPr>
          <w:rFonts w:hint="eastAsia" w:hAnsi="仿宋_GB2312" w:cs="仿宋_GB2312"/>
          <w:szCs w:val="24"/>
          <w:highlight w:val="none"/>
          <w:lang w:bidi="ar"/>
        </w:rPr>
        <w:t>坚持“预防为主、防抗结合、以人为本、科学应对”的气象灾害防治原则。江西沟镇镇政府牵头，建立健全气象灾害防治小组，与共和县气象部门构建专项预防体系，构建乡镇暴雨、暴雪、冰雹及雷暴等极端天气预警体系，完善对极端天气的应急能力；建筑设计应确保建筑结构荷载能够抵御暴雨、冰雹等恶劣天气；通信、电力等设施，应安装避雷、防雷设施。</w:t>
      </w:r>
    </w:p>
    <w:p w14:paraId="023F46D5">
      <w:pPr>
        <w:pStyle w:val="60"/>
        <w:ind w:left="0" w:firstLine="640" w:firstLineChars="200"/>
        <w:rPr>
          <w:rFonts w:hint="eastAsia" w:hAnsi="Times New Roman" w:cs="Times New Roman"/>
          <w:highlight w:val="none"/>
        </w:rPr>
      </w:pPr>
      <w:bookmarkStart w:id="423" w:name="_Toc31445"/>
      <w:bookmarkStart w:id="424" w:name="_Toc198237462"/>
      <w:r>
        <w:rPr>
          <w:rFonts w:hint="eastAsia" w:hAnsi="Times New Roman" w:cs="Times New Roman"/>
          <w:highlight w:val="none"/>
        </w:rPr>
        <w:t>应急救援体系</w:t>
      </w:r>
      <w:bookmarkEnd w:id="423"/>
      <w:bookmarkEnd w:id="424"/>
    </w:p>
    <w:p w14:paraId="508CFA1F">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建立防灾减灾指挥机构。</w:t>
      </w:r>
      <w:r>
        <w:rPr>
          <w:rFonts w:hint="eastAsia" w:hAnsi="仿宋_GB2312" w:cs="仿宋_GB2312"/>
          <w:szCs w:val="24"/>
          <w:highlight w:val="none"/>
          <w:lang w:bidi="ar"/>
        </w:rPr>
        <w:t>充分发挥政府防灾指挥职能，以镇政府作为应急指挥中心。建立涵盖全镇的灾害应急指挥系统和防灾减灾救灾工作站，构建多元立体的信息报送体系。</w:t>
      </w:r>
    </w:p>
    <w:p w14:paraId="4B645F90">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健全应急救援力量体系。</w:t>
      </w:r>
      <w:r>
        <w:rPr>
          <w:rFonts w:hint="eastAsia" w:hAnsi="仿宋_GB2312" w:cs="仿宋_GB2312"/>
          <w:szCs w:val="24"/>
          <w:highlight w:val="none"/>
          <w:lang w:bidi="ar"/>
        </w:rPr>
        <w:t>构建以专业应急救援力量为主、以社会应急力量为辅助，基层救援力量有效覆盖的应急救援力量体系。专业应急救援队伍依托海南州消防救援支队，强化地震、地质灾害专业救援队伍和森林（草原）火灾专业扑救队伍建设，鼓励社会应急力量参与应急救援行动，结合县消防大队、乡镇专职消防队组建基层应急救援队。</w:t>
      </w:r>
    </w:p>
    <w:p w14:paraId="64B30229">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完善应急避难疏散救援系统。</w:t>
      </w:r>
      <w:r>
        <w:rPr>
          <w:rFonts w:hint="eastAsia" w:hAnsi="仿宋_GB2312" w:cs="仿宋_GB2312"/>
          <w:szCs w:val="24"/>
          <w:highlight w:val="none"/>
          <w:lang w:bidi="ar"/>
        </w:rPr>
        <w:t>以公园、广场、学校操场等开敞空间作为紧急避难场所，以高速公路为对外救援疏散通道，负责大范围的人员、物资调度和转移；以一级公路等干线公路为抗灾救灾干道，与对外救援疏散通道共同形成高效应急疏散网络体系；以省道、县道等公路及其他与对外救援疏散通道连接的主要道路为避难疏散主、次干道。在镇区建设救灾物资储备点，提高应急保障物资储备能力。</w:t>
      </w:r>
    </w:p>
    <w:p w14:paraId="4266B97C">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建设“平急两用”公共基础设施</w:t>
      </w:r>
      <w:r>
        <w:rPr>
          <w:rFonts w:hint="eastAsia" w:hAnsi="仿宋_GB2312" w:cs="仿宋_GB2312"/>
          <w:szCs w:val="24"/>
          <w:highlight w:val="none"/>
          <w:lang w:bidi="ar"/>
        </w:rPr>
        <w:t>。</w:t>
      </w:r>
      <w:r>
        <w:rPr>
          <w:rFonts w:hAnsi="仿宋_GB2312" w:cs="仿宋_GB2312"/>
          <w:szCs w:val="24"/>
          <w:highlight w:val="none"/>
          <w:lang w:bidi="ar"/>
        </w:rPr>
        <w:t>建设完善城镇空间布局合理、资源统筹共享、功能设施完备、平急（疫/战）综合利用的防灾设施体系。推进城镇公共设施及空间资源的功能复合利用，将防灾防疫防空与公共文化、教育、体育、旅游和城乡基础设施等融合共建共用。完善集隔离、应急医疗和物资保障为一体的“平急两用”重要应急保障设施，做好应急避难、疫情防控等功能转换，改善交通、市政等生命线工程接入条件，提高城镇公共空间韧性，预留应急避难、医疗空间。</w:t>
      </w:r>
    </w:p>
    <w:p w14:paraId="79E694AC">
      <w:pPr>
        <w:pStyle w:val="3"/>
        <w:numPr>
          <w:ilvl w:val="1"/>
          <w:numId w:val="16"/>
        </w:numPr>
        <w:tabs>
          <w:tab w:val="left" w:pos="353"/>
        </w:tabs>
        <w:spacing w:before="260" w:after="260" w:line="416" w:lineRule="auto"/>
        <w:rPr>
          <w:highlight w:val="none"/>
          <w:lang w:val="zh-CN"/>
        </w:rPr>
      </w:pPr>
      <w:bookmarkStart w:id="425" w:name="_Toc198237463"/>
      <w:bookmarkStart w:id="426" w:name="_Toc6511"/>
      <w:bookmarkStart w:id="427" w:name="_Toc7080"/>
      <w:bookmarkStart w:id="428" w:name="_Toc198237546"/>
      <w:bookmarkStart w:id="429" w:name="_Toc17434"/>
      <w:bookmarkStart w:id="430" w:name="_Toc15800"/>
      <w:r>
        <w:rPr>
          <w:rFonts w:hint="eastAsia"/>
          <w:highlight w:val="none"/>
          <w:lang w:val="zh-CN"/>
        </w:rPr>
        <w:t>保障基础设施用地</w:t>
      </w:r>
      <w:bookmarkEnd w:id="425"/>
      <w:bookmarkEnd w:id="426"/>
      <w:bookmarkEnd w:id="427"/>
      <w:bookmarkEnd w:id="428"/>
      <w:bookmarkEnd w:id="429"/>
      <w:bookmarkEnd w:id="430"/>
    </w:p>
    <w:p w14:paraId="1DE28764">
      <w:pPr>
        <w:pStyle w:val="60"/>
        <w:ind w:left="0" w:firstLine="640" w:firstLineChars="200"/>
        <w:rPr>
          <w:rFonts w:hint="eastAsia" w:hAnsi="Times New Roman" w:cs="Times New Roman"/>
          <w:highlight w:val="none"/>
        </w:rPr>
      </w:pPr>
      <w:bookmarkStart w:id="431" w:name="_Toc198237464"/>
      <w:bookmarkStart w:id="432" w:name="_Toc29385"/>
      <w:r>
        <w:rPr>
          <w:rFonts w:hint="eastAsia" w:hAnsi="Times New Roman" w:cs="Times New Roman"/>
          <w:highlight w:val="none"/>
        </w:rPr>
        <w:t>统筹协调与落实基础设施布局</w:t>
      </w:r>
      <w:bookmarkEnd w:id="431"/>
      <w:bookmarkEnd w:id="432"/>
    </w:p>
    <w:p w14:paraId="1670D961">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统筹协调与落实各类基础设施布局。</w:t>
      </w:r>
      <w:r>
        <w:rPr>
          <w:rFonts w:hint="eastAsia" w:hAnsi="仿宋_GB2312" w:cs="仿宋_GB2312"/>
          <w:szCs w:val="24"/>
          <w:highlight w:val="none"/>
          <w:lang w:bidi="ar"/>
        </w:rPr>
        <w:t>加强县级国土空间规划、相关专项规划与乡镇国土空间规划的衔接，严格按照“三区三线”等国土空间规划管控要求，在国土空间规划“一张图”上统筹落实各类设施项目的空间需求，协调项目选址、布局和空间规模，确保各类项目的空间布局不冲突。线性基础设施在满足安全要求的基础上尽量共用廊道，提高复合利用水平，减少对国土空间的分割和过度占用。</w:t>
      </w:r>
    </w:p>
    <w:p w14:paraId="02500DBF">
      <w:pPr>
        <w:pStyle w:val="60"/>
        <w:ind w:left="0" w:firstLine="640" w:firstLineChars="200"/>
        <w:rPr>
          <w:rFonts w:hint="eastAsia" w:hAnsi="Times New Roman" w:cs="Times New Roman"/>
          <w:highlight w:val="none"/>
        </w:rPr>
      </w:pPr>
      <w:bookmarkStart w:id="433" w:name="_Toc14838"/>
      <w:bookmarkStart w:id="434" w:name="_Toc198237465"/>
      <w:r>
        <w:rPr>
          <w:rFonts w:hint="eastAsia" w:hAnsi="Times New Roman" w:cs="Times New Roman"/>
          <w:highlight w:val="none"/>
        </w:rPr>
        <w:t>基础设施用地集约化利用</w:t>
      </w:r>
      <w:bookmarkEnd w:id="433"/>
      <w:bookmarkEnd w:id="434"/>
    </w:p>
    <w:p w14:paraId="542C1201">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引导各类基础设施集约用地。</w:t>
      </w:r>
      <w:r>
        <w:rPr>
          <w:rFonts w:hint="eastAsia" w:hAnsi="仿宋_GB2312" w:cs="仿宋_GB2312"/>
          <w:szCs w:val="24"/>
          <w:highlight w:val="none"/>
          <w:lang w:bidi="ar"/>
        </w:rPr>
        <w:t>加强各类基础设施用地规模控制，严格执行各类项目建设用地标准，严格节约集约用地评价，积极推广节地技术。协调好清洁能源基地、基础设施建设与耕地保护、生态保护的关系。各类基础设施用地要合理避让耕地和永久基本农田、生态保护红线、自然灾害高风险区等区域，减少对生态敏感区的侵占和扰动，保障生态系统的连通性和完整性，降低对自然生态空间的分割和环境影响。确实无法避让的，应采取严格的环境保护措施，避免对相关区域生态系统造成重大不利影响。</w:t>
      </w:r>
    </w:p>
    <w:p w14:paraId="39BBA45B">
      <w:pPr>
        <w:pStyle w:val="60"/>
        <w:ind w:left="0" w:firstLine="640" w:firstLineChars="200"/>
        <w:rPr>
          <w:rFonts w:hint="eastAsia" w:hAnsi="Times New Roman" w:cs="Times New Roman"/>
          <w:highlight w:val="none"/>
        </w:rPr>
      </w:pPr>
      <w:bookmarkStart w:id="435" w:name="_Toc21171"/>
      <w:bookmarkStart w:id="436" w:name="_Toc198237466"/>
      <w:r>
        <w:rPr>
          <w:rFonts w:hint="eastAsia" w:hAnsi="Times New Roman" w:cs="Times New Roman"/>
          <w:highlight w:val="none"/>
        </w:rPr>
        <w:t>保障基础设施用地</w:t>
      </w:r>
      <w:bookmarkEnd w:id="435"/>
      <w:bookmarkEnd w:id="436"/>
    </w:p>
    <w:p w14:paraId="6E9D086E">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加大重大基础设施建设用地保障力度</w:t>
      </w:r>
      <w:r>
        <w:rPr>
          <w:rFonts w:hint="eastAsia" w:ascii="楷体_GB2312" w:hAnsi="仿宋_GB2312" w:eastAsia="楷体_GB2312" w:cs="仿宋_GB2312"/>
          <w:szCs w:val="24"/>
          <w:highlight w:val="none"/>
          <w:lang w:eastAsia="zh-CN" w:bidi="ar"/>
        </w:rPr>
        <w:t>。</w:t>
      </w:r>
      <w:r>
        <w:rPr>
          <w:rFonts w:hint="eastAsia" w:hAnsi="仿宋_GB2312" w:cs="仿宋_GB2312"/>
          <w:szCs w:val="24"/>
          <w:highlight w:val="none"/>
          <w:lang w:bidi="ar"/>
        </w:rPr>
        <w:t>强化用地要素保障，保障交通、能源、水利等重大基础设施项目建设用地需求，合理保障其他基础设施用地，引导基础设施科学合理选址选线，落实最严格的耕地保护制度、节约集约制度和生态环境保护制度，各类建设项目不得突破建设用地标准。通过梳理重大基础设施项目清单、合理安排基础设施建设用地指标、加强基础设施建设用地审批管理等措施，多举措保障基础设施用地。</w:t>
      </w:r>
    </w:p>
    <w:p w14:paraId="195947D8">
      <w:pPr>
        <w:pStyle w:val="15"/>
        <w:ind w:firstLine="640"/>
        <w:rPr>
          <w:rFonts w:hAnsi="仿宋_GB2312" w:cs="仿宋_GB2312"/>
          <w:szCs w:val="24"/>
          <w:highlight w:val="none"/>
          <w:lang w:bidi="ar"/>
        </w:rPr>
      </w:pPr>
      <w:r>
        <w:rPr>
          <w:rFonts w:hint="eastAsia" w:ascii="楷体_GB2312" w:hAnsi="仿宋_GB2312" w:eastAsia="楷体_GB2312" w:cs="仿宋_GB2312"/>
          <w:szCs w:val="24"/>
          <w:highlight w:val="none"/>
          <w:lang w:bidi="ar"/>
        </w:rPr>
        <w:t>保障重大交通设施用地。</w:t>
      </w:r>
      <w:r>
        <w:rPr>
          <w:rFonts w:hint="eastAsia" w:hAnsi="仿宋_GB2312" w:cs="仿宋_GB2312"/>
          <w:szCs w:val="24"/>
          <w:highlight w:val="none"/>
          <w:lang w:bidi="ar"/>
        </w:rPr>
        <w:t>加快城际铁路和铁路综合枢纽建设，保障“西宁-共和-青海湖-茶卡”城际铁路重点建设项目用地，发挥铁路在区域客、货运交通中的骨干作用，提高区域交通运输能力和服务水平。完善国家高速公路及国省干线公路网络，保障青海湖旅游专用公路、S307等重点公路建设项目用地，落实农村公路提档升级改造项目建设用地，带动城镇建设，形成新的经济增长板块和产业带。保障各燃气输配设施用地。保障农村公交客运站场建设用地，完善区域公交运输体系。保障物流中心建设用地，提高区域货运配送及保障能力。</w:t>
      </w:r>
    </w:p>
    <w:p w14:paraId="1125E1E5">
      <w:pPr>
        <w:pStyle w:val="15"/>
        <w:ind w:firstLine="640"/>
        <w:rPr>
          <w:highlight w:val="none"/>
        </w:rPr>
      </w:pPr>
      <w:r>
        <w:rPr>
          <w:rFonts w:hint="eastAsia" w:ascii="楷体_GB2312" w:hAnsi="仿宋_GB2312" w:eastAsia="楷体_GB2312" w:cs="仿宋_GB2312"/>
          <w:szCs w:val="24"/>
          <w:highlight w:val="none"/>
          <w:lang w:bidi="ar"/>
        </w:rPr>
        <w:t>水利设施建设用地。</w:t>
      </w:r>
      <w:r>
        <w:rPr>
          <w:rFonts w:hint="eastAsia" w:hAnsi="仿宋_GB2312" w:cs="仿宋_GB2312"/>
          <w:szCs w:val="24"/>
          <w:highlight w:val="none"/>
          <w:lang w:bidi="ar"/>
        </w:rPr>
        <w:t>支撑农村供水保障工程建设；保障重要河流防洪治理工程建设用地，提高城乡防灾减灾能力，推进江西沟镇等重点河段防洪达标治理工程;实施中小河流及农村河道治理工程；保障小流域生态治理综合工程项目建设用地。</w:t>
      </w:r>
    </w:p>
    <w:p w14:paraId="1A49B325">
      <w:pPr>
        <w:widowControl/>
        <w:jc w:val="left"/>
        <w:rPr>
          <w:highlight w:val="none"/>
        </w:rPr>
      </w:pPr>
    </w:p>
    <w:p w14:paraId="04FE1EC3">
      <w:pPr>
        <w:widowControl/>
        <w:jc w:val="left"/>
        <w:rPr>
          <w:highlight w:val="none"/>
        </w:rPr>
      </w:pPr>
    </w:p>
    <w:p w14:paraId="3C73E2FA">
      <w:pPr>
        <w:pStyle w:val="2"/>
        <w:pageBreakBefore/>
        <w:ind w:left="0" w:firstLine="0"/>
        <w:rPr>
          <w:highlight w:val="none"/>
        </w:rPr>
      </w:pPr>
      <w:bookmarkStart w:id="437" w:name="_Toc198237467"/>
      <w:bookmarkStart w:id="438" w:name="_Toc198237547"/>
      <w:bookmarkStart w:id="439" w:name="_Toc29060"/>
      <w:r>
        <w:rPr>
          <w:rFonts w:hint="eastAsia"/>
          <w:highlight w:val="none"/>
        </w:rPr>
        <w:t>完善体制机制，高质量做好规划实施保障</w:t>
      </w:r>
      <w:bookmarkEnd w:id="437"/>
      <w:bookmarkEnd w:id="438"/>
      <w:bookmarkEnd w:id="439"/>
    </w:p>
    <w:p w14:paraId="44D763FE">
      <w:pPr>
        <w:pStyle w:val="3"/>
        <w:numPr>
          <w:ilvl w:val="0"/>
          <w:numId w:val="17"/>
        </w:numPr>
        <w:rPr>
          <w:highlight w:val="none"/>
          <w:lang w:val="zh-CN"/>
        </w:rPr>
      </w:pPr>
      <w:bookmarkStart w:id="440" w:name="_Toc24484"/>
      <w:bookmarkStart w:id="441" w:name="_Toc198237468"/>
      <w:bookmarkStart w:id="442" w:name="_Toc198237548"/>
      <w:r>
        <w:rPr>
          <w:rFonts w:hint="eastAsia"/>
          <w:highlight w:val="none"/>
          <w:lang w:val="zh-CN"/>
        </w:rPr>
        <w:t>加强党的领导</w:t>
      </w:r>
      <w:bookmarkEnd w:id="440"/>
      <w:bookmarkEnd w:id="441"/>
      <w:bookmarkEnd w:id="442"/>
    </w:p>
    <w:p w14:paraId="1623D294">
      <w:pPr>
        <w:pStyle w:val="60"/>
        <w:ind w:left="0" w:firstLine="640" w:firstLineChars="200"/>
        <w:rPr>
          <w:rFonts w:hint="eastAsia" w:hAnsi="Times New Roman" w:cs="Times New Roman"/>
          <w:highlight w:val="none"/>
        </w:rPr>
      </w:pPr>
      <w:bookmarkStart w:id="443" w:name="_Toc198237469"/>
      <w:r>
        <w:rPr>
          <w:rFonts w:hint="eastAsia" w:hAnsi="Times New Roman" w:cs="Times New Roman"/>
          <w:highlight w:val="none"/>
        </w:rPr>
        <w:t>加强党的领导</w:t>
      </w:r>
      <w:bookmarkEnd w:id="443"/>
    </w:p>
    <w:p w14:paraId="7752404B">
      <w:pPr>
        <w:pStyle w:val="15"/>
        <w:ind w:firstLine="640"/>
        <w:rPr>
          <w:highlight w:val="none"/>
        </w:rPr>
      </w:pPr>
      <w:r>
        <w:rPr>
          <w:rFonts w:hint="eastAsia"/>
          <w:highlight w:val="none"/>
        </w:rPr>
        <w:t>坚持以习近平新时代中国特色社会主义思想为指导，全面贯彻落实党的二十大精神，深入领会“两个确立”的决定性意义，</w:t>
      </w:r>
      <w:r>
        <w:rPr>
          <w:rFonts w:hint="eastAsia"/>
          <w:highlight w:val="none"/>
          <w:lang w:eastAsia="zh-CN"/>
        </w:rPr>
        <w:t>增强“四个意识”、坚定“四个自信”、做到“两个维护”</w:t>
      </w:r>
      <w:r>
        <w:rPr>
          <w:rFonts w:hint="eastAsia"/>
          <w:highlight w:val="none"/>
        </w:rPr>
        <w:t>，充分发挥党总揽全局、协调各方的领导核心作用，把党的领导贯彻落实到国土空间规划实施与管理的各领域各环节。</w:t>
      </w:r>
    </w:p>
    <w:p w14:paraId="297976DB">
      <w:pPr>
        <w:pStyle w:val="60"/>
        <w:ind w:left="0" w:firstLine="640" w:firstLineChars="200"/>
        <w:rPr>
          <w:highlight w:val="none"/>
        </w:rPr>
      </w:pPr>
      <w:bookmarkStart w:id="444" w:name="_Toc198237470"/>
      <w:r>
        <w:rPr>
          <w:rFonts w:hint="eastAsia"/>
          <w:highlight w:val="none"/>
        </w:rPr>
        <w:t>落实各级党委和国土空间规划管理主体责任</w:t>
      </w:r>
      <w:bookmarkEnd w:id="444"/>
    </w:p>
    <w:p w14:paraId="33D181E8">
      <w:pPr>
        <w:pStyle w:val="15"/>
        <w:ind w:firstLine="640"/>
        <w:rPr>
          <w:highlight w:val="none"/>
        </w:rPr>
      </w:pPr>
      <w:r>
        <w:rPr>
          <w:rFonts w:hint="eastAsia"/>
          <w:highlight w:val="none"/>
        </w:rPr>
        <w:t>坚持“多规合一”，不在国土空间规划体系之外另设其他空间规划。强化规划严肃性，规划一经批准，任何部门和个人不得随意修改、违规变更。</w:t>
      </w:r>
    </w:p>
    <w:p w14:paraId="07716CAA">
      <w:pPr>
        <w:pStyle w:val="60"/>
        <w:ind w:left="0" w:firstLine="640" w:firstLineChars="200"/>
        <w:rPr>
          <w:highlight w:val="none"/>
        </w:rPr>
      </w:pPr>
      <w:bookmarkStart w:id="445" w:name="_Toc198237471"/>
      <w:r>
        <w:rPr>
          <w:rFonts w:hint="eastAsia"/>
          <w:highlight w:val="none"/>
        </w:rPr>
        <w:t>健全国土空间规划委员会制度</w:t>
      </w:r>
      <w:bookmarkEnd w:id="445"/>
    </w:p>
    <w:p w14:paraId="25625EE5">
      <w:pPr>
        <w:pStyle w:val="15"/>
        <w:ind w:firstLine="640"/>
        <w:rPr>
          <w:highlight w:val="none"/>
        </w:rPr>
      </w:pPr>
      <w:r>
        <w:rPr>
          <w:highlight w:val="none"/>
        </w:rPr>
        <w:t>建立</w:t>
      </w:r>
      <w:r>
        <w:rPr>
          <w:rFonts w:hint="eastAsia"/>
          <w:highlight w:val="none"/>
        </w:rPr>
        <w:t>乡镇</w:t>
      </w:r>
      <w:r>
        <w:rPr>
          <w:highlight w:val="none"/>
        </w:rPr>
        <w:t>级国土空间规划委员会，加强部门和</w:t>
      </w:r>
      <w:r>
        <w:rPr>
          <w:rFonts w:hint="eastAsia"/>
          <w:highlight w:val="none"/>
        </w:rPr>
        <w:t>乡镇</w:t>
      </w:r>
      <w:r>
        <w:rPr>
          <w:highlight w:val="none"/>
        </w:rPr>
        <w:t>间协同，进一步完善国土空间规划编制实施管理的配套政策，确保规划各项目标任务落地实施。建立规划实施的部门沟通协商机制，协调解决国土空间保护、开发、利用和修复中的相关问题，确保国家、省级、州级</w:t>
      </w:r>
      <w:r>
        <w:rPr>
          <w:rFonts w:hint="eastAsia"/>
          <w:highlight w:val="none"/>
        </w:rPr>
        <w:t>、县级</w:t>
      </w:r>
      <w:r>
        <w:rPr>
          <w:highlight w:val="none"/>
        </w:rPr>
        <w:t>重大决策部署落实到位。</w:t>
      </w:r>
    </w:p>
    <w:p w14:paraId="49DF4651">
      <w:pPr>
        <w:pStyle w:val="3"/>
        <w:numPr>
          <w:ilvl w:val="0"/>
          <w:numId w:val="17"/>
        </w:numPr>
        <w:rPr>
          <w:highlight w:val="none"/>
          <w:lang w:val="zh-CN"/>
        </w:rPr>
      </w:pPr>
      <w:bookmarkStart w:id="446" w:name="_Toc198237472"/>
      <w:bookmarkStart w:id="447" w:name="_Toc9688"/>
      <w:bookmarkStart w:id="448" w:name="_Toc198237549"/>
      <w:r>
        <w:rPr>
          <w:rFonts w:hint="eastAsia"/>
          <w:highlight w:val="none"/>
          <w:lang w:val="zh-CN"/>
        </w:rPr>
        <w:t>健全配套政策</w:t>
      </w:r>
      <w:bookmarkEnd w:id="446"/>
      <w:bookmarkEnd w:id="447"/>
      <w:bookmarkEnd w:id="448"/>
    </w:p>
    <w:p w14:paraId="15996413">
      <w:pPr>
        <w:pStyle w:val="60"/>
        <w:ind w:left="0" w:firstLine="640" w:firstLineChars="200"/>
        <w:rPr>
          <w:rFonts w:hint="eastAsia" w:hAnsi="Times New Roman" w:cs="Times New Roman"/>
          <w:highlight w:val="none"/>
        </w:rPr>
      </w:pPr>
      <w:bookmarkStart w:id="449" w:name="_Toc198237473"/>
      <w:r>
        <w:rPr>
          <w:rFonts w:hint="eastAsia" w:hAnsi="Times New Roman" w:cs="Times New Roman"/>
          <w:highlight w:val="none"/>
        </w:rPr>
        <w:t>健全国土空间规划法规政策和标准体系</w:t>
      </w:r>
      <w:bookmarkEnd w:id="449"/>
    </w:p>
    <w:p w14:paraId="38A0EDCB">
      <w:pPr>
        <w:pStyle w:val="15"/>
        <w:ind w:firstLine="640"/>
        <w:rPr>
          <w:highlight w:val="none"/>
        </w:rPr>
      </w:pPr>
      <w:r>
        <w:rPr>
          <w:rFonts w:hint="eastAsia"/>
          <w:highlight w:val="none"/>
        </w:rPr>
        <w:t>严格落实</w:t>
      </w:r>
      <w:r>
        <w:rPr>
          <w:highlight w:val="none"/>
        </w:rPr>
        <w:t>国土空间规划编制、审批与实施管理的相关法规政策，落实国家统一的技术标准，落实青海省或海南州地方规划标准和技术管理规定，支撑规划实施。</w:t>
      </w:r>
    </w:p>
    <w:p w14:paraId="10CF43C4">
      <w:pPr>
        <w:pStyle w:val="60"/>
        <w:ind w:left="0" w:firstLine="640" w:firstLineChars="200"/>
        <w:rPr>
          <w:highlight w:val="none"/>
        </w:rPr>
      </w:pPr>
      <w:bookmarkStart w:id="450" w:name="_Toc198237474"/>
      <w:r>
        <w:rPr>
          <w:rFonts w:hint="eastAsia"/>
          <w:highlight w:val="none"/>
        </w:rPr>
        <w:t>完善规划实施的配套制度</w:t>
      </w:r>
      <w:bookmarkEnd w:id="450"/>
    </w:p>
    <w:p w14:paraId="7A676076">
      <w:pPr>
        <w:pStyle w:val="15"/>
        <w:ind w:firstLine="640"/>
        <w:rPr>
          <w:highlight w:val="none"/>
        </w:rPr>
      </w:pPr>
      <w:r>
        <w:rPr>
          <w:rFonts w:hint="eastAsia"/>
          <w:highlight w:val="none"/>
        </w:rPr>
        <w:t>在充分发挥现有政策综合效能的基础上，合力构建财政、投资、产业、人口、自然资源、生态环境、农业农村发展等配套制度，推进生态产品价值实现机制探索和生态综合补偿试点工作，保障规划实施。各级政府和相关部门要细化分工安排，完善配套政策，促进国土空间规划各项任务落地实施。</w:t>
      </w:r>
    </w:p>
    <w:p w14:paraId="6AEC79CA">
      <w:pPr>
        <w:pStyle w:val="3"/>
        <w:numPr>
          <w:ilvl w:val="0"/>
          <w:numId w:val="17"/>
        </w:numPr>
        <w:rPr>
          <w:highlight w:val="none"/>
          <w:lang w:val="zh-CN"/>
        </w:rPr>
      </w:pPr>
      <w:bookmarkStart w:id="451" w:name="_Toc198237550"/>
      <w:bookmarkStart w:id="452" w:name="_Toc198237475"/>
      <w:bookmarkStart w:id="453" w:name="_Toc17009"/>
      <w:r>
        <w:rPr>
          <w:rFonts w:hint="eastAsia"/>
          <w:highlight w:val="none"/>
          <w:lang w:val="zh-CN"/>
        </w:rPr>
        <w:t>强化规划传导与用途管制</w:t>
      </w:r>
      <w:bookmarkEnd w:id="451"/>
      <w:bookmarkEnd w:id="452"/>
      <w:bookmarkEnd w:id="453"/>
    </w:p>
    <w:p w14:paraId="0D091C05">
      <w:pPr>
        <w:pStyle w:val="60"/>
        <w:ind w:left="0" w:firstLine="640" w:firstLineChars="200"/>
        <w:rPr>
          <w:highlight w:val="none"/>
        </w:rPr>
      </w:pPr>
      <w:bookmarkStart w:id="454" w:name="_Toc198237476"/>
      <w:r>
        <w:rPr>
          <w:rFonts w:hint="eastAsia"/>
          <w:highlight w:val="none"/>
        </w:rPr>
        <w:t>严格落实县级国土空间总体规划</w:t>
      </w:r>
      <w:bookmarkEnd w:id="454"/>
    </w:p>
    <w:p w14:paraId="31849301">
      <w:pPr>
        <w:pStyle w:val="15"/>
        <w:ind w:firstLine="640"/>
        <w:rPr>
          <w:highlight w:val="none"/>
        </w:rPr>
      </w:pPr>
      <w:r>
        <w:rPr>
          <w:rFonts w:hint="eastAsia"/>
          <w:highlight w:val="none"/>
        </w:rPr>
        <w:t>规划落实县级总规确定的开发保护目标定位、城镇体系、空间策略、特色指引等宏观定性内容。严格落实耕地和永久基本农田保护线、清洁能源用地引导线、重要历史文化保护线等空间管控线，落实相应管控措施。各类城乡建设行为及项目审批都应落实相应管控要求。严格落实县级国土空间总体规划提出的规划指标，依据核心指标制定评估考核机制，强化对资源总量和利用效率、空间管控底线的管控。落实县级规划划定的功能分区和管控要求。</w:t>
      </w:r>
      <w:r>
        <w:rPr>
          <w:rFonts w:hint="eastAsia" w:hAnsi="仿宋_GB2312"/>
          <w:szCs w:val="32"/>
          <w:highlight w:val="none"/>
        </w:rPr>
        <w:t>严格落实县级国土空间总体规划提出的战略性矿产保障区名录、自然保护地名录、历史文化资源保护名录、重点建设项目名录、生态修复项目名录、过渡区承诺纳入项目名录、村庄分类引导名录等要求。</w:t>
      </w:r>
    </w:p>
    <w:p w14:paraId="46086721">
      <w:pPr>
        <w:pStyle w:val="60"/>
        <w:ind w:left="0" w:firstLine="640" w:firstLineChars="200"/>
        <w:rPr>
          <w:highlight w:val="none"/>
        </w:rPr>
      </w:pPr>
      <w:bookmarkStart w:id="455" w:name="_Toc198237477"/>
      <w:r>
        <w:rPr>
          <w:rFonts w:hint="eastAsia"/>
          <w:highlight w:val="none"/>
        </w:rPr>
        <w:t>详细规划传导</w:t>
      </w:r>
      <w:bookmarkEnd w:id="455"/>
    </w:p>
    <w:p w14:paraId="4B6927B1">
      <w:pPr>
        <w:pStyle w:val="15"/>
        <w:ind w:firstLine="640"/>
        <w:rPr>
          <w:highlight w:val="none"/>
        </w:rPr>
      </w:pPr>
      <w:r>
        <w:rPr>
          <w:rFonts w:hint="eastAsia" w:ascii="楷体_GB2312" w:hAnsi="楷体_GB2312" w:eastAsia="楷体_GB2312" w:cs="楷体_GB2312"/>
          <w:szCs w:val="32"/>
          <w:highlight w:val="none"/>
        </w:rPr>
        <w:t>健全国土空间规划体系，加强详细规划传导</w:t>
      </w:r>
      <w:r>
        <w:rPr>
          <w:rFonts w:hint="eastAsia" w:ascii="楷体_GB2312" w:hAnsi="楷体_GB2312" w:eastAsia="楷体_GB2312" w:cs="楷体_GB2312"/>
          <w:highlight w:val="none"/>
        </w:rPr>
        <w:t>。</w:t>
      </w:r>
      <w:r>
        <w:rPr>
          <w:rFonts w:hint="eastAsia"/>
          <w:highlight w:val="none"/>
        </w:rPr>
        <w:t>明确江西沟镇村庄规划编制单元和村庄规划编制数量。对各村庄的等级类型、发展方向等提出规划引导，划定村庄建设用地边界。</w:t>
      </w:r>
    </w:p>
    <w:p w14:paraId="1C248ED0">
      <w:pPr>
        <w:pStyle w:val="15"/>
        <w:ind w:firstLine="640"/>
        <w:rPr>
          <w:highlight w:val="none"/>
        </w:rPr>
      </w:pPr>
      <w:r>
        <w:rPr>
          <w:rFonts w:hint="eastAsia"/>
          <w:highlight w:val="none"/>
        </w:rPr>
        <w:t>将生态保护红线、耕地和永久基本农田保护线、城镇开发边界、洪涝风险控制线、清洁能源用地引导线、重要历史文化保护线等空间管控线的指标规模和空间布局传导至各村庄。</w:t>
      </w:r>
    </w:p>
    <w:p w14:paraId="56ECB08B">
      <w:pPr>
        <w:pStyle w:val="3"/>
        <w:numPr>
          <w:ilvl w:val="0"/>
          <w:numId w:val="17"/>
        </w:numPr>
        <w:rPr>
          <w:highlight w:val="none"/>
          <w:lang w:val="zh-CN"/>
        </w:rPr>
      </w:pPr>
      <w:bookmarkStart w:id="456" w:name="_Toc31799"/>
      <w:bookmarkStart w:id="457" w:name="_Toc198237478"/>
      <w:bookmarkStart w:id="458" w:name="_Toc198237551"/>
      <w:r>
        <w:rPr>
          <w:rFonts w:hint="eastAsia"/>
          <w:highlight w:val="none"/>
          <w:lang w:val="zh-CN"/>
        </w:rPr>
        <w:t>近期安排</w:t>
      </w:r>
      <w:bookmarkEnd w:id="456"/>
      <w:bookmarkEnd w:id="457"/>
      <w:bookmarkEnd w:id="458"/>
    </w:p>
    <w:p w14:paraId="513DA6BA">
      <w:pPr>
        <w:keepNext/>
        <w:keepLines/>
        <w:numPr>
          <w:ilvl w:val="0"/>
          <w:numId w:val="5"/>
        </w:numPr>
        <w:tabs>
          <w:tab w:val="left" w:pos="851"/>
        </w:tabs>
        <w:spacing w:before="300" w:line="420" w:lineRule="exact"/>
        <w:ind w:left="0" w:firstLine="640" w:firstLineChars="200"/>
        <w:jc w:val="left"/>
        <w:outlineLvl w:val="2"/>
        <w:rPr>
          <w:rFonts w:ascii="楷体_GB2312" w:hAnsi="Times New Roman" w:eastAsia="楷体_GB2312" w:cs="Times New Roman"/>
          <w:bCs/>
          <w:sz w:val="32"/>
          <w:szCs w:val="32"/>
          <w:highlight w:val="none"/>
        </w:rPr>
      </w:pPr>
      <w:bookmarkStart w:id="459" w:name="_Toc198237479"/>
      <w:r>
        <w:rPr>
          <w:rFonts w:hint="eastAsia" w:ascii="楷体_GB2312" w:hAnsi="Times New Roman" w:eastAsia="楷体_GB2312" w:cs="Times New Roman"/>
          <w:bCs/>
          <w:sz w:val="32"/>
          <w:szCs w:val="32"/>
          <w:highlight w:val="none"/>
        </w:rPr>
        <w:t>近期规划目标</w:t>
      </w:r>
      <w:bookmarkEnd w:id="459"/>
    </w:p>
    <w:p w14:paraId="363DCBE6">
      <w:pPr>
        <w:pStyle w:val="15"/>
        <w:ind w:firstLine="640"/>
        <w:rPr>
          <w:highlight w:val="none"/>
        </w:rPr>
      </w:pPr>
      <w:r>
        <w:rPr>
          <w:rFonts w:hint="eastAsia"/>
          <w:highlight w:val="none"/>
        </w:rPr>
        <w:t>到2025年，乡村现代化取得重要进展；农牧区生产生活绿色转型，人居和生态环境明显改善，城乡基本公共服务均等化水平显著提升；城乡居民收入差距明显缩小；乡村产业体系健全完善，城乡融合和可持续发展能力显著增强；乡风文明明显提升，发展安全保障更加有力，农牧民获得感、幸福感、安全感全面提高。</w:t>
      </w:r>
    </w:p>
    <w:p w14:paraId="71C74022">
      <w:pPr>
        <w:pStyle w:val="15"/>
        <w:ind w:firstLine="640"/>
        <w:rPr>
          <w:rFonts w:cs="仿宋_GB2312"/>
          <w:highlight w:val="none"/>
        </w:rPr>
      </w:pPr>
      <w:r>
        <w:rPr>
          <w:rFonts w:hint="eastAsia" w:cs="仿宋_GB2312"/>
          <w:highlight w:val="none"/>
        </w:rPr>
        <w:t>到2025年，</w:t>
      </w:r>
      <w:r>
        <w:rPr>
          <w:rFonts w:hint="eastAsia"/>
          <w:highlight w:val="none"/>
        </w:rPr>
        <w:t>镇区服务功能进一步完善，功能服务多样化，生活质量提升，镇区有机更新稳步推进；道路系统和基础设施建设更加完善，镇区环境质量更加优化，人居环境更加美好。</w:t>
      </w:r>
    </w:p>
    <w:p w14:paraId="0A5999FE">
      <w:pPr>
        <w:keepNext/>
        <w:keepLines/>
        <w:numPr>
          <w:ilvl w:val="0"/>
          <w:numId w:val="5"/>
        </w:numPr>
        <w:tabs>
          <w:tab w:val="left" w:pos="851"/>
        </w:tabs>
        <w:spacing w:before="300" w:line="420" w:lineRule="exact"/>
        <w:ind w:left="0" w:firstLine="640" w:firstLineChars="200"/>
        <w:jc w:val="left"/>
        <w:outlineLvl w:val="2"/>
        <w:rPr>
          <w:rFonts w:ascii="楷体_GB2312" w:hAnsi="Times New Roman" w:eastAsia="楷体_GB2312" w:cs="Times New Roman"/>
          <w:bCs/>
          <w:sz w:val="32"/>
          <w:szCs w:val="32"/>
          <w:highlight w:val="none"/>
        </w:rPr>
      </w:pPr>
      <w:bookmarkStart w:id="460" w:name="_Toc198237480"/>
      <w:r>
        <w:rPr>
          <w:rFonts w:hint="eastAsia" w:ascii="楷体_GB2312" w:hAnsi="Times New Roman" w:eastAsia="楷体_GB2312" w:cs="Times New Roman"/>
          <w:bCs/>
          <w:sz w:val="32"/>
          <w:szCs w:val="32"/>
          <w:highlight w:val="none"/>
        </w:rPr>
        <w:t>保障近期重点项目空间</w:t>
      </w:r>
      <w:bookmarkEnd w:id="460"/>
    </w:p>
    <w:p w14:paraId="2A75663D">
      <w:pPr>
        <w:pStyle w:val="15"/>
        <w:ind w:firstLine="640"/>
        <w:rPr>
          <w:rFonts w:hAnsi="仿宋_GB2312" w:cs="仿宋_GB2312"/>
          <w:highlight w:val="none"/>
        </w:rPr>
      </w:pPr>
      <w:r>
        <w:rPr>
          <w:rFonts w:hint="eastAsia" w:hAnsi="仿宋_GB2312" w:cs="仿宋_GB2312"/>
          <w:highlight w:val="none"/>
        </w:rPr>
        <w:t>重点做好国家、省、州、县“十四五”交通、水利、能源等重大基础设施项目用地保障，落实省、州、县重大创新载体、重大产业项目、重大生态环保、重大民生工程和重大基础设施用地需求，持续优化国土空间格局和用地结构，提升生态屏障功能，促进生态保护和高质量发展协同并进。</w:t>
      </w:r>
    </w:p>
    <w:p w14:paraId="74DFF824">
      <w:pPr>
        <w:keepNext/>
        <w:keepLines/>
        <w:numPr>
          <w:ilvl w:val="0"/>
          <w:numId w:val="5"/>
        </w:numPr>
        <w:tabs>
          <w:tab w:val="left" w:pos="851"/>
        </w:tabs>
        <w:spacing w:before="300" w:line="420" w:lineRule="exact"/>
        <w:ind w:left="0" w:firstLine="640" w:firstLineChars="200"/>
        <w:jc w:val="left"/>
        <w:outlineLvl w:val="2"/>
        <w:rPr>
          <w:rFonts w:ascii="楷体_GB2312" w:hAnsi="Times New Roman" w:eastAsia="楷体_GB2312" w:cs="Times New Roman"/>
          <w:bCs/>
          <w:sz w:val="32"/>
          <w:szCs w:val="32"/>
          <w:highlight w:val="none"/>
        </w:rPr>
      </w:pPr>
      <w:bookmarkStart w:id="461" w:name="_Toc198237481"/>
      <w:r>
        <w:rPr>
          <w:rFonts w:hint="eastAsia" w:ascii="楷体_GB2312" w:hAnsi="Times New Roman" w:eastAsia="楷体_GB2312" w:cs="Times New Roman"/>
          <w:bCs/>
          <w:sz w:val="32"/>
          <w:szCs w:val="32"/>
          <w:highlight w:val="none"/>
        </w:rPr>
        <w:t>统筹推进生态修复重大工程</w:t>
      </w:r>
      <w:bookmarkEnd w:id="461"/>
    </w:p>
    <w:p w14:paraId="7B4DE3AD">
      <w:pPr>
        <w:pStyle w:val="15"/>
        <w:ind w:firstLine="640"/>
        <w:rPr>
          <w:rFonts w:hint="eastAsia" w:hAnsi="仿宋_GB2312" w:cs="仿宋_GB2312"/>
          <w:highlight w:val="none"/>
        </w:rPr>
      </w:pPr>
      <w:r>
        <w:rPr>
          <w:rFonts w:hint="eastAsia" w:hAnsi="仿宋_GB2312" w:cs="仿宋_GB2312"/>
          <w:highlight w:val="none"/>
        </w:rPr>
        <w:t>坚持自然恢复与工程措施相结合，深入贯彻“山水林田湖草沙是一个生命共同体”的理念，统筹山水林田湖草沙系统治理，以大项工程、专项工程全面提升全域生态功能。</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1D58E8-EAFA-4F77-A19B-9B3B99F019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F8FADE9-BB8F-446F-97D6-23803BFA8750}"/>
  </w:font>
  <w:font w:name="华康简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3" w:fontKey="{02F54250-F505-4570-93B8-D6525BD5802E}"/>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A00002BF" w:usb1="38CF7CFA" w:usb2="00082016" w:usb3="00000000" w:csb0="00040001" w:csb1="00000000"/>
    <w:embedRegular r:id="rId4" w:fontKey="{A6C7175B-A26F-444D-B56F-5A9AD4DC83B2}"/>
  </w:font>
  <w:font w:name="微软雅黑">
    <w:panose1 w:val="020B0503020204020204"/>
    <w:charset w:val="86"/>
    <w:family w:val="auto"/>
    <w:pitch w:val="default"/>
    <w:sig w:usb0="80000287" w:usb1="2ACF3C50" w:usb2="00000016" w:usb3="00000000" w:csb0="0004001F" w:csb1="00000000"/>
    <w:embedRegular r:id="rId5" w:fontKey="{88718954-C298-4CBA-938C-8FD581B5E2B8}"/>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A37D">
    <w:pPr>
      <w:pStyle w:val="2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516DF">
                          <w:pPr>
                            <w:pStyle w:val="23"/>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51516DF">
                    <w:pPr>
                      <w:pStyle w:val="23"/>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5E915">
    <w:pPr>
      <w:pStyle w:val="23"/>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263E9">
                          <w:pPr>
                            <w:pStyle w:val="23"/>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9263E9">
                    <w:pPr>
                      <w:pStyle w:val="23"/>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E6B10">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115</w:t>
    </w:r>
    <w:r>
      <w:rPr>
        <w:rFonts w:ascii="Times New Roman" w:hAnsi="Times New Roman" w:cs="Times New Roman"/>
      </w:rPr>
      <w:fldChar w:fldCharType="end"/>
    </w:r>
  </w:p>
  <w:p w14:paraId="157FC34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36577">
    <w:pPr>
      <w:pStyle w:val="2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36749"/>
    <w:multiLevelType w:val="multilevel"/>
    <w:tmpl w:val="DD136749"/>
    <w:lvl w:ilvl="0" w:tentative="0">
      <w:start w:val="1"/>
      <w:numFmt w:val="decimal"/>
      <w:pStyle w:val="120"/>
      <w:lvlText w:val="%1."/>
      <w:lvlJc w:val="left"/>
      <w:pPr>
        <w:ind w:left="1060" w:hanging="420"/>
      </w:pPr>
      <w:rPr>
        <w:b w:val="0"/>
        <w:i w:val="0"/>
        <w:sz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F3B9C8E3"/>
    <w:multiLevelType w:val="singleLevel"/>
    <w:tmpl w:val="F3B9C8E3"/>
    <w:lvl w:ilvl="0" w:tentative="0">
      <w:start w:val="1"/>
      <w:numFmt w:val="decimal"/>
      <w:pStyle w:val="27"/>
      <w:lvlText w:val="%1."/>
      <w:lvlJc w:val="left"/>
      <w:pPr>
        <w:tabs>
          <w:tab w:val="left" w:pos="2040"/>
        </w:tabs>
        <w:ind w:left="2040" w:hanging="360"/>
      </w:pPr>
    </w:lvl>
  </w:abstractNum>
  <w:abstractNum w:abstractNumId="2">
    <w:nsid w:val="063B3CDC"/>
    <w:multiLevelType w:val="multilevel"/>
    <w:tmpl w:val="063B3CDC"/>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ascii="黑体" w:hAnsi="黑体" w:eastAsia="黑体" w:cs="黑体"/>
        <w:sz w:val="32"/>
        <w:szCs w:val="32"/>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3">
    <w:nsid w:val="1DCA7DEC"/>
    <w:multiLevelType w:val="multilevel"/>
    <w:tmpl w:val="1DCA7DEC"/>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ascii="黑体" w:hAnsi="黑体" w:eastAsia="黑体" w:cs="黑体"/>
        <w:sz w:val="32"/>
        <w:szCs w:val="32"/>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4">
    <w:nsid w:val="21113C4B"/>
    <w:multiLevelType w:val="multilevel"/>
    <w:tmpl w:val="21113C4B"/>
    <w:lvl w:ilvl="0" w:tentative="0">
      <w:start w:val="1"/>
      <w:numFmt w:val="decimal"/>
      <w:pStyle w:val="106"/>
      <w:lvlText w:val="%1."/>
      <w:lvlJc w:val="left"/>
      <w:pPr>
        <w:ind w:left="920" w:hanging="36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5">
    <w:nsid w:val="21A7378D"/>
    <w:multiLevelType w:val="multilevel"/>
    <w:tmpl w:val="21A7378D"/>
    <w:lvl w:ilvl="0" w:tentative="0">
      <w:start w:val="1"/>
      <w:numFmt w:val="japaneseCounting"/>
      <w:pStyle w:val="49"/>
      <w:lvlText w:val="（%1）"/>
      <w:lvlJc w:val="left"/>
      <w:pPr>
        <w:ind w:left="6685" w:hanging="1080"/>
      </w:pPr>
      <w:rPr>
        <w:rFonts w:hint="default"/>
      </w:rPr>
    </w:lvl>
    <w:lvl w:ilvl="1" w:tentative="0">
      <w:start w:val="1"/>
      <w:numFmt w:val="lowerLetter"/>
      <w:lvlText w:val="%2)"/>
      <w:lvlJc w:val="left"/>
      <w:pPr>
        <w:ind w:left="6485" w:hanging="440"/>
      </w:pPr>
    </w:lvl>
    <w:lvl w:ilvl="2" w:tentative="0">
      <w:start w:val="1"/>
      <w:numFmt w:val="lowerRoman"/>
      <w:lvlText w:val="%3."/>
      <w:lvlJc w:val="right"/>
      <w:pPr>
        <w:ind w:left="6925" w:hanging="440"/>
      </w:pPr>
    </w:lvl>
    <w:lvl w:ilvl="3" w:tentative="0">
      <w:start w:val="1"/>
      <w:numFmt w:val="decimal"/>
      <w:lvlText w:val="%4."/>
      <w:lvlJc w:val="left"/>
      <w:pPr>
        <w:ind w:left="7365" w:hanging="440"/>
      </w:pPr>
    </w:lvl>
    <w:lvl w:ilvl="4" w:tentative="0">
      <w:start w:val="1"/>
      <w:numFmt w:val="lowerLetter"/>
      <w:lvlText w:val="%5)"/>
      <w:lvlJc w:val="left"/>
      <w:pPr>
        <w:ind w:left="7805" w:hanging="440"/>
      </w:pPr>
    </w:lvl>
    <w:lvl w:ilvl="5" w:tentative="0">
      <w:start w:val="1"/>
      <w:numFmt w:val="lowerRoman"/>
      <w:lvlText w:val="%6."/>
      <w:lvlJc w:val="right"/>
      <w:pPr>
        <w:ind w:left="8245" w:hanging="440"/>
      </w:pPr>
    </w:lvl>
    <w:lvl w:ilvl="6" w:tentative="0">
      <w:start w:val="1"/>
      <w:numFmt w:val="decimal"/>
      <w:lvlText w:val="%7."/>
      <w:lvlJc w:val="left"/>
      <w:pPr>
        <w:ind w:left="8685" w:hanging="440"/>
      </w:pPr>
    </w:lvl>
    <w:lvl w:ilvl="7" w:tentative="0">
      <w:start w:val="1"/>
      <w:numFmt w:val="lowerLetter"/>
      <w:lvlText w:val="%8)"/>
      <w:lvlJc w:val="left"/>
      <w:pPr>
        <w:ind w:left="9125" w:hanging="440"/>
      </w:pPr>
    </w:lvl>
    <w:lvl w:ilvl="8" w:tentative="0">
      <w:start w:val="1"/>
      <w:numFmt w:val="lowerRoman"/>
      <w:lvlText w:val="%9."/>
      <w:lvlJc w:val="right"/>
      <w:pPr>
        <w:ind w:left="9565" w:hanging="440"/>
      </w:pPr>
    </w:lvl>
  </w:abstractNum>
  <w:abstractNum w:abstractNumId="6">
    <w:nsid w:val="43BB312C"/>
    <w:multiLevelType w:val="multilevel"/>
    <w:tmpl w:val="43BB312C"/>
    <w:lvl w:ilvl="0" w:tentative="0">
      <w:start w:val="1"/>
      <w:numFmt w:val="chineseCountingThousand"/>
      <w:pStyle w:val="3"/>
      <w:lvlText w:val="第%1节 "/>
      <w:lvlJc w:val="left"/>
      <w:pPr>
        <w:ind w:left="640" w:hanging="440"/>
      </w:pPr>
      <w:rPr>
        <w:rFonts w:hint="eastAsia" w:ascii="黑体" w:hAnsi="黑体" w:eastAsia="黑体"/>
        <w:b w:val="0"/>
        <w:i w:val="0"/>
        <w:sz w:val="32"/>
      </w:rPr>
    </w:lvl>
    <w:lvl w:ilvl="1" w:tentative="0">
      <w:start w:val="1"/>
      <w:numFmt w:val="lowerLetter"/>
      <w:lvlText w:val="%2)"/>
      <w:lvlJc w:val="left"/>
      <w:pPr>
        <w:ind w:left="1080" w:hanging="440"/>
      </w:pPr>
    </w:lvl>
    <w:lvl w:ilvl="2" w:tentative="0">
      <w:start w:val="1"/>
      <w:numFmt w:val="lowerRoman"/>
      <w:lvlText w:val="%3."/>
      <w:lvlJc w:val="right"/>
      <w:pPr>
        <w:ind w:left="1520" w:hanging="440"/>
      </w:pPr>
    </w:lvl>
    <w:lvl w:ilvl="3" w:tentative="0">
      <w:start w:val="1"/>
      <w:numFmt w:val="decimal"/>
      <w:lvlText w:val="%4."/>
      <w:lvlJc w:val="left"/>
      <w:pPr>
        <w:ind w:left="1960" w:hanging="440"/>
      </w:pPr>
    </w:lvl>
    <w:lvl w:ilvl="4" w:tentative="0">
      <w:start w:val="1"/>
      <w:numFmt w:val="lowerLetter"/>
      <w:lvlText w:val="%5)"/>
      <w:lvlJc w:val="left"/>
      <w:pPr>
        <w:ind w:left="2400" w:hanging="440"/>
      </w:pPr>
    </w:lvl>
    <w:lvl w:ilvl="5" w:tentative="0">
      <w:start w:val="1"/>
      <w:numFmt w:val="lowerRoman"/>
      <w:lvlText w:val="%6."/>
      <w:lvlJc w:val="right"/>
      <w:pPr>
        <w:ind w:left="2840" w:hanging="440"/>
      </w:pPr>
    </w:lvl>
    <w:lvl w:ilvl="6" w:tentative="0">
      <w:start w:val="1"/>
      <w:numFmt w:val="decimal"/>
      <w:lvlText w:val="%7."/>
      <w:lvlJc w:val="left"/>
      <w:pPr>
        <w:ind w:left="3280" w:hanging="440"/>
      </w:pPr>
    </w:lvl>
    <w:lvl w:ilvl="7" w:tentative="0">
      <w:start w:val="1"/>
      <w:numFmt w:val="lowerLetter"/>
      <w:lvlText w:val="%8)"/>
      <w:lvlJc w:val="left"/>
      <w:pPr>
        <w:ind w:left="3720" w:hanging="440"/>
      </w:pPr>
    </w:lvl>
    <w:lvl w:ilvl="8" w:tentative="0">
      <w:start w:val="1"/>
      <w:numFmt w:val="lowerRoman"/>
      <w:lvlText w:val="%9."/>
      <w:lvlJc w:val="right"/>
      <w:pPr>
        <w:ind w:left="4160" w:hanging="440"/>
      </w:pPr>
    </w:lvl>
  </w:abstractNum>
  <w:abstractNum w:abstractNumId="7">
    <w:nsid w:val="62BA49CC"/>
    <w:multiLevelType w:val="multilevel"/>
    <w:tmpl w:val="62BA49CC"/>
    <w:lvl w:ilvl="0" w:tentative="0">
      <w:start w:val="1"/>
      <w:numFmt w:val="decimal"/>
      <w:pStyle w:val="60"/>
      <w:lvlText w:val="第%1条 "/>
      <w:lvlJc w:val="left"/>
      <w:pPr>
        <w:ind w:left="1552" w:hanging="984"/>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A4223B0"/>
    <w:multiLevelType w:val="multilevel"/>
    <w:tmpl w:val="6A4223B0"/>
    <w:lvl w:ilvl="0" w:tentative="0">
      <w:start w:val="1"/>
      <w:numFmt w:val="chineseCountingThousand"/>
      <w:pStyle w:val="2"/>
      <w:lvlText w:val="第%1章 "/>
      <w:lvlJc w:val="left"/>
      <w:pPr>
        <w:ind w:left="5827"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6B420A69"/>
    <w:multiLevelType w:val="multilevel"/>
    <w:tmpl w:val="6B420A69"/>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ascii="黑体" w:hAnsi="黑体" w:eastAsia="黑体" w:cs="黑体"/>
        <w:sz w:val="32"/>
        <w:szCs w:val="32"/>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0">
    <w:nsid w:val="6EEF198D"/>
    <w:multiLevelType w:val="multilevel"/>
    <w:tmpl w:val="6EEF198D"/>
    <w:lvl w:ilvl="0" w:tentative="0">
      <w:start w:val="1"/>
      <w:numFmt w:val="decimal"/>
      <w:pStyle w:val="109"/>
      <w:lvlText w:val="%1."/>
      <w:lvlJc w:val="left"/>
      <w:pPr>
        <w:ind w:left="920" w:hanging="360"/>
      </w:pPr>
      <w:rPr>
        <w:rFonts w:hint="default"/>
        <w:color w:val="auto"/>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1">
    <w:nsid w:val="7141208F"/>
    <w:multiLevelType w:val="multilevel"/>
    <w:tmpl w:val="7141208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ascii="黑体" w:hAnsi="黑体" w:eastAsia="黑体" w:cs="黑体"/>
        <w:sz w:val="32"/>
        <w:szCs w:val="32"/>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8"/>
  </w:num>
  <w:num w:numId="2">
    <w:abstractNumId w:val="6"/>
  </w:num>
  <w:num w:numId="3">
    <w:abstractNumId w:val="1"/>
  </w:num>
  <w:num w:numId="4">
    <w:abstractNumId w:val="5"/>
  </w:num>
  <w:num w:numId="5">
    <w:abstractNumId w:val="7"/>
  </w:num>
  <w:num w:numId="6">
    <w:abstractNumId w:val="4"/>
  </w:num>
  <w:num w:numId="7">
    <w:abstractNumId w:val="10"/>
  </w:num>
  <w:num w:numId="8">
    <w:abstractNumId w:val="0"/>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
  </w:num>
  <w:num w:numId="15">
    <w:abstractNumId w:val="9"/>
  </w:num>
  <w:num w:numId="16">
    <w:abstractNumId w:val="2"/>
  </w:num>
  <w:num w:numId="1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1MDc1YTVkYTZiMWRhZjUyNzg0N2I4MjlmZTlkODcifQ=="/>
  </w:docVars>
  <w:rsids>
    <w:rsidRoot w:val="00B34DBA"/>
    <w:rsid w:val="00012038"/>
    <w:rsid w:val="00012CCC"/>
    <w:rsid w:val="00013928"/>
    <w:rsid w:val="00023FA8"/>
    <w:rsid w:val="00024975"/>
    <w:rsid w:val="00030138"/>
    <w:rsid w:val="000325A7"/>
    <w:rsid w:val="00037465"/>
    <w:rsid w:val="00047244"/>
    <w:rsid w:val="000613C2"/>
    <w:rsid w:val="00072F3F"/>
    <w:rsid w:val="00080583"/>
    <w:rsid w:val="0008501F"/>
    <w:rsid w:val="00086511"/>
    <w:rsid w:val="0009039D"/>
    <w:rsid w:val="00091072"/>
    <w:rsid w:val="0009298A"/>
    <w:rsid w:val="00097B9C"/>
    <w:rsid w:val="000A23D0"/>
    <w:rsid w:val="000A3460"/>
    <w:rsid w:val="000A70E5"/>
    <w:rsid w:val="000B0626"/>
    <w:rsid w:val="000C2BEC"/>
    <w:rsid w:val="000C2F45"/>
    <w:rsid w:val="000C47EB"/>
    <w:rsid w:val="000D7B33"/>
    <w:rsid w:val="000E47B8"/>
    <w:rsid w:val="00104241"/>
    <w:rsid w:val="0013284C"/>
    <w:rsid w:val="0015007D"/>
    <w:rsid w:val="001501E7"/>
    <w:rsid w:val="00154EED"/>
    <w:rsid w:val="00160BC5"/>
    <w:rsid w:val="00172D9C"/>
    <w:rsid w:val="00176297"/>
    <w:rsid w:val="001772F3"/>
    <w:rsid w:val="00183859"/>
    <w:rsid w:val="001844C3"/>
    <w:rsid w:val="00187C1D"/>
    <w:rsid w:val="00190526"/>
    <w:rsid w:val="001965BD"/>
    <w:rsid w:val="001A3EA1"/>
    <w:rsid w:val="001B4FB2"/>
    <w:rsid w:val="001B4FB8"/>
    <w:rsid w:val="001C481C"/>
    <w:rsid w:val="001C652E"/>
    <w:rsid w:val="001C7CEE"/>
    <w:rsid w:val="001D0527"/>
    <w:rsid w:val="001D08B7"/>
    <w:rsid w:val="001D0BCF"/>
    <w:rsid w:val="001D301B"/>
    <w:rsid w:val="001E3BBC"/>
    <w:rsid w:val="001F17A1"/>
    <w:rsid w:val="001F65EE"/>
    <w:rsid w:val="001F7CB5"/>
    <w:rsid w:val="00202B2F"/>
    <w:rsid w:val="00215831"/>
    <w:rsid w:val="00215E2B"/>
    <w:rsid w:val="002260CA"/>
    <w:rsid w:val="00226920"/>
    <w:rsid w:val="0024479D"/>
    <w:rsid w:val="0025062A"/>
    <w:rsid w:val="00267A72"/>
    <w:rsid w:val="00271077"/>
    <w:rsid w:val="0029112F"/>
    <w:rsid w:val="00291B71"/>
    <w:rsid w:val="0029584F"/>
    <w:rsid w:val="002A0E80"/>
    <w:rsid w:val="002A1569"/>
    <w:rsid w:val="002A5607"/>
    <w:rsid w:val="002B128A"/>
    <w:rsid w:val="002C0F63"/>
    <w:rsid w:val="002C4251"/>
    <w:rsid w:val="002D2800"/>
    <w:rsid w:val="002D5841"/>
    <w:rsid w:val="002D5AF6"/>
    <w:rsid w:val="002E447A"/>
    <w:rsid w:val="002F246C"/>
    <w:rsid w:val="002F2B5C"/>
    <w:rsid w:val="002F7EE2"/>
    <w:rsid w:val="00304706"/>
    <w:rsid w:val="00313475"/>
    <w:rsid w:val="003135C1"/>
    <w:rsid w:val="003145B0"/>
    <w:rsid w:val="00315BAD"/>
    <w:rsid w:val="00322239"/>
    <w:rsid w:val="00331419"/>
    <w:rsid w:val="0033322D"/>
    <w:rsid w:val="003338B2"/>
    <w:rsid w:val="00340EFA"/>
    <w:rsid w:val="003421EB"/>
    <w:rsid w:val="0034536B"/>
    <w:rsid w:val="00353757"/>
    <w:rsid w:val="0036033D"/>
    <w:rsid w:val="003617E9"/>
    <w:rsid w:val="00363AE2"/>
    <w:rsid w:val="003765A7"/>
    <w:rsid w:val="00391750"/>
    <w:rsid w:val="00394B04"/>
    <w:rsid w:val="00394B50"/>
    <w:rsid w:val="003A40AE"/>
    <w:rsid w:val="003B08C4"/>
    <w:rsid w:val="003B0E2F"/>
    <w:rsid w:val="003B6133"/>
    <w:rsid w:val="003C21AD"/>
    <w:rsid w:val="003D372B"/>
    <w:rsid w:val="003D7B85"/>
    <w:rsid w:val="003E5364"/>
    <w:rsid w:val="004010C8"/>
    <w:rsid w:val="004043E4"/>
    <w:rsid w:val="004059CF"/>
    <w:rsid w:val="00406450"/>
    <w:rsid w:val="004151A8"/>
    <w:rsid w:val="004170A5"/>
    <w:rsid w:val="004211FD"/>
    <w:rsid w:val="004349C0"/>
    <w:rsid w:val="00441878"/>
    <w:rsid w:val="00443850"/>
    <w:rsid w:val="004512C9"/>
    <w:rsid w:val="00454961"/>
    <w:rsid w:val="00465A69"/>
    <w:rsid w:val="0046653C"/>
    <w:rsid w:val="0047061C"/>
    <w:rsid w:val="00471277"/>
    <w:rsid w:val="004750F0"/>
    <w:rsid w:val="004870E7"/>
    <w:rsid w:val="004940CD"/>
    <w:rsid w:val="0049517F"/>
    <w:rsid w:val="004A2605"/>
    <w:rsid w:val="004A38AB"/>
    <w:rsid w:val="004A4444"/>
    <w:rsid w:val="004A7559"/>
    <w:rsid w:val="004B1F75"/>
    <w:rsid w:val="004B5A3F"/>
    <w:rsid w:val="004C1360"/>
    <w:rsid w:val="004C1D50"/>
    <w:rsid w:val="004C6B38"/>
    <w:rsid w:val="004C7CF8"/>
    <w:rsid w:val="004D0FFE"/>
    <w:rsid w:val="004D5599"/>
    <w:rsid w:val="004E3129"/>
    <w:rsid w:val="004E682F"/>
    <w:rsid w:val="004F44B5"/>
    <w:rsid w:val="004F4FA0"/>
    <w:rsid w:val="004F5D16"/>
    <w:rsid w:val="004F68B0"/>
    <w:rsid w:val="005018EB"/>
    <w:rsid w:val="00510460"/>
    <w:rsid w:val="00510935"/>
    <w:rsid w:val="0051307C"/>
    <w:rsid w:val="00517AA1"/>
    <w:rsid w:val="00536A4E"/>
    <w:rsid w:val="0054224D"/>
    <w:rsid w:val="00551299"/>
    <w:rsid w:val="005556F7"/>
    <w:rsid w:val="00563F19"/>
    <w:rsid w:val="005766E5"/>
    <w:rsid w:val="00581662"/>
    <w:rsid w:val="005869CE"/>
    <w:rsid w:val="005878E4"/>
    <w:rsid w:val="00593D4F"/>
    <w:rsid w:val="005A56A1"/>
    <w:rsid w:val="005A6F72"/>
    <w:rsid w:val="005B3F77"/>
    <w:rsid w:val="005B7FEB"/>
    <w:rsid w:val="005C6829"/>
    <w:rsid w:val="005D313F"/>
    <w:rsid w:val="005D3285"/>
    <w:rsid w:val="005E58B8"/>
    <w:rsid w:val="005F1D55"/>
    <w:rsid w:val="005F4706"/>
    <w:rsid w:val="005F606C"/>
    <w:rsid w:val="00604889"/>
    <w:rsid w:val="00606846"/>
    <w:rsid w:val="006170D1"/>
    <w:rsid w:val="00621FCD"/>
    <w:rsid w:val="00631117"/>
    <w:rsid w:val="006416AA"/>
    <w:rsid w:val="0065732C"/>
    <w:rsid w:val="00661767"/>
    <w:rsid w:val="0066714F"/>
    <w:rsid w:val="00680CDF"/>
    <w:rsid w:val="00686293"/>
    <w:rsid w:val="0069294E"/>
    <w:rsid w:val="006A0B8B"/>
    <w:rsid w:val="006B541D"/>
    <w:rsid w:val="006C71F3"/>
    <w:rsid w:val="006E0FCB"/>
    <w:rsid w:val="006F0E86"/>
    <w:rsid w:val="006F2D20"/>
    <w:rsid w:val="006F395B"/>
    <w:rsid w:val="007030DC"/>
    <w:rsid w:val="00710749"/>
    <w:rsid w:val="007241CD"/>
    <w:rsid w:val="007330DA"/>
    <w:rsid w:val="00751CAC"/>
    <w:rsid w:val="007529A2"/>
    <w:rsid w:val="00771842"/>
    <w:rsid w:val="0078038F"/>
    <w:rsid w:val="007A2C13"/>
    <w:rsid w:val="007A3718"/>
    <w:rsid w:val="007C7EB0"/>
    <w:rsid w:val="007D52E9"/>
    <w:rsid w:val="007E6409"/>
    <w:rsid w:val="007F03F6"/>
    <w:rsid w:val="007F35EC"/>
    <w:rsid w:val="007F7AA7"/>
    <w:rsid w:val="0080699E"/>
    <w:rsid w:val="00812438"/>
    <w:rsid w:val="00827130"/>
    <w:rsid w:val="00832939"/>
    <w:rsid w:val="00835045"/>
    <w:rsid w:val="008351E0"/>
    <w:rsid w:val="00837AC4"/>
    <w:rsid w:val="0084344B"/>
    <w:rsid w:val="00847627"/>
    <w:rsid w:val="00857FE5"/>
    <w:rsid w:val="00863907"/>
    <w:rsid w:val="00864E57"/>
    <w:rsid w:val="00866AE7"/>
    <w:rsid w:val="00877B11"/>
    <w:rsid w:val="00887CF7"/>
    <w:rsid w:val="008A0BDF"/>
    <w:rsid w:val="008A4C35"/>
    <w:rsid w:val="008A7D7A"/>
    <w:rsid w:val="008B01D3"/>
    <w:rsid w:val="008B4DAE"/>
    <w:rsid w:val="008C0790"/>
    <w:rsid w:val="008D54CC"/>
    <w:rsid w:val="008E3285"/>
    <w:rsid w:val="008E7E02"/>
    <w:rsid w:val="008F1F98"/>
    <w:rsid w:val="008F5BEE"/>
    <w:rsid w:val="00901DEE"/>
    <w:rsid w:val="00907930"/>
    <w:rsid w:val="0091221B"/>
    <w:rsid w:val="00912F0F"/>
    <w:rsid w:val="00912F12"/>
    <w:rsid w:val="00943F82"/>
    <w:rsid w:val="00947498"/>
    <w:rsid w:val="00951889"/>
    <w:rsid w:val="0096143D"/>
    <w:rsid w:val="009643E6"/>
    <w:rsid w:val="00965B37"/>
    <w:rsid w:val="00970C0E"/>
    <w:rsid w:val="009862C9"/>
    <w:rsid w:val="009A0732"/>
    <w:rsid w:val="009A19EB"/>
    <w:rsid w:val="009A4578"/>
    <w:rsid w:val="009B7022"/>
    <w:rsid w:val="009C05CE"/>
    <w:rsid w:val="009C194A"/>
    <w:rsid w:val="009D3F88"/>
    <w:rsid w:val="009E3140"/>
    <w:rsid w:val="009E3250"/>
    <w:rsid w:val="009E62E6"/>
    <w:rsid w:val="009F6710"/>
    <w:rsid w:val="00A057AA"/>
    <w:rsid w:val="00A061DE"/>
    <w:rsid w:val="00A07ACB"/>
    <w:rsid w:val="00A12880"/>
    <w:rsid w:val="00A21819"/>
    <w:rsid w:val="00A340B5"/>
    <w:rsid w:val="00A449D2"/>
    <w:rsid w:val="00A44E00"/>
    <w:rsid w:val="00A54650"/>
    <w:rsid w:val="00A56CA7"/>
    <w:rsid w:val="00A60DD5"/>
    <w:rsid w:val="00A82A66"/>
    <w:rsid w:val="00A849B6"/>
    <w:rsid w:val="00A85E32"/>
    <w:rsid w:val="00AA37E1"/>
    <w:rsid w:val="00AB3672"/>
    <w:rsid w:val="00AC40CB"/>
    <w:rsid w:val="00AC4AF1"/>
    <w:rsid w:val="00AD1EF9"/>
    <w:rsid w:val="00AD33F4"/>
    <w:rsid w:val="00AD76B9"/>
    <w:rsid w:val="00AE64DA"/>
    <w:rsid w:val="00AF1DDC"/>
    <w:rsid w:val="00B00D72"/>
    <w:rsid w:val="00B051BA"/>
    <w:rsid w:val="00B07FF1"/>
    <w:rsid w:val="00B1232F"/>
    <w:rsid w:val="00B12BC7"/>
    <w:rsid w:val="00B13B94"/>
    <w:rsid w:val="00B14938"/>
    <w:rsid w:val="00B17723"/>
    <w:rsid w:val="00B22107"/>
    <w:rsid w:val="00B2504A"/>
    <w:rsid w:val="00B254EB"/>
    <w:rsid w:val="00B30AE8"/>
    <w:rsid w:val="00B312BB"/>
    <w:rsid w:val="00B34DBA"/>
    <w:rsid w:val="00B47257"/>
    <w:rsid w:val="00B47F37"/>
    <w:rsid w:val="00B523C1"/>
    <w:rsid w:val="00B5257C"/>
    <w:rsid w:val="00B56451"/>
    <w:rsid w:val="00B72B62"/>
    <w:rsid w:val="00B74F19"/>
    <w:rsid w:val="00B758CE"/>
    <w:rsid w:val="00B77B6D"/>
    <w:rsid w:val="00B80A4F"/>
    <w:rsid w:val="00B9383E"/>
    <w:rsid w:val="00B96E28"/>
    <w:rsid w:val="00BA03F8"/>
    <w:rsid w:val="00BA0793"/>
    <w:rsid w:val="00BB0B22"/>
    <w:rsid w:val="00BB146B"/>
    <w:rsid w:val="00BB3A62"/>
    <w:rsid w:val="00BD6F1E"/>
    <w:rsid w:val="00BE1B9F"/>
    <w:rsid w:val="00BE5035"/>
    <w:rsid w:val="00BE5E41"/>
    <w:rsid w:val="00BF31A2"/>
    <w:rsid w:val="00C0076D"/>
    <w:rsid w:val="00C13600"/>
    <w:rsid w:val="00C21140"/>
    <w:rsid w:val="00C2476F"/>
    <w:rsid w:val="00C24C00"/>
    <w:rsid w:val="00C25189"/>
    <w:rsid w:val="00C3178D"/>
    <w:rsid w:val="00C34A7C"/>
    <w:rsid w:val="00C435BE"/>
    <w:rsid w:val="00C4408B"/>
    <w:rsid w:val="00C448B8"/>
    <w:rsid w:val="00C63FA7"/>
    <w:rsid w:val="00C723F5"/>
    <w:rsid w:val="00C74EFB"/>
    <w:rsid w:val="00C77FAB"/>
    <w:rsid w:val="00C85BB5"/>
    <w:rsid w:val="00CA2F83"/>
    <w:rsid w:val="00CD05DE"/>
    <w:rsid w:val="00CD3927"/>
    <w:rsid w:val="00CE4048"/>
    <w:rsid w:val="00CF38C9"/>
    <w:rsid w:val="00CF5066"/>
    <w:rsid w:val="00CF5E87"/>
    <w:rsid w:val="00CF75C7"/>
    <w:rsid w:val="00D02C5A"/>
    <w:rsid w:val="00D1346B"/>
    <w:rsid w:val="00D148A6"/>
    <w:rsid w:val="00D206B2"/>
    <w:rsid w:val="00D25DF7"/>
    <w:rsid w:val="00D305D2"/>
    <w:rsid w:val="00D36C35"/>
    <w:rsid w:val="00D54C8C"/>
    <w:rsid w:val="00D6174F"/>
    <w:rsid w:val="00D632B2"/>
    <w:rsid w:val="00D6377C"/>
    <w:rsid w:val="00D6549B"/>
    <w:rsid w:val="00D71189"/>
    <w:rsid w:val="00D8564A"/>
    <w:rsid w:val="00D9330B"/>
    <w:rsid w:val="00DA170C"/>
    <w:rsid w:val="00DA3A93"/>
    <w:rsid w:val="00DB3975"/>
    <w:rsid w:val="00DB4811"/>
    <w:rsid w:val="00DC2633"/>
    <w:rsid w:val="00DD0226"/>
    <w:rsid w:val="00DD30E2"/>
    <w:rsid w:val="00DD4617"/>
    <w:rsid w:val="00DD4BF3"/>
    <w:rsid w:val="00DE5466"/>
    <w:rsid w:val="00DE5F06"/>
    <w:rsid w:val="00DF5326"/>
    <w:rsid w:val="00E0132E"/>
    <w:rsid w:val="00E12522"/>
    <w:rsid w:val="00E244E5"/>
    <w:rsid w:val="00E42262"/>
    <w:rsid w:val="00E44B10"/>
    <w:rsid w:val="00E4630C"/>
    <w:rsid w:val="00E4720B"/>
    <w:rsid w:val="00E533C2"/>
    <w:rsid w:val="00E56B5E"/>
    <w:rsid w:val="00E61CCD"/>
    <w:rsid w:val="00E62AEA"/>
    <w:rsid w:val="00E64DF0"/>
    <w:rsid w:val="00E66802"/>
    <w:rsid w:val="00E837B1"/>
    <w:rsid w:val="00E8442A"/>
    <w:rsid w:val="00E877A6"/>
    <w:rsid w:val="00E87DC2"/>
    <w:rsid w:val="00EA350B"/>
    <w:rsid w:val="00EB04B4"/>
    <w:rsid w:val="00EB3102"/>
    <w:rsid w:val="00EB5765"/>
    <w:rsid w:val="00EB6087"/>
    <w:rsid w:val="00EC0A57"/>
    <w:rsid w:val="00EC5BED"/>
    <w:rsid w:val="00EC5F79"/>
    <w:rsid w:val="00EC632F"/>
    <w:rsid w:val="00ED47A4"/>
    <w:rsid w:val="00ED72F8"/>
    <w:rsid w:val="00EF04F9"/>
    <w:rsid w:val="00EF2D75"/>
    <w:rsid w:val="00F103A4"/>
    <w:rsid w:val="00F16373"/>
    <w:rsid w:val="00F25F13"/>
    <w:rsid w:val="00F26A3E"/>
    <w:rsid w:val="00F40276"/>
    <w:rsid w:val="00F505FD"/>
    <w:rsid w:val="00F51D5C"/>
    <w:rsid w:val="00F61B98"/>
    <w:rsid w:val="00F72E55"/>
    <w:rsid w:val="00F9703A"/>
    <w:rsid w:val="00F9752C"/>
    <w:rsid w:val="00FA0908"/>
    <w:rsid w:val="00FB50A1"/>
    <w:rsid w:val="00FC2809"/>
    <w:rsid w:val="00FC5377"/>
    <w:rsid w:val="00FC65E0"/>
    <w:rsid w:val="00FD1DD7"/>
    <w:rsid w:val="00FD3CB8"/>
    <w:rsid w:val="00FE1959"/>
    <w:rsid w:val="00FF71CD"/>
    <w:rsid w:val="00FF726A"/>
    <w:rsid w:val="03052895"/>
    <w:rsid w:val="042D7311"/>
    <w:rsid w:val="07073C20"/>
    <w:rsid w:val="09144A65"/>
    <w:rsid w:val="0AD578DB"/>
    <w:rsid w:val="12EF37E0"/>
    <w:rsid w:val="144C6DFF"/>
    <w:rsid w:val="15126061"/>
    <w:rsid w:val="17B34C0E"/>
    <w:rsid w:val="1919536D"/>
    <w:rsid w:val="1D237E02"/>
    <w:rsid w:val="1D4B24DF"/>
    <w:rsid w:val="20005872"/>
    <w:rsid w:val="223A41EA"/>
    <w:rsid w:val="23E658F8"/>
    <w:rsid w:val="24217571"/>
    <w:rsid w:val="26766764"/>
    <w:rsid w:val="27885954"/>
    <w:rsid w:val="27C93FEE"/>
    <w:rsid w:val="29245F09"/>
    <w:rsid w:val="2D106E30"/>
    <w:rsid w:val="30145E45"/>
    <w:rsid w:val="32570053"/>
    <w:rsid w:val="33115704"/>
    <w:rsid w:val="34AB35B3"/>
    <w:rsid w:val="35DC5DD2"/>
    <w:rsid w:val="377A6AD0"/>
    <w:rsid w:val="39DF4C7B"/>
    <w:rsid w:val="3A9C574C"/>
    <w:rsid w:val="3CA620E5"/>
    <w:rsid w:val="3CE22CCE"/>
    <w:rsid w:val="3FC748BC"/>
    <w:rsid w:val="445E29E5"/>
    <w:rsid w:val="44C06093"/>
    <w:rsid w:val="48750E49"/>
    <w:rsid w:val="48E70878"/>
    <w:rsid w:val="4961652D"/>
    <w:rsid w:val="4A46348A"/>
    <w:rsid w:val="4F702FD7"/>
    <w:rsid w:val="4FB1665D"/>
    <w:rsid w:val="52DE294E"/>
    <w:rsid w:val="54996B2C"/>
    <w:rsid w:val="56C20118"/>
    <w:rsid w:val="577B4363"/>
    <w:rsid w:val="59750976"/>
    <w:rsid w:val="5A04713E"/>
    <w:rsid w:val="60150C86"/>
    <w:rsid w:val="60C01654"/>
    <w:rsid w:val="640450EC"/>
    <w:rsid w:val="659E378D"/>
    <w:rsid w:val="65CE102C"/>
    <w:rsid w:val="66410807"/>
    <w:rsid w:val="66794E53"/>
    <w:rsid w:val="67D8124B"/>
    <w:rsid w:val="69B93063"/>
    <w:rsid w:val="6AED777A"/>
    <w:rsid w:val="6B686AB5"/>
    <w:rsid w:val="6D930760"/>
    <w:rsid w:val="6DDF47A4"/>
    <w:rsid w:val="6E40711C"/>
    <w:rsid w:val="709D12FB"/>
    <w:rsid w:val="72312A97"/>
    <w:rsid w:val="75E949D7"/>
    <w:rsid w:val="75F14610"/>
    <w:rsid w:val="77145730"/>
    <w:rsid w:val="793D4465"/>
    <w:rsid w:val="7C7D685B"/>
    <w:rsid w:val="7C86596D"/>
    <w:rsid w:val="7D4C1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qFormat/>
    <w:uiPriority w:val="0"/>
    <w:pPr>
      <w:keepNext/>
      <w:keepLines/>
      <w:numPr>
        <w:ilvl w:val="0"/>
        <w:numId w:val="1"/>
      </w:numPr>
      <w:spacing w:line="360" w:lineRule="auto"/>
      <w:jc w:val="center"/>
      <w:outlineLvl w:val="0"/>
    </w:pPr>
    <w:rPr>
      <w:rFonts w:eastAsia="方正小标宋简体"/>
      <w:bCs/>
      <w:kern w:val="44"/>
      <w:sz w:val="36"/>
      <w:szCs w:val="44"/>
    </w:rPr>
  </w:style>
  <w:style w:type="paragraph" w:styleId="3">
    <w:name w:val="heading 2"/>
    <w:basedOn w:val="1"/>
    <w:next w:val="1"/>
    <w:link w:val="43"/>
    <w:unhideWhenUsed/>
    <w:qFormat/>
    <w:uiPriority w:val="0"/>
    <w:pPr>
      <w:keepNext/>
      <w:keepLines/>
      <w:numPr>
        <w:ilvl w:val="0"/>
        <w:numId w:val="2"/>
      </w:numPr>
      <w:spacing w:line="360" w:lineRule="auto"/>
      <w:jc w:val="center"/>
      <w:outlineLvl w:val="1"/>
    </w:pPr>
    <w:rPr>
      <w:rFonts w:eastAsia="黑体" w:asciiTheme="majorHAnsi" w:hAnsiTheme="majorHAnsi" w:cstheme="majorBidi"/>
      <w:bCs/>
      <w:sz w:val="32"/>
      <w:szCs w:val="32"/>
    </w:rPr>
  </w:style>
  <w:style w:type="paragraph" w:styleId="4">
    <w:name w:val="heading 3"/>
    <w:basedOn w:val="1"/>
    <w:next w:val="1"/>
    <w:link w:val="46"/>
    <w:unhideWhenUsed/>
    <w:qFormat/>
    <w:uiPriority w:val="0"/>
    <w:pPr>
      <w:keepNext/>
      <w:keepLines/>
      <w:spacing w:before="260" w:after="260" w:line="416" w:lineRule="auto"/>
      <w:outlineLvl w:val="2"/>
    </w:pPr>
    <w:rPr>
      <w:b/>
      <w:bCs/>
      <w:sz w:val="32"/>
      <w:szCs w:val="32"/>
    </w:rPr>
  </w:style>
  <w:style w:type="paragraph" w:styleId="5">
    <w:name w:val="heading 4"/>
    <w:basedOn w:val="1"/>
    <w:next w:val="6"/>
    <w:link w:val="80"/>
    <w:autoRedefine/>
    <w:qFormat/>
    <w:uiPriority w:val="0"/>
    <w:pPr>
      <w:keepNext/>
      <w:keepLines/>
      <w:widowControl/>
      <w:tabs>
        <w:tab w:val="left" w:pos="353"/>
        <w:tab w:val="left" w:pos="864"/>
      </w:tabs>
      <w:spacing w:before="280" w:after="290" w:line="376" w:lineRule="auto"/>
      <w:ind w:left="864" w:hanging="144" w:firstLineChars="200"/>
      <w:jc w:val="left"/>
      <w:outlineLvl w:val="3"/>
    </w:pPr>
    <w:rPr>
      <w:rFonts w:ascii="Arial" w:hAnsi="Arial" w:eastAsia="黑体" w:cs="Times New Roman"/>
      <w:b/>
      <w:kern w:val="0"/>
      <w:sz w:val="32"/>
      <w:szCs w:val="20"/>
    </w:rPr>
  </w:style>
  <w:style w:type="paragraph" w:styleId="7">
    <w:name w:val="heading 5"/>
    <w:basedOn w:val="1"/>
    <w:next w:val="6"/>
    <w:link w:val="81"/>
    <w:autoRedefine/>
    <w:qFormat/>
    <w:uiPriority w:val="0"/>
    <w:pPr>
      <w:keepNext/>
      <w:keepLines/>
      <w:widowControl/>
      <w:tabs>
        <w:tab w:val="left" w:pos="353"/>
        <w:tab w:val="left" w:pos="1008"/>
      </w:tabs>
      <w:spacing w:before="280" w:after="290" w:line="376" w:lineRule="auto"/>
      <w:ind w:left="1008" w:hanging="432" w:firstLineChars="200"/>
      <w:jc w:val="left"/>
      <w:outlineLvl w:val="4"/>
    </w:pPr>
    <w:rPr>
      <w:rFonts w:ascii="仿宋_GB2312" w:hAnsi="仿宋_GB2312" w:eastAsia="华康简宋" w:cs="Times New Roman"/>
      <w:b/>
      <w:kern w:val="0"/>
      <w:sz w:val="32"/>
      <w:szCs w:val="20"/>
    </w:rPr>
  </w:style>
  <w:style w:type="paragraph" w:styleId="8">
    <w:name w:val="heading 6"/>
    <w:basedOn w:val="1"/>
    <w:next w:val="6"/>
    <w:link w:val="82"/>
    <w:autoRedefine/>
    <w:qFormat/>
    <w:uiPriority w:val="0"/>
    <w:pPr>
      <w:keepNext/>
      <w:keepLines/>
      <w:widowControl/>
      <w:tabs>
        <w:tab w:val="left" w:pos="353"/>
        <w:tab w:val="left" w:pos="1152"/>
      </w:tabs>
      <w:spacing w:before="240" w:after="64" w:line="320" w:lineRule="auto"/>
      <w:ind w:left="1152" w:hanging="432" w:firstLineChars="200"/>
      <w:jc w:val="left"/>
      <w:outlineLvl w:val="5"/>
    </w:pPr>
    <w:rPr>
      <w:rFonts w:ascii="Arial" w:hAnsi="Arial" w:eastAsia="黑体" w:cs="Times New Roman"/>
      <w:b/>
      <w:kern w:val="0"/>
      <w:sz w:val="24"/>
      <w:szCs w:val="20"/>
    </w:rPr>
  </w:style>
  <w:style w:type="paragraph" w:styleId="9">
    <w:name w:val="heading 7"/>
    <w:basedOn w:val="1"/>
    <w:next w:val="6"/>
    <w:link w:val="83"/>
    <w:autoRedefine/>
    <w:qFormat/>
    <w:uiPriority w:val="0"/>
    <w:pPr>
      <w:keepNext/>
      <w:keepLines/>
      <w:widowControl/>
      <w:tabs>
        <w:tab w:val="left" w:pos="353"/>
        <w:tab w:val="left" w:pos="1296"/>
      </w:tabs>
      <w:spacing w:before="240" w:after="64" w:line="320" w:lineRule="auto"/>
      <w:ind w:left="1296" w:hanging="288" w:firstLineChars="200"/>
      <w:jc w:val="left"/>
      <w:outlineLvl w:val="6"/>
    </w:pPr>
    <w:rPr>
      <w:rFonts w:ascii="仿宋_GB2312" w:hAnsi="仿宋_GB2312" w:eastAsia="华康简宋" w:cs="Times New Roman"/>
      <w:b/>
      <w:kern w:val="0"/>
      <w:sz w:val="24"/>
      <w:szCs w:val="20"/>
    </w:rPr>
  </w:style>
  <w:style w:type="paragraph" w:styleId="10">
    <w:name w:val="heading 8"/>
    <w:basedOn w:val="1"/>
    <w:next w:val="6"/>
    <w:link w:val="84"/>
    <w:autoRedefine/>
    <w:qFormat/>
    <w:uiPriority w:val="0"/>
    <w:pPr>
      <w:keepNext/>
      <w:keepLines/>
      <w:widowControl/>
      <w:tabs>
        <w:tab w:val="left" w:pos="353"/>
        <w:tab w:val="left" w:pos="1440"/>
      </w:tabs>
      <w:spacing w:before="240" w:after="64" w:line="320" w:lineRule="auto"/>
      <w:ind w:left="1440" w:hanging="432" w:firstLineChars="200"/>
      <w:jc w:val="left"/>
      <w:outlineLvl w:val="7"/>
    </w:pPr>
    <w:rPr>
      <w:rFonts w:ascii="Arial" w:hAnsi="Arial" w:eastAsia="黑体" w:cs="Times New Roman"/>
      <w:kern w:val="0"/>
      <w:sz w:val="24"/>
      <w:szCs w:val="20"/>
    </w:rPr>
  </w:style>
  <w:style w:type="paragraph" w:styleId="11">
    <w:name w:val="heading 9"/>
    <w:basedOn w:val="1"/>
    <w:next w:val="6"/>
    <w:link w:val="85"/>
    <w:autoRedefine/>
    <w:qFormat/>
    <w:uiPriority w:val="0"/>
    <w:pPr>
      <w:keepNext/>
      <w:keepLines/>
      <w:widowControl/>
      <w:tabs>
        <w:tab w:val="left" w:pos="353"/>
        <w:tab w:val="left" w:pos="1584"/>
      </w:tabs>
      <w:spacing w:before="240" w:after="64" w:line="320" w:lineRule="auto"/>
      <w:ind w:left="1584" w:hanging="144" w:firstLineChars="200"/>
      <w:jc w:val="left"/>
      <w:outlineLvl w:val="8"/>
    </w:pPr>
    <w:rPr>
      <w:rFonts w:ascii="Arial" w:hAnsi="Arial" w:eastAsia="黑体" w:cs="Times New Roman"/>
      <w:kern w:val="0"/>
      <w:sz w:val="32"/>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360" w:lineRule="auto"/>
      <w:ind w:firstLine="420"/>
    </w:pPr>
    <w:rPr>
      <w:rFonts w:ascii="宋体" w:hAnsi="宋体"/>
      <w:szCs w:val="20"/>
    </w:rPr>
  </w:style>
  <w:style w:type="paragraph" w:styleId="12">
    <w:name w:val="toc 7"/>
    <w:basedOn w:val="1"/>
    <w:next w:val="1"/>
    <w:autoRedefine/>
    <w:unhideWhenUsed/>
    <w:qFormat/>
    <w:uiPriority w:val="39"/>
    <w:pPr>
      <w:ind w:left="2520" w:leftChars="1200"/>
    </w:pPr>
  </w:style>
  <w:style w:type="paragraph" w:styleId="13">
    <w:name w:val="caption"/>
    <w:basedOn w:val="1"/>
    <w:next w:val="1"/>
    <w:qFormat/>
    <w:uiPriority w:val="0"/>
    <w:rPr>
      <w:rFonts w:ascii="Arial" w:hAnsi="Arial" w:eastAsia="黑体" w:cs="Arial"/>
      <w:szCs w:val="20"/>
    </w:rPr>
  </w:style>
  <w:style w:type="paragraph" w:styleId="14">
    <w:name w:val="Document Map"/>
    <w:basedOn w:val="1"/>
    <w:link w:val="86"/>
    <w:autoRedefine/>
    <w:qFormat/>
    <w:uiPriority w:val="0"/>
    <w:pPr>
      <w:tabs>
        <w:tab w:val="left" w:pos="353"/>
      </w:tabs>
      <w:spacing w:line="600" w:lineRule="exact"/>
      <w:ind w:firstLine="640" w:firstLineChars="200"/>
    </w:pPr>
    <w:rPr>
      <w:rFonts w:ascii="宋体" w:hAnsi="仿宋_GB2312" w:eastAsia="仿宋_GB2312" w:cs="Times New Roman"/>
      <w:sz w:val="18"/>
      <w:szCs w:val="18"/>
    </w:rPr>
  </w:style>
  <w:style w:type="paragraph" w:styleId="15">
    <w:name w:val="Body Text"/>
    <w:basedOn w:val="1"/>
    <w:qFormat/>
    <w:uiPriority w:val="0"/>
    <w:pPr>
      <w:spacing w:line="600" w:lineRule="exact"/>
      <w:ind w:firstLine="200" w:firstLineChars="200"/>
    </w:pPr>
    <w:rPr>
      <w:rFonts w:ascii="仿宋_GB2312" w:eastAsia="仿宋_GB2312"/>
      <w:sz w:val="32"/>
    </w:rPr>
  </w:style>
  <w:style w:type="paragraph" w:styleId="16">
    <w:name w:val="Body Text Indent"/>
    <w:basedOn w:val="1"/>
    <w:link w:val="77"/>
    <w:unhideWhenUsed/>
    <w:qFormat/>
    <w:uiPriority w:val="0"/>
    <w:pPr>
      <w:spacing w:after="120"/>
      <w:ind w:left="420" w:leftChars="200"/>
    </w:pPr>
  </w:style>
  <w:style w:type="paragraph" w:styleId="17">
    <w:name w:val="toc 5"/>
    <w:basedOn w:val="1"/>
    <w:next w:val="1"/>
    <w:autoRedefine/>
    <w:unhideWhenUsed/>
    <w:qFormat/>
    <w:uiPriority w:val="39"/>
    <w:pPr>
      <w:ind w:left="1680" w:leftChars="800"/>
    </w:pPr>
  </w:style>
  <w:style w:type="paragraph" w:styleId="18">
    <w:name w:val="toc 3"/>
    <w:basedOn w:val="1"/>
    <w:next w:val="1"/>
    <w:autoRedefine/>
    <w:unhideWhenUsed/>
    <w:qFormat/>
    <w:uiPriority w:val="39"/>
    <w:pPr>
      <w:ind w:left="840" w:leftChars="400"/>
    </w:pPr>
  </w:style>
  <w:style w:type="paragraph" w:styleId="19">
    <w:name w:val="Plain Text"/>
    <w:basedOn w:val="1"/>
    <w:link w:val="55"/>
    <w:qFormat/>
    <w:uiPriority w:val="0"/>
    <w:pPr>
      <w:spacing w:line="600" w:lineRule="exact"/>
      <w:ind w:firstLine="200" w:firstLineChars="200"/>
    </w:pPr>
    <w:rPr>
      <w:rFonts w:ascii="宋体" w:hAnsi="Courier New" w:eastAsia="仿宋_GB2312" w:cs="Courier New"/>
      <w:sz w:val="32"/>
      <w:szCs w:val="21"/>
    </w:rPr>
  </w:style>
  <w:style w:type="paragraph" w:styleId="20">
    <w:name w:val="toc 8"/>
    <w:basedOn w:val="1"/>
    <w:next w:val="1"/>
    <w:autoRedefine/>
    <w:unhideWhenUsed/>
    <w:qFormat/>
    <w:uiPriority w:val="39"/>
    <w:pPr>
      <w:ind w:left="2940" w:leftChars="1400"/>
    </w:pPr>
  </w:style>
  <w:style w:type="paragraph" w:styleId="21">
    <w:name w:val="Date"/>
    <w:basedOn w:val="1"/>
    <w:next w:val="1"/>
    <w:link w:val="44"/>
    <w:semiHidden/>
    <w:unhideWhenUsed/>
    <w:qFormat/>
    <w:uiPriority w:val="99"/>
    <w:pPr>
      <w:ind w:left="100" w:leftChars="2500"/>
    </w:pPr>
  </w:style>
  <w:style w:type="paragraph" w:styleId="22">
    <w:name w:val="Balloon Text"/>
    <w:basedOn w:val="1"/>
    <w:link w:val="87"/>
    <w:autoRedefine/>
    <w:semiHidden/>
    <w:qFormat/>
    <w:uiPriority w:val="0"/>
    <w:pPr>
      <w:tabs>
        <w:tab w:val="left" w:pos="353"/>
      </w:tabs>
      <w:spacing w:line="600" w:lineRule="exact"/>
      <w:ind w:firstLine="640" w:firstLineChars="200"/>
    </w:pPr>
    <w:rPr>
      <w:rFonts w:ascii="仿宋_GB2312" w:hAnsi="仿宋_GB2312" w:eastAsia="仿宋_GB2312" w:cs="Times New Roman"/>
      <w:sz w:val="18"/>
      <w:szCs w:val="18"/>
    </w:rPr>
  </w:style>
  <w:style w:type="paragraph" w:styleId="23">
    <w:name w:val="footer"/>
    <w:basedOn w:val="1"/>
    <w:link w:val="76"/>
    <w:unhideWhenUsed/>
    <w:qFormat/>
    <w:uiPriority w:val="99"/>
    <w:pPr>
      <w:tabs>
        <w:tab w:val="center" w:pos="4153"/>
        <w:tab w:val="right" w:pos="8306"/>
      </w:tabs>
      <w:snapToGrid w:val="0"/>
      <w:jc w:val="left"/>
    </w:pPr>
    <w:rPr>
      <w:sz w:val="18"/>
    </w:rPr>
  </w:style>
  <w:style w:type="paragraph" w:styleId="24">
    <w:name w:val="header"/>
    <w:basedOn w:val="1"/>
    <w:link w:val="75"/>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5">
    <w:name w:val="toc 1"/>
    <w:basedOn w:val="1"/>
    <w:next w:val="1"/>
    <w:link w:val="118"/>
    <w:unhideWhenUsed/>
    <w:qFormat/>
    <w:uiPriority w:val="39"/>
  </w:style>
  <w:style w:type="paragraph" w:styleId="26">
    <w:name w:val="toc 4"/>
    <w:basedOn w:val="1"/>
    <w:next w:val="1"/>
    <w:autoRedefine/>
    <w:unhideWhenUsed/>
    <w:qFormat/>
    <w:uiPriority w:val="39"/>
    <w:pPr>
      <w:ind w:left="1260" w:leftChars="600"/>
    </w:pPr>
  </w:style>
  <w:style w:type="paragraph" w:styleId="27">
    <w:name w:val="List Number 5"/>
    <w:basedOn w:val="1"/>
    <w:unhideWhenUsed/>
    <w:qFormat/>
    <w:uiPriority w:val="99"/>
    <w:pPr>
      <w:numPr>
        <w:ilvl w:val="0"/>
        <w:numId w:val="3"/>
      </w:numPr>
      <w:tabs>
        <w:tab w:val="left" w:pos="353"/>
      </w:tabs>
      <w:spacing w:line="600" w:lineRule="exact"/>
      <w:ind w:firstLine="200" w:firstLineChars="200"/>
    </w:pPr>
    <w:rPr>
      <w:rFonts w:ascii="仿宋_GB2312" w:hAnsi="仿宋_GB2312" w:eastAsia="仿宋_GB2312" w:cs="Times New Roman"/>
      <w:sz w:val="32"/>
      <w:szCs w:val="32"/>
    </w:rPr>
  </w:style>
  <w:style w:type="paragraph" w:styleId="28">
    <w:name w:val="footnote text"/>
    <w:basedOn w:val="1"/>
    <w:link w:val="88"/>
    <w:autoRedefine/>
    <w:semiHidden/>
    <w:unhideWhenUsed/>
    <w:qFormat/>
    <w:uiPriority w:val="99"/>
    <w:pPr>
      <w:tabs>
        <w:tab w:val="left" w:pos="353"/>
      </w:tabs>
      <w:snapToGrid w:val="0"/>
      <w:spacing w:line="600" w:lineRule="exact"/>
      <w:ind w:firstLine="640" w:firstLineChars="200"/>
      <w:jc w:val="left"/>
    </w:pPr>
    <w:rPr>
      <w:rFonts w:ascii="仿宋_GB2312" w:hAnsi="仿宋_GB2312" w:eastAsia="仿宋_GB2312" w:cs="Times New Roman"/>
      <w:sz w:val="18"/>
      <w:szCs w:val="18"/>
    </w:rPr>
  </w:style>
  <w:style w:type="paragraph" w:styleId="29">
    <w:name w:val="toc 6"/>
    <w:basedOn w:val="1"/>
    <w:next w:val="1"/>
    <w:autoRedefine/>
    <w:unhideWhenUsed/>
    <w:qFormat/>
    <w:uiPriority w:val="39"/>
    <w:pPr>
      <w:ind w:left="2100" w:leftChars="1000"/>
    </w:pPr>
  </w:style>
  <w:style w:type="paragraph" w:styleId="30">
    <w:name w:val="toc 2"/>
    <w:basedOn w:val="1"/>
    <w:next w:val="1"/>
    <w:unhideWhenUsed/>
    <w:qFormat/>
    <w:uiPriority w:val="39"/>
    <w:pPr>
      <w:ind w:left="420" w:leftChars="200"/>
    </w:pPr>
  </w:style>
  <w:style w:type="paragraph" w:styleId="31">
    <w:name w:val="toc 9"/>
    <w:basedOn w:val="1"/>
    <w:next w:val="1"/>
    <w:autoRedefine/>
    <w:unhideWhenUsed/>
    <w:qFormat/>
    <w:uiPriority w:val="39"/>
    <w:pPr>
      <w:ind w:left="3360" w:leftChars="1600"/>
    </w:pPr>
  </w:style>
  <w:style w:type="paragraph" w:styleId="32">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33">
    <w:name w:val="Body Text First Indent 2"/>
    <w:basedOn w:val="16"/>
    <w:link w:val="78"/>
    <w:unhideWhenUsed/>
    <w:qFormat/>
    <w:uiPriority w:val="99"/>
    <w:pPr>
      <w:ind w:firstLine="420" w:firstLineChars="200"/>
    </w:pPr>
  </w:style>
  <w:style w:type="table" w:styleId="35">
    <w:name w:val="Table Grid"/>
    <w:basedOn w:val="34"/>
    <w:qFormat/>
    <w:uiPriority w:val="0"/>
    <w:pPr>
      <w:widowControl w:val="0"/>
      <w:jc w:val="center"/>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style>
  <w:style w:type="character" w:styleId="37">
    <w:name w:val="Strong"/>
    <w:basedOn w:val="36"/>
    <w:qFormat/>
    <w:uiPriority w:val="22"/>
    <w:rPr>
      <w:b/>
      <w:bCs/>
    </w:rPr>
  </w:style>
  <w:style w:type="character" w:styleId="38">
    <w:name w:val="page number"/>
    <w:basedOn w:val="36"/>
    <w:autoRedefine/>
    <w:qFormat/>
    <w:uiPriority w:val="0"/>
  </w:style>
  <w:style w:type="character" w:styleId="39">
    <w:name w:val="FollowedHyperlink"/>
    <w:basedOn w:val="36"/>
    <w:semiHidden/>
    <w:unhideWhenUsed/>
    <w:qFormat/>
    <w:uiPriority w:val="99"/>
    <w:rPr>
      <w:color w:val="954F72"/>
      <w:u w:val="single"/>
    </w:rPr>
  </w:style>
  <w:style w:type="character" w:styleId="40">
    <w:name w:val="Hyperlink"/>
    <w:basedOn w:val="36"/>
    <w:unhideWhenUsed/>
    <w:qFormat/>
    <w:uiPriority w:val="99"/>
    <w:rPr>
      <w:color w:val="0000FF" w:themeColor="hyperlink"/>
      <w:u w:val="single"/>
      <w14:textFill>
        <w14:solidFill>
          <w14:schemeClr w14:val="hlink"/>
        </w14:solidFill>
      </w14:textFill>
    </w:rPr>
  </w:style>
  <w:style w:type="character" w:styleId="41">
    <w:name w:val="footnote reference"/>
    <w:autoRedefine/>
    <w:qFormat/>
    <w:uiPriority w:val="0"/>
    <w:rPr>
      <w:vertAlign w:val="superscript"/>
    </w:rPr>
  </w:style>
  <w:style w:type="character" w:customStyle="1" w:styleId="42">
    <w:name w:val="标题 1 Char"/>
    <w:basedOn w:val="36"/>
    <w:link w:val="2"/>
    <w:qFormat/>
    <w:uiPriority w:val="0"/>
    <w:rPr>
      <w:rFonts w:eastAsia="方正小标宋简体" w:asciiTheme="minorHAnsi" w:hAnsiTheme="minorHAnsi" w:cstheme="minorBidi"/>
      <w:bCs/>
      <w:kern w:val="44"/>
      <w:sz w:val="36"/>
      <w:szCs w:val="44"/>
    </w:rPr>
  </w:style>
  <w:style w:type="character" w:customStyle="1" w:styleId="43">
    <w:name w:val="标题 2 Char"/>
    <w:basedOn w:val="36"/>
    <w:link w:val="3"/>
    <w:qFormat/>
    <w:uiPriority w:val="0"/>
    <w:rPr>
      <w:rFonts w:eastAsia="黑体" w:asciiTheme="majorHAnsi" w:hAnsiTheme="majorHAnsi" w:cstheme="majorBidi"/>
      <w:bCs/>
      <w:kern w:val="2"/>
      <w:sz w:val="32"/>
      <w:szCs w:val="32"/>
    </w:rPr>
  </w:style>
  <w:style w:type="character" w:customStyle="1" w:styleId="44">
    <w:name w:val="日期 Char"/>
    <w:basedOn w:val="36"/>
    <w:link w:val="21"/>
    <w:semiHidden/>
    <w:qFormat/>
    <w:uiPriority w:val="99"/>
  </w:style>
  <w:style w:type="paragraph" w:styleId="45">
    <w:name w:val="List Paragraph"/>
    <w:basedOn w:val="1"/>
    <w:link w:val="79"/>
    <w:qFormat/>
    <w:uiPriority w:val="34"/>
    <w:pPr>
      <w:ind w:firstLine="420" w:firstLineChars="200"/>
    </w:pPr>
  </w:style>
  <w:style w:type="character" w:customStyle="1" w:styleId="46">
    <w:name w:val="标题 3 Char"/>
    <w:basedOn w:val="36"/>
    <w:link w:val="4"/>
    <w:qFormat/>
    <w:uiPriority w:val="0"/>
    <w:rPr>
      <w:b/>
      <w:bCs/>
      <w:sz w:val="32"/>
      <w:szCs w:val="32"/>
    </w:rPr>
  </w:style>
  <w:style w:type="paragraph" w:customStyle="1" w:styleId="47">
    <w:name w:val="0-表格正文"/>
    <w:basedOn w:val="1"/>
    <w:qFormat/>
    <w:uiPriority w:val="0"/>
    <w:pPr>
      <w:widowControl/>
      <w:spacing w:line="500" w:lineRule="exact"/>
      <w:jc w:val="center"/>
    </w:pPr>
    <w:rPr>
      <w:rFonts w:eastAsia="仿宋_GB2312"/>
      <w:kern w:val="0"/>
      <w:szCs w:val="20"/>
    </w:rPr>
  </w:style>
  <w:style w:type="paragraph" w:customStyle="1" w:styleId="48">
    <w:name w:val="0-专栏标题"/>
    <w:basedOn w:val="1"/>
    <w:qFormat/>
    <w:uiPriority w:val="99"/>
    <w:pPr>
      <w:spacing w:line="420" w:lineRule="exact"/>
      <w:jc w:val="center"/>
    </w:pPr>
    <w:rPr>
      <w:rFonts w:eastAsia="黑体"/>
      <w:sz w:val="30"/>
    </w:rPr>
  </w:style>
  <w:style w:type="paragraph" w:customStyle="1" w:styleId="49">
    <w:name w:val="四级"/>
    <w:basedOn w:val="1"/>
    <w:next w:val="1"/>
    <w:link w:val="89"/>
    <w:autoRedefine/>
    <w:qFormat/>
    <w:uiPriority w:val="0"/>
    <w:pPr>
      <w:numPr>
        <w:ilvl w:val="0"/>
        <w:numId w:val="4"/>
      </w:numPr>
      <w:adjustRightInd w:val="0"/>
      <w:snapToGrid w:val="0"/>
      <w:spacing w:before="100" w:beforeLines="100" w:after="100" w:afterLines="100"/>
      <w:ind w:firstLine="0"/>
      <w:jc w:val="left"/>
      <w:outlineLvl w:val="3"/>
    </w:pPr>
    <w:rPr>
      <w:rFonts w:eastAsia="仿宋_GB2312"/>
      <w:b/>
      <w:bCs/>
      <w:sz w:val="30"/>
      <w:szCs w:val="28"/>
    </w:rPr>
  </w:style>
  <w:style w:type="paragraph" w:customStyle="1" w:styleId="50">
    <w:name w:val="文本四级"/>
    <w:basedOn w:val="49"/>
    <w:next w:val="1"/>
    <w:link w:val="107"/>
    <w:autoRedefine/>
    <w:qFormat/>
    <w:uiPriority w:val="0"/>
    <w:pPr>
      <w:ind w:hanging="1080"/>
    </w:pPr>
  </w:style>
  <w:style w:type="paragraph" w:customStyle="1" w:styleId="51">
    <w:name w:val="表格标题"/>
    <w:basedOn w:val="13"/>
    <w:qFormat/>
    <w:uiPriority w:val="0"/>
    <w:pPr>
      <w:jc w:val="center"/>
    </w:pPr>
    <w:rPr>
      <w:sz w:val="30"/>
    </w:rPr>
  </w:style>
  <w:style w:type="paragraph" w:customStyle="1" w:styleId="52">
    <w:name w:val="表格正文"/>
    <w:basedOn w:val="1"/>
    <w:autoRedefine/>
    <w:qFormat/>
    <w:uiPriority w:val="0"/>
    <w:pPr>
      <w:spacing w:line="500" w:lineRule="exact"/>
      <w:jc w:val="center"/>
    </w:pPr>
    <w:rPr>
      <w:rFonts w:ascii="仿宋_GB2312" w:eastAsia="仿宋_GB2312"/>
      <w:kern w:val="0"/>
      <w:szCs w:val="18"/>
    </w:rPr>
  </w:style>
  <w:style w:type="paragraph" w:customStyle="1" w:styleId="53">
    <w:name w:val="专栏正文"/>
    <w:basedOn w:val="1"/>
    <w:link w:val="54"/>
    <w:qFormat/>
    <w:uiPriority w:val="0"/>
    <w:pPr>
      <w:spacing w:line="500" w:lineRule="exact"/>
      <w:ind w:firstLine="200" w:firstLineChars="200"/>
    </w:pPr>
    <w:rPr>
      <w:rFonts w:ascii="仿宋" w:hAnsi="仿宋" w:eastAsia="仿宋_GB2312" w:cs="仿宋"/>
      <w:bCs/>
      <w:sz w:val="24"/>
    </w:rPr>
  </w:style>
  <w:style w:type="character" w:customStyle="1" w:styleId="54">
    <w:name w:val="专栏正文 字符"/>
    <w:basedOn w:val="36"/>
    <w:link w:val="53"/>
    <w:qFormat/>
    <w:uiPriority w:val="0"/>
    <w:rPr>
      <w:rFonts w:ascii="仿宋" w:hAnsi="仿宋" w:eastAsia="仿宋_GB2312" w:cs="仿宋"/>
      <w:bCs/>
      <w:kern w:val="2"/>
      <w:sz w:val="24"/>
      <w:szCs w:val="22"/>
    </w:rPr>
  </w:style>
  <w:style w:type="character" w:customStyle="1" w:styleId="55">
    <w:name w:val="纯文本 Char"/>
    <w:basedOn w:val="36"/>
    <w:link w:val="19"/>
    <w:qFormat/>
    <w:uiPriority w:val="0"/>
    <w:rPr>
      <w:rFonts w:ascii="宋体" w:hAnsi="Courier New" w:eastAsia="仿宋_GB2312" w:cs="Courier New"/>
      <w:kern w:val="2"/>
      <w:sz w:val="32"/>
      <w:szCs w:val="21"/>
    </w:rPr>
  </w:style>
  <w:style w:type="paragraph" w:customStyle="1" w:styleId="56">
    <w:name w:val="专栏"/>
    <w:basedOn w:val="1"/>
    <w:link w:val="57"/>
    <w:qFormat/>
    <w:uiPriority w:val="0"/>
    <w:pPr>
      <w:spacing w:line="600" w:lineRule="exact"/>
      <w:jc w:val="center"/>
    </w:pPr>
    <w:rPr>
      <w:rFonts w:ascii="黑体" w:hAnsi="黑体" w:eastAsia="黑体" w:cs="仿宋"/>
      <w:bCs/>
      <w:sz w:val="30"/>
      <w:szCs w:val="24"/>
    </w:rPr>
  </w:style>
  <w:style w:type="character" w:customStyle="1" w:styleId="57">
    <w:name w:val="专栏 字符"/>
    <w:basedOn w:val="36"/>
    <w:link w:val="56"/>
    <w:qFormat/>
    <w:uiPriority w:val="0"/>
    <w:rPr>
      <w:rFonts w:ascii="黑体" w:hAnsi="黑体" w:eastAsia="黑体" w:cs="仿宋"/>
      <w:bCs/>
      <w:kern w:val="2"/>
      <w:sz w:val="30"/>
      <w:szCs w:val="24"/>
    </w:rPr>
  </w:style>
  <w:style w:type="paragraph" w:customStyle="1" w:styleId="58">
    <w:name w:val="专栏段首主题句"/>
    <w:basedOn w:val="1"/>
    <w:link w:val="59"/>
    <w:qFormat/>
    <w:uiPriority w:val="0"/>
    <w:pPr>
      <w:spacing w:line="500" w:lineRule="exact"/>
      <w:ind w:firstLine="200" w:firstLineChars="200"/>
    </w:pPr>
    <w:rPr>
      <w:rFonts w:ascii="楷体_GB2312" w:hAnsi="仿宋_GB2312" w:eastAsia="楷体_GB2312" w:cs="Times New Roman"/>
      <w:sz w:val="24"/>
      <w:szCs w:val="24"/>
    </w:rPr>
  </w:style>
  <w:style w:type="character" w:customStyle="1" w:styleId="59">
    <w:name w:val="专栏段首主题句 字符"/>
    <w:basedOn w:val="36"/>
    <w:link w:val="58"/>
    <w:qFormat/>
    <w:uiPriority w:val="0"/>
    <w:rPr>
      <w:rFonts w:ascii="楷体_GB2312" w:hAnsi="仿宋_GB2312" w:eastAsia="楷体_GB2312"/>
      <w:kern w:val="2"/>
      <w:sz w:val="24"/>
      <w:szCs w:val="24"/>
    </w:rPr>
  </w:style>
  <w:style w:type="paragraph" w:customStyle="1" w:styleId="60">
    <w:name w:val="条"/>
    <w:basedOn w:val="1"/>
    <w:link w:val="61"/>
    <w:qFormat/>
    <w:uiPriority w:val="0"/>
    <w:pPr>
      <w:keepNext/>
      <w:keepLines/>
      <w:numPr>
        <w:ilvl w:val="0"/>
        <w:numId w:val="5"/>
      </w:numPr>
      <w:tabs>
        <w:tab w:val="left" w:pos="851"/>
      </w:tabs>
      <w:spacing w:line="600" w:lineRule="exact"/>
      <w:jc w:val="left"/>
      <w:outlineLvl w:val="2"/>
    </w:pPr>
    <w:rPr>
      <w:rFonts w:ascii="楷体_GB2312" w:hAnsi="Times New Roman" w:eastAsia="楷体_GB2312" w:cs="Times New Roman"/>
      <w:bCs/>
      <w:sz w:val="32"/>
      <w:szCs w:val="32"/>
    </w:rPr>
  </w:style>
  <w:style w:type="character" w:customStyle="1" w:styleId="61">
    <w:name w:val="条 字符"/>
    <w:basedOn w:val="36"/>
    <w:link w:val="60"/>
    <w:qFormat/>
    <w:uiPriority w:val="0"/>
    <w:rPr>
      <w:rFonts w:ascii="楷体_GB2312" w:eastAsia="楷体_GB2312"/>
      <w:bCs/>
      <w:kern w:val="2"/>
      <w:sz w:val="32"/>
      <w:szCs w:val="32"/>
    </w:rPr>
  </w:style>
  <w:style w:type="paragraph" w:customStyle="1" w:styleId="62">
    <w:name w:val="目录章"/>
    <w:basedOn w:val="1"/>
    <w:link w:val="63"/>
    <w:qFormat/>
    <w:uiPriority w:val="0"/>
    <w:pPr>
      <w:tabs>
        <w:tab w:val="right" w:leader="dot" w:pos="8306"/>
      </w:tabs>
      <w:spacing w:line="600" w:lineRule="exact"/>
      <w:jc w:val="left"/>
    </w:pPr>
    <w:rPr>
      <w:rFonts w:ascii="仿宋_GB2312" w:hAnsi="仿宋_GB2312" w:eastAsia="黑体" w:cs="仿宋_GB2312"/>
      <w:bCs/>
      <w:smallCaps/>
      <w:sz w:val="32"/>
      <w:szCs w:val="32"/>
      <w:lang w:val="zh-CN"/>
    </w:rPr>
  </w:style>
  <w:style w:type="character" w:customStyle="1" w:styleId="63">
    <w:name w:val="目录章 字符"/>
    <w:basedOn w:val="36"/>
    <w:link w:val="62"/>
    <w:qFormat/>
    <w:uiPriority w:val="0"/>
    <w:rPr>
      <w:rFonts w:ascii="仿宋_GB2312" w:hAnsi="仿宋_GB2312" w:eastAsia="黑体" w:cs="仿宋_GB2312"/>
      <w:bCs/>
      <w:smallCaps/>
      <w:kern w:val="2"/>
      <w:sz w:val="32"/>
      <w:szCs w:val="32"/>
      <w:lang w:val="zh-CN"/>
    </w:rPr>
  </w:style>
  <w:style w:type="paragraph" w:customStyle="1" w:styleId="64">
    <w:name w:val="目录节"/>
    <w:basedOn w:val="1"/>
    <w:link w:val="65"/>
    <w:qFormat/>
    <w:uiPriority w:val="0"/>
    <w:pPr>
      <w:tabs>
        <w:tab w:val="right" w:leader="dot" w:pos="8296"/>
      </w:tabs>
      <w:spacing w:line="600" w:lineRule="exact"/>
      <w:ind w:firstLine="200" w:firstLineChars="200"/>
      <w:jc w:val="left"/>
    </w:pPr>
    <w:rPr>
      <w:rFonts w:ascii="仿宋_GB2312" w:eastAsia="仿宋_GB2312"/>
      <w:sz w:val="32"/>
    </w:rPr>
  </w:style>
  <w:style w:type="character" w:customStyle="1" w:styleId="65">
    <w:name w:val="目录节 字符"/>
    <w:basedOn w:val="36"/>
    <w:link w:val="64"/>
    <w:qFormat/>
    <w:uiPriority w:val="0"/>
    <w:rPr>
      <w:rFonts w:ascii="仿宋_GB2312" w:eastAsia="仿宋_GB2312" w:hAnsiTheme="minorHAnsi" w:cstheme="minorBidi"/>
      <w:kern w:val="2"/>
      <w:sz w:val="32"/>
      <w:szCs w:val="22"/>
    </w:rPr>
  </w:style>
  <w:style w:type="paragraph" w:customStyle="1" w:styleId="66">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8">
    <w:name w:val="xl63"/>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0">
    <w:name w:val="TOC Heading"/>
    <w:basedOn w:val="2"/>
    <w:next w:val="1"/>
    <w:unhideWhenUsed/>
    <w:qFormat/>
    <w:uiPriority w:val="39"/>
    <w:pPr>
      <w:widowControl/>
      <w:numPr>
        <w:numId w:val="0"/>
      </w:numPr>
      <w:spacing w:before="24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1">
    <w:name w:val="Unresolved Mention"/>
    <w:basedOn w:val="36"/>
    <w:semiHidden/>
    <w:unhideWhenUsed/>
    <w:qFormat/>
    <w:uiPriority w:val="99"/>
    <w:rPr>
      <w:color w:val="605E5C"/>
      <w:shd w:val="clear" w:color="auto" w:fill="E1DFDD"/>
    </w:rPr>
  </w:style>
  <w:style w:type="paragraph" w:customStyle="1" w:styleId="7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4">
    <w:name w:val="列表段落1"/>
    <w:basedOn w:val="1"/>
    <w:qFormat/>
    <w:uiPriority w:val="0"/>
    <w:pPr>
      <w:spacing w:line="600" w:lineRule="exact"/>
      <w:ind w:firstLine="200" w:firstLineChars="200"/>
    </w:pPr>
    <w:rPr>
      <w:rFonts w:ascii="仿宋_GB2312" w:hAnsi="Calibri" w:eastAsia="仿宋_GB2312" w:cs="Times New Roman"/>
      <w:sz w:val="32"/>
      <w:szCs w:val="32"/>
    </w:rPr>
  </w:style>
  <w:style w:type="character" w:customStyle="1" w:styleId="75">
    <w:name w:val="页眉 Char"/>
    <w:basedOn w:val="36"/>
    <w:link w:val="24"/>
    <w:autoRedefine/>
    <w:qFormat/>
    <w:uiPriority w:val="99"/>
    <w:rPr>
      <w:rFonts w:asciiTheme="minorHAnsi" w:hAnsiTheme="minorHAnsi" w:eastAsiaTheme="minorEastAsia" w:cstheme="minorBidi"/>
      <w:kern w:val="2"/>
      <w:sz w:val="18"/>
      <w:szCs w:val="22"/>
    </w:rPr>
  </w:style>
  <w:style w:type="character" w:customStyle="1" w:styleId="76">
    <w:name w:val="页脚 Char"/>
    <w:basedOn w:val="36"/>
    <w:link w:val="23"/>
    <w:autoRedefine/>
    <w:qFormat/>
    <w:uiPriority w:val="99"/>
    <w:rPr>
      <w:rFonts w:asciiTheme="minorHAnsi" w:hAnsiTheme="minorHAnsi" w:eastAsiaTheme="minorEastAsia" w:cstheme="minorBidi"/>
      <w:kern w:val="2"/>
      <w:sz w:val="18"/>
      <w:szCs w:val="22"/>
    </w:rPr>
  </w:style>
  <w:style w:type="character" w:customStyle="1" w:styleId="77">
    <w:name w:val="正文文本缩进 Char"/>
    <w:basedOn w:val="36"/>
    <w:link w:val="16"/>
    <w:qFormat/>
    <w:uiPriority w:val="0"/>
    <w:rPr>
      <w:rFonts w:asciiTheme="minorHAnsi" w:hAnsiTheme="minorHAnsi" w:eastAsiaTheme="minorEastAsia" w:cstheme="minorBidi"/>
      <w:kern w:val="2"/>
      <w:sz w:val="21"/>
      <w:szCs w:val="22"/>
    </w:rPr>
  </w:style>
  <w:style w:type="character" w:customStyle="1" w:styleId="78">
    <w:name w:val="正文首行缩进 2 Char"/>
    <w:basedOn w:val="77"/>
    <w:link w:val="33"/>
    <w:semiHidden/>
    <w:qFormat/>
    <w:uiPriority w:val="99"/>
    <w:rPr>
      <w:rFonts w:asciiTheme="minorHAnsi" w:hAnsiTheme="minorHAnsi" w:eastAsiaTheme="minorEastAsia" w:cstheme="minorBidi"/>
      <w:kern w:val="2"/>
      <w:sz w:val="21"/>
      <w:szCs w:val="22"/>
    </w:rPr>
  </w:style>
  <w:style w:type="character" w:customStyle="1" w:styleId="79">
    <w:name w:val="列出段落 Char"/>
    <w:basedOn w:val="36"/>
    <w:link w:val="45"/>
    <w:autoRedefine/>
    <w:qFormat/>
    <w:uiPriority w:val="34"/>
    <w:rPr>
      <w:rFonts w:asciiTheme="minorHAnsi" w:hAnsiTheme="minorHAnsi" w:eastAsiaTheme="minorEastAsia" w:cstheme="minorBidi"/>
      <w:kern w:val="2"/>
      <w:sz w:val="21"/>
      <w:szCs w:val="22"/>
    </w:rPr>
  </w:style>
  <w:style w:type="character" w:customStyle="1" w:styleId="80">
    <w:name w:val="标题 4 Char"/>
    <w:basedOn w:val="36"/>
    <w:link w:val="5"/>
    <w:qFormat/>
    <w:uiPriority w:val="0"/>
    <w:rPr>
      <w:rFonts w:ascii="Arial" w:hAnsi="Arial" w:eastAsia="黑体"/>
      <w:b/>
      <w:sz w:val="32"/>
    </w:rPr>
  </w:style>
  <w:style w:type="character" w:customStyle="1" w:styleId="81">
    <w:name w:val="标题 5 Char"/>
    <w:basedOn w:val="36"/>
    <w:link w:val="7"/>
    <w:qFormat/>
    <w:uiPriority w:val="0"/>
    <w:rPr>
      <w:rFonts w:ascii="仿宋_GB2312" w:hAnsi="仿宋_GB2312" w:eastAsia="华康简宋"/>
      <w:b/>
      <w:sz w:val="32"/>
    </w:rPr>
  </w:style>
  <w:style w:type="character" w:customStyle="1" w:styleId="82">
    <w:name w:val="标题 6 Char"/>
    <w:basedOn w:val="36"/>
    <w:link w:val="8"/>
    <w:qFormat/>
    <w:uiPriority w:val="0"/>
    <w:rPr>
      <w:rFonts w:ascii="Arial" w:hAnsi="Arial" w:eastAsia="黑体"/>
      <w:b/>
      <w:sz w:val="24"/>
    </w:rPr>
  </w:style>
  <w:style w:type="character" w:customStyle="1" w:styleId="83">
    <w:name w:val="标题 7 Char"/>
    <w:basedOn w:val="36"/>
    <w:link w:val="9"/>
    <w:qFormat/>
    <w:uiPriority w:val="0"/>
    <w:rPr>
      <w:rFonts w:ascii="仿宋_GB2312" w:hAnsi="仿宋_GB2312" w:eastAsia="华康简宋"/>
      <w:b/>
      <w:sz w:val="24"/>
    </w:rPr>
  </w:style>
  <w:style w:type="character" w:customStyle="1" w:styleId="84">
    <w:name w:val="标题 8 Char"/>
    <w:basedOn w:val="36"/>
    <w:link w:val="10"/>
    <w:qFormat/>
    <w:uiPriority w:val="0"/>
    <w:rPr>
      <w:rFonts w:ascii="Arial" w:hAnsi="Arial" w:eastAsia="黑体"/>
      <w:sz w:val="24"/>
    </w:rPr>
  </w:style>
  <w:style w:type="character" w:customStyle="1" w:styleId="85">
    <w:name w:val="标题 9 Char"/>
    <w:basedOn w:val="36"/>
    <w:link w:val="11"/>
    <w:qFormat/>
    <w:uiPriority w:val="0"/>
    <w:rPr>
      <w:rFonts w:ascii="Arial" w:hAnsi="Arial" w:eastAsia="黑体"/>
      <w:sz w:val="32"/>
    </w:rPr>
  </w:style>
  <w:style w:type="character" w:customStyle="1" w:styleId="86">
    <w:name w:val="文档结构图 Char"/>
    <w:basedOn w:val="36"/>
    <w:link w:val="14"/>
    <w:qFormat/>
    <w:uiPriority w:val="0"/>
    <w:rPr>
      <w:rFonts w:ascii="宋体" w:hAnsi="仿宋_GB2312" w:eastAsia="仿宋_GB2312"/>
      <w:kern w:val="2"/>
      <w:sz w:val="18"/>
      <w:szCs w:val="18"/>
    </w:rPr>
  </w:style>
  <w:style w:type="character" w:customStyle="1" w:styleId="87">
    <w:name w:val="批注框文本 Char"/>
    <w:basedOn w:val="36"/>
    <w:link w:val="22"/>
    <w:semiHidden/>
    <w:qFormat/>
    <w:uiPriority w:val="0"/>
    <w:rPr>
      <w:rFonts w:ascii="仿宋_GB2312" w:hAnsi="仿宋_GB2312" w:eastAsia="仿宋_GB2312"/>
      <w:kern w:val="2"/>
      <w:sz w:val="18"/>
      <w:szCs w:val="18"/>
    </w:rPr>
  </w:style>
  <w:style w:type="character" w:customStyle="1" w:styleId="88">
    <w:name w:val="脚注文本 Char"/>
    <w:basedOn w:val="36"/>
    <w:link w:val="28"/>
    <w:semiHidden/>
    <w:qFormat/>
    <w:uiPriority w:val="99"/>
    <w:rPr>
      <w:rFonts w:ascii="仿宋_GB2312" w:hAnsi="仿宋_GB2312" w:eastAsia="仿宋_GB2312"/>
      <w:kern w:val="2"/>
      <w:sz w:val="18"/>
      <w:szCs w:val="18"/>
    </w:rPr>
  </w:style>
  <w:style w:type="character" w:customStyle="1" w:styleId="89">
    <w:name w:val="四级 字符"/>
    <w:basedOn w:val="36"/>
    <w:link w:val="49"/>
    <w:autoRedefine/>
    <w:qFormat/>
    <w:uiPriority w:val="0"/>
    <w:rPr>
      <w:rFonts w:eastAsia="仿宋_GB2312" w:asciiTheme="minorHAnsi" w:hAnsiTheme="minorHAnsi" w:cstheme="minorBidi"/>
      <w:b/>
      <w:bCs/>
      <w:kern w:val="2"/>
      <w:sz w:val="30"/>
      <w:szCs w:val="28"/>
    </w:rPr>
  </w:style>
  <w:style w:type="paragraph" w:customStyle="1" w:styleId="90">
    <w:name w:val="样式 小五 首行缩进:  2 字符"/>
    <w:basedOn w:val="1"/>
    <w:autoRedefine/>
    <w:qFormat/>
    <w:uiPriority w:val="0"/>
    <w:pPr>
      <w:tabs>
        <w:tab w:val="left" w:pos="353"/>
      </w:tabs>
      <w:spacing w:line="600" w:lineRule="exact"/>
      <w:ind w:firstLine="640" w:firstLineChars="200"/>
    </w:pPr>
    <w:rPr>
      <w:rFonts w:ascii="Arial" w:hAnsi="Arial" w:eastAsia="华文细黑" w:cs="宋体"/>
      <w:sz w:val="18"/>
      <w:szCs w:val="20"/>
    </w:rPr>
  </w:style>
  <w:style w:type="paragraph" w:customStyle="1" w:styleId="91">
    <w:name w:val="表格"/>
    <w:basedOn w:val="1"/>
    <w:autoRedefine/>
    <w:qFormat/>
    <w:uiPriority w:val="0"/>
    <w:pPr>
      <w:tabs>
        <w:tab w:val="left" w:pos="353"/>
      </w:tabs>
      <w:spacing w:line="600" w:lineRule="exact"/>
      <w:ind w:firstLine="640" w:firstLineChars="200"/>
      <w:jc w:val="left"/>
    </w:pPr>
    <w:rPr>
      <w:rFonts w:ascii="仿宋_GB2312" w:hAnsi="仿宋_GB2312" w:eastAsia="仿宋_GB2312" w:cs="Times New Roman"/>
      <w:sz w:val="18"/>
      <w:szCs w:val="18"/>
    </w:rPr>
  </w:style>
  <w:style w:type="paragraph" w:customStyle="1" w:styleId="92">
    <w:name w:val="默认段落字体 Para Char"/>
    <w:basedOn w:val="1"/>
    <w:autoRedefine/>
    <w:qFormat/>
    <w:uiPriority w:val="0"/>
    <w:pPr>
      <w:tabs>
        <w:tab w:val="left" w:pos="353"/>
      </w:tabs>
      <w:spacing w:line="600" w:lineRule="exact"/>
      <w:ind w:firstLine="640" w:firstLineChars="200"/>
    </w:pPr>
    <w:rPr>
      <w:rFonts w:ascii="仿宋_GB2312" w:hAnsi="仿宋_GB2312" w:eastAsia="仿宋_GB2312" w:cs="Times New Roman"/>
      <w:sz w:val="32"/>
      <w:szCs w:val="20"/>
    </w:rPr>
  </w:style>
  <w:style w:type="paragraph" w:customStyle="1" w:styleId="93">
    <w:name w:val="表格文字"/>
    <w:next w:val="1"/>
    <w:autoRedefine/>
    <w:qFormat/>
    <w:uiPriority w:val="0"/>
    <w:pPr>
      <w:spacing w:line="300" w:lineRule="atLeast"/>
      <w:jc w:val="both"/>
    </w:pPr>
    <w:rPr>
      <w:rFonts w:ascii="Times New Roman" w:hAnsi="Times New Roman" w:eastAsia="仿宋_GB2312" w:cs="Times New Roman"/>
      <w:bCs/>
      <w:sz w:val="24"/>
      <w:szCs w:val="24"/>
      <w:lang w:val="en-US" w:eastAsia="zh-CN" w:bidi="ar-SA"/>
    </w:rPr>
  </w:style>
  <w:style w:type="paragraph" w:customStyle="1" w:styleId="94">
    <w:name w:val="p0"/>
    <w:basedOn w:val="1"/>
    <w:autoRedefine/>
    <w:qFormat/>
    <w:uiPriority w:val="0"/>
    <w:pPr>
      <w:widowControl/>
      <w:tabs>
        <w:tab w:val="left" w:pos="353"/>
      </w:tabs>
      <w:spacing w:line="600" w:lineRule="exact"/>
      <w:ind w:firstLine="640" w:firstLineChars="200"/>
    </w:pPr>
    <w:rPr>
      <w:rFonts w:ascii="仿宋_GB2312" w:hAnsi="仿宋_GB2312" w:eastAsia="仿宋_GB2312" w:cs="Times New Roman"/>
      <w:kern w:val="0"/>
      <w:sz w:val="32"/>
      <w:szCs w:val="21"/>
    </w:rPr>
  </w:style>
  <w:style w:type="character" w:customStyle="1" w:styleId="95">
    <w:name w:val="Char"/>
    <w:basedOn w:val="36"/>
    <w:autoRedefine/>
    <w:qFormat/>
    <w:uiPriority w:val="0"/>
    <w:rPr>
      <w:rFonts w:ascii="Arial" w:hAnsi="Arial" w:eastAsia="华文细黑"/>
      <w:kern w:val="2"/>
      <w:sz w:val="18"/>
      <w:szCs w:val="18"/>
      <w:lang w:val="en-US" w:eastAsia="zh-CN" w:bidi="ar-SA"/>
    </w:rPr>
  </w:style>
  <w:style w:type="paragraph" w:customStyle="1" w:styleId="96">
    <w:name w:val="列出段落1"/>
    <w:basedOn w:val="1"/>
    <w:autoRedefine/>
    <w:qFormat/>
    <w:uiPriority w:val="34"/>
    <w:pPr>
      <w:tabs>
        <w:tab w:val="left" w:pos="353"/>
      </w:tabs>
      <w:spacing w:line="600" w:lineRule="exact"/>
      <w:ind w:firstLine="420" w:firstLineChars="200"/>
    </w:pPr>
    <w:rPr>
      <w:rFonts w:ascii="仿宋_GB2312" w:hAnsi="仿宋_GB2312" w:eastAsia="仿宋_GB2312" w:cs="Times New Roman"/>
      <w:sz w:val="32"/>
      <w:szCs w:val="32"/>
    </w:rPr>
  </w:style>
  <w:style w:type="paragraph" w:customStyle="1" w:styleId="97">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8">
    <w:name w:val="TOC 标题1"/>
    <w:basedOn w:val="2"/>
    <w:next w:val="1"/>
    <w:autoRedefine/>
    <w:qFormat/>
    <w:uiPriority w:val="39"/>
    <w:pPr>
      <w:pageBreakBefore/>
      <w:widowControl/>
      <w:tabs>
        <w:tab w:val="left" w:pos="353"/>
      </w:tabs>
      <w:spacing w:before="480" w:beforeLines="100" w:afterLines="100" w:line="276" w:lineRule="auto"/>
      <w:ind w:left="0" w:firstLine="0"/>
      <w:jc w:val="left"/>
      <w:outlineLvl w:val="9"/>
    </w:pPr>
    <w:rPr>
      <w:rFonts w:ascii="Cambria" w:hAnsi="Cambria" w:cs="宋体"/>
      <w:color w:val="365F91"/>
      <w:kern w:val="0"/>
      <w:sz w:val="28"/>
      <w:szCs w:val="28"/>
    </w:rPr>
  </w:style>
  <w:style w:type="paragraph" w:styleId="99">
    <w:name w:val="Quote"/>
    <w:basedOn w:val="1"/>
    <w:next w:val="1"/>
    <w:link w:val="100"/>
    <w:autoRedefine/>
    <w:qFormat/>
    <w:uiPriority w:val="29"/>
    <w:pPr>
      <w:tabs>
        <w:tab w:val="left" w:pos="353"/>
      </w:tabs>
      <w:spacing w:before="100" w:beforeAutospacing="1" w:after="100" w:afterAutospacing="1" w:line="600" w:lineRule="exact"/>
      <w:ind w:firstLine="640" w:firstLineChars="200"/>
      <w:jc w:val="left"/>
    </w:pPr>
    <w:rPr>
      <w:rFonts w:ascii="仿宋_GB2312" w:hAnsi="仿宋_GB2312" w:eastAsia="仿宋_GB2312" w:cs="Times New Roman"/>
      <w:b/>
      <w:iCs/>
      <w:color w:val="0D0D0D" w:themeColor="text1" w:themeTint="F2"/>
      <w:sz w:val="32"/>
      <w:szCs w:val="32"/>
      <w:u w:val="single"/>
      <w14:textFill>
        <w14:solidFill>
          <w14:schemeClr w14:val="tx1">
            <w14:lumMod w14:val="95000"/>
            <w14:lumOff w14:val="5000"/>
          </w14:schemeClr>
        </w14:solidFill>
      </w14:textFill>
    </w:rPr>
  </w:style>
  <w:style w:type="character" w:customStyle="1" w:styleId="100">
    <w:name w:val="引用 Char"/>
    <w:basedOn w:val="36"/>
    <w:link w:val="99"/>
    <w:qFormat/>
    <w:uiPriority w:val="29"/>
    <w:rPr>
      <w:rFonts w:ascii="仿宋_GB2312" w:hAnsi="仿宋_GB2312" w:eastAsia="仿宋_GB2312"/>
      <w:b/>
      <w:iCs/>
      <w:color w:val="0D0D0D" w:themeColor="text1" w:themeTint="F2"/>
      <w:kern w:val="2"/>
      <w:sz w:val="32"/>
      <w:szCs w:val="32"/>
      <w:u w:val="single"/>
      <w14:textFill>
        <w14:solidFill>
          <w14:schemeClr w14:val="tx1">
            <w14:lumMod w14:val="95000"/>
            <w14:lumOff w14:val="5000"/>
          </w14:schemeClr>
        </w14:solidFill>
      </w14:textFill>
    </w:rPr>
  </w:style>
  <w:style w:type="character" w:customStyle="1" w:styleId="101">
    <w:name w:val="未处理的提及1"/>
    <w:basedOn w:val="36"/>
    <w:autoRedefine/>
    <w:semiHidden/>
    <w:unhideWhenUsed/>
    <w:qFormat/>
    <w:uiPriority w:val="99"/>
    <w:rPr>
      <w:color w:val="605E5C"/>
      <w:shd w:val="clear" w:color="auto" w:fill="E1DFDD"/>
    </w:rPr>
  </w:style>
  <w:style w:type="character" w:customStyle="1" w:styleId="102">
    <w:name w:val="不明显参考1"/>
    <w:basedOn w:val="36"/>
    <w:autoRedefine/>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03">
    <w:name w:val="未处理的提及2"/>
    <w:basedOn w:val="36"/>
    <w:autoRedefine/>
    <w:semiHidden/>
    <w:unhideWhenUsed/>
    <w:qFormat/>
    <w:uiPriority w:val="99"/>
    <w:rPr>
      <w:color w:val="605E5C"/>
      <w:shd w:val="clear" w:color="auto" w:fill="E1DFDD"/>
    </w:rPr>
  </w:style>
  <w:style w:type="character" w:customStyle="1" w:styleId="104">
    <w:name w:val="未处理的提及3"/>
    <w:basedOn w:val="36"/>
    <w:autoRedefine/>
    <w:semiHidden/>
    <w:unhideWhenUsed/>
    <w:qFormat/>
    <w:uiPriority w:val="99"/>
    <w:rPr>
      <w:color w:val="605E5C"/>
      <w:shd w:val="clear" w:color="auto" w:fill="E1DFDD"/>
    </w:rPr>
  </w:style>
  <w:style w:type="paragraph" w:customStyle="1" w:styleId="105">
    <w:name w:val="Table Paragraph"/>
    <w:basedOn w:val="1"/>
    <w:autoRedefine/>
    <w:qFormat/>
    <w:uiPriority w:val="1"/>
    <w:pPr>
      <w:tabs>
        <w:tab w:val="left" w:pos="353"/>
      </w:tabs>
    </w:pPr>
    <w:rPr>
      <w:rFonts w:ascii="宋体" w:hAnsi="宋体" w:eastAsia="宋体" w:cs="宋体"/>
      <w:szCs w:val="32"/>
      <w:lang w:val="zh-CN" w:bidi="zh-CN"/>
    </w:rPr>
  </w:style>
  <w:style w:type="paragraph" w:customStyle="1" w:styleId="106">
    <w:name w:val="五级标题"/>
    <w:basedOn w:val="1"/>
    <w:next w:val="1"/>
    <w:link w:val="108"/>
    <w:autoRedefine/>
    <w:qFormat/>
    <w:uiPriority w:val="0"/>
    <w:pPr>
      <w:numPr>
        <w:ilvl w:val="0"/>
        <w:numId w:val="6"/>
      </w:numPr>
      <w:tabs>
        <w:tab w:val="left" w:pos="353"/>
      </w:tabs>
      <w:spacing w:line="600" w:lineRule="exact"/>
      <w:ind w:firstLine="0"/>
      <w:outlineLvl w:val="4"/>
    </w:pPr>
    <w:rPr>
      <w:rFonts w:eastAsia="仿宋_GB2312" w:cs="Times New Roman"/>
      <w:b/>
      <w:sz w:val="32"/>
      <w:szCs w:val="32"/>
    </w:rPr>
  </w:style>
  <w:style w:type="character" w:customStyle="1" w:styleId="107">
    <w:name w:val="文本四级 Char"/>
    <w:basedOn w:val="89"/>
    <w:link w:val="50"/>
    <w:autoRedefine/>
    <w:qFormat/>
    <w:uiPriority w:val="0"/>
    <w:rPr>
      <w:rFonts w:eastAsia="仿宋_GB2312" w:asciiTheme="minorHAnsi" w:hAnsiTheme="minorHAnsi" w:cstheme="minorBidi"/>
      <w:kern w:val="2"/>
      <w:sz w:val="30"/>
      <w:szCs w:val="28"/>
    </w:rPr>
  </w:style>
  <w:style w:type="character" w:customStyle="1" w:styleId="108">
    <w:name w:val="五级标题 字符"/>
    <w:basedOn w:val="36"/>
    <w:link w:val="106"/>
    <w:autoRedefine/>
    <w:qFormat/>
    <w:uiPriority w:val="0"/>
    <w:rPr>
      <w:rFonts w:eastAsia="仿宋_GB2312" w:asciiTheme="minorHAnsi" w:hAnsiTheme="minorHAnsi"/>
      <w:b/>
      <w:kern w:val="2"/>
      <w:sz w:val="32"/>
      <w:szCs w:val="32"/>
    </w:rPr>
  </w:style>
  <w:style w:type="paragraph" w:customStyle="1" w:styleId="109">
    <w:name w:val="文本五级"/>
    <w:basedOn w:val="106"/>
    <w:link w:val="110"/>
    <w:autoRedefine/>
    <w:qFormat/>
    <w:uiPriority w:val="0"/>
    <w:pPr>
      <w:numPr>
        <w:numId w:val="7"/>
      </w:numPr>
    </w:pPr>
    <w:rPr>
      <w:b w:val="0"/>
    </w:rPr>
  </w:style>
  <w:style w:type="character" w:customStyle="1" w:styleId="110">
    <w:name w:val="文本五级 Char"/>
    <w:basedOn w:val="108"/>
    <w:link w:val="109"/>
    <w:autoRedefine/>
    <w:qFormat/>
    <w:uiPriority w:val="0"/>
    <w:rPr>
      <w:rFonts w:eastAsia="仿宋_GB2312" w:asciiTheme="minorHAnsi" w:hAnsiTheme="minorHAnsi"/>
      <w:b w:val="0"/>
      <w:kern w:val="2"/>
      <w:sz w:val="32"/>
      <w:szCs w:val="32"/>
    </w:rPr>
  </w:style>
  <w:style w:type="paragraph" w:customStyle="1" w:styleId="111">
    <w:name w:val="三级标题"/>
    <w:basedOn w:val="4"/>
    <w:link w:val="112"/>
    <w:autoRedefine/>
    <w:qFormat/>
    <w:uiPriority w:val="0"/>
    <w:pPr>
      <w:tabs>
        <w:tab w:val="left" w:pos="353"/>
      </w:tabs>
      <w:spacing w:before="190" w:beforeLines="50" w:after="190" w:afterLines="50" w:line="480" w:lineRule="auto"/>
      <w:ind w:left="426" w:hanging="420"/>
      <w:jc w:val="left"/>
    </w:pPr>
    <w:rPr>
      <w:rFonts w:ascii="仿宋_GB2312" w:hAnsi="仿宋_GB2312" w:eastAsia="楷体_GB2312" w:cs="Times New Roman"/>
      <w:b w:val="0"/>
    </w:rPr>
  </w:style>
  <w:style w:type="character" w:customStyle="1" w:styleId="112">
    <w:name w:val="三级标题 字符"/>
    <w:basedOn w:val="36"/>
    <w:link w:val="111"/>
    <w:autoRedefine/>
    <w:qFormat/>
    <w:uiPriority w:val="0"/>
    <w:rPr>
      <w:rFonts w:ascii="仿宋_GB2312" w:hAnsi="仿宋_GB2312" w:eastAsia="楷体_GB2312"/>
      <w:bCs/>
      <w:kern w:val="2"/>
      <w:sz w:val="32"/>
      <w:szCs w:val="32"/>
    </w:rPr>
  </w:style>
  <w:style w:type="paragraph" w:customStyle="1" w:styleId="113">
    <w:name w:val="H规划文本"/>
    <w:basedOn w:val="1"/>
    <w:autoRedefine/>
    <w:qFormat/>
    <w:uiPriority w:val="0"/>
    <w:pPr>
      <w:tabs>
        <w:tab w:val="left" w:pos="353"/>
      </w:tabs>
      <w:spacing w:line="560" w:lineRule="exact"/>
      <w:ind w:firstLine="640" w:firstLineChars="200"/>
    </w:pPr>
    <w:rPr>
      <w:rFonts w:ascii="仿宋_GB2312" w:hAnsi="仿宋_GB2312" w:eastAsia="仿宋_GB2312" w:cs="Times New Roman"/>
      <w:sz w:val="32"/>
      <w:szCs w:val="28"/>
    </w:rPr>
  </w:style>
  <w:style w:type="character" w:customStyle="1" w:styleId="114">
    <w:name w:val="font11"/>
    <w:basedOn w:val="36"/>
    <w:autoRedefine/>
    <w:qFormat/>
    <w:uiPriority w:val="0"/>
    <w:rPr>
      <w:rFonts w:hint="eastAsia" w:ascii="仿宋_GB2312" w:eastAsia="仿宋_GB2312"/>
      <w:color w:val="000000"/>
      <w:sz w:val="21"/>
      <w:szCs w:val="21"/>
      <w:u w:val="none"/>
    </w:rPr>
  </w:style>
  <w:style w:type="paragraph" w:customStyle="1" w:styleId="115">
    <w:name w:val="表格表头"/>
    <w:basedOn w:val="13"/>
    <w:autoRedefine/>
    <w:qFormat/>
    <w:uiPriority w:val="0"/>
    <w:pPr>
      <w:tabs>
        <w:tab w:val="left" w:pos="353"/>
      </w:tabs>
      <w:spacing w:line="240" w:lineRule="atLeast"/>
      <w:ind w:firstLine="360"/>
      <w:jc w:val="center"/>
    </w:pPr>
    <w:rPr>
      <w:sz w:val="30"/>
    </w:rPr>
  </w:style>
  <w:style w:type="paragraph" w:customStyle="1" w:styleId="116">
    <w:name w:val="WPSOffice手动目录 1"/>
    <w:autoRedefine/>
    <w:qFormat/>
    <w:uiPriority w:val="0"/>
    <w:pPr>
      <w:spacing w:line="360" w:lineRule="auto"/>
    </w:pPr>
    <w:rPr>
      <w:rFonts w:ascii="Times New Roman" w:hAnsi="Times New Roman" w:eastAsia="仿宋" w:cs="Times New Roman"/>
      <w:sz w:val="24"/>
      <w:lang w:val="en-US" w:eastAsia="zh-CN" w:bidi="ar-SA"/>
    </w:rPr>
  </w:style>
  <w:style w:type="paragraph" w:customStyle="1" w:styleId="117">
    <w:name w:val="WPSOffice手动目录 2"/>
    <w:autoRedefine/>
    <w:qFormat/>
    <w:uiPriority w:val="0"/>
    <w:pPr>
      <w:spacing w:line="360" w:lineRule="auto"/>
      <w:ind w:left="200" w:leftChars="200"/>
    </w:pPr>
    <w:rPr>
      <w:rFonts w:ascii="Times New Roman" w:hAnsi="Times New Roman" w:eastAsia="仿宋" w:cs="Times New Roman"/>
      <w:sz w:val="24"/>
      <w:lang w:val="en-US" w:eastAsia="zh-CN" w:bidi="ar-SA"/>
    </w:rPr>
  </w:style>
  <w:style w:type="character" w:customStyle="1" w:styleId="118">
    <w:name w:val="目录 1 Char"/>
    <w:link w:val="25"/>
    <w:autoRedefine/>
    <w:qFormat/>
    <w:uiPriority w:val="39"/>
    <w:rPr>
      <w:rFonts w:asciiTheme="minorHAnsi" w:hAnsiTheme="minorHAnsi" w:eastAsiaTheme="minorEastAsia" w:cstheme="minorBidi"/>
      <w:kern w:val="2"/>
      <w:sz w:val="21"/>
      <w:szCs w:val="22"/>
    </w:rPr>
  </w:style>
  <w:style w:type="character" w:customStyle="1" w:styleId="119">
    <w:name w:val="列表段落 字符"/>
    <w:basedOn w:val="36"/>
    <w:link w:val="120"/>
    <w:autoRedefine/>
    <w:qFormat/>
    <w:uiPriority w:val="0"/>
    <w:rPr>
      <w:rFonts w:ascii="方正小标宋简体" w:hAnsi="仿宋_GB2312" w:eastAsia="仿宋_GB2312" w:cs="仿宋_GB2312"/>
      <w:sz w:val="32"/>
      <w:szCs w:val="44"/>
    </w:rPr>
  </w:style>
  <w:style w:type="paragraph" w:customStyle="1" w:styleId="120">
    <w:name w:val="msolistparagraph"/>
    <w:basedOn w:val="1"/>
    <w:link w:val="119"/>
    <w:autoRedefine/>
    <w:qFormat/>
    <w:uiPriority w:val="0"/>
    <w:pPr>
      <w:widowControl/>
      <w:numPr>
        <w:ilvl w:val="0"/>
        <w:numId w:val="8"/>
      </w:numPr>
      <w:tabs>
        <w:tab w:val="left" w:pos="353"/>
      </w:tabs>
      <w:ind w:firstLine="0"/>
      <w:jc w:val="left"/>
      <w:outlineLvl w:val="0"/>
    </w:pPr>
    <w:rPr>
      <w:rFonts w:hint="eastAsia" w:ascii="方正小标宋简体" w:hAnsi="仿宋_GB2312" w:eastAsia="仿宋_GB2312" w:cs="仿宋_GB2312"/>
      <w:kern w:val="0"/>
      <w:sz w:val="32"/>
      <w:szCs w:val="44"/>
    </w:rPr>
  </w:style>
  <w:style w:type="paragraph" w:customStyle="1" w:styleId="121">
    <w:name w:val="专栏标题"/>
    <w:basedOn w:val="1"/>
    <w:autoRedefine/>
    <w:qFormat/>
    <w:uiPriority w:val="0"/>
    <w:pPr>
      <w:tabs>
        <w:tab w:val="left" w:pos="353"/>
      </w:tabs>
      <w:spacing w:line="600" w:lineRule="exact"/>
      <w:jc w:val="center"/>
    </w:pPr>
    <w:rPr>
      <w:rFonts w:hint="eastAsia" w:ascii="仿宋" w:hAnsi="仿宋" w:eastAsia="黑体" w:cs="仿宋"/>
      <w:bCs/>
      <w:sz w:val="30"/>
      <w:szCs w:val="32"/>
    </w:rPr>
  </w:style>
  <w:style w:type="character" w:customStyle="1" w:styleId="122">
    <w:name w:val="font41"/>
    <w:basedOn w:val="36"/>
    <w:qFormat/>
    <w:uiPriority w:val="0"/>
    <w:rPr>
      <w:rFonts w:hint="eastAsia" w:ascii="宋体" w:hAnsi="宋体" w:eastAsia="宋体" w:cs="宋体"/>
      <w:color w:val="000000"/>
      <w:sz w:val="21"/>
      <w:szCs w:val="21"/>
      <w:u w:val="none"/>
    </w:rPr>
  </w:style>
  <w:style w:type="character" w:customStyle="1" w:styleId="123">
    <w:name w:val="font31"/>
    <w:basedOn w:val="36"/>
    <w:qFormat/>
    <w:uiPriority w:val="0"/>
    <w:rPr>
      <w:rFonts w:hint="eastAsia" w:ascii="仿宋" w:hAnsi="仿宋" w:eastAsia="仿宋" w:cs="仿宋"/>
      <w:color w:val="000000"/>
      <w:sz w:val="21"/>
      <w:szCs w:val="21"/>
      <w:u w:val="none"/>
    </w:rPr>
  </w:style>
  <w:style w:type="character" w:customStyle="1" w:styleId="124">
    <w:name w:val="font21"/>
    <w:basedOn w:val="36"/>
    <w:qFormat/>
    <w:uiPriority w:val="0"/>
    <w:rPr>
      <w:rFonts w:hint="eastAsia" w:ascii="仿宋_GB2312" w:eastAsia="仿宋_GB2312" w:cs="仿宋_GB2312"/>
      <w:color w:val="000000"/>
      <w:sz w:val="21"/>
      <w:szCs w:val="21"/>
      <w:u w:val="none"/>
    </w:rPr>
  </w:style>
  <w:style w:type="character" w:customStyle="1" w:styleId="125">
    <w:name w:val="段首主题句 字符"/>
    <w:basedOn w:val="54"/>
    <w:link w:val="126"/>
    <w:autoRedefine/>
    <w:qFormat/>
    <w:uiPriority w:val="0"/>
    <w:rPr>
      <w:rFonts w:ascii="仿宋" w:hAnsi="仿宋" w:eastAsia="楷体_GB2312" w:cs="仿宋"/>
      <w:kern w:val="2"/>
      <w:sz w:val="24"/>
      <w:szCs w:val="22"/>
    </w:rPr>
  </w:style>
  <w:style w:type="paragraph" w:customStyle="1" w:styleId="126">
    <w:name w:val="段首主题句"/>
    <w:basedOn w:val="53"/>
    <w:link w:val="125"/>
    <w:autoRedefine/>
    <w:qFormat/>
    <w:uiPriority w:val="0"/>
    <w:pPr>
      <w:tabs>
        <w:tab w:val="left" w:pos="353"/>
      </w:tabs>
      <w:ind w:firstLine="482"/>
    </w:pPr>
    <w:rPr>
      <w:rFonts w:hint="eastAsia" w:eastAsia="楷体_GB2312"/>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E38666-49FD-4F19-AF22-D8C77927996B}">
  <ds:schemaRefs/>
</ds:datastoreItem>
</file>

<file path=docProps/app.xml><?xml version="1.0" encoding="utf-8"?>
<Properties xmlns="http://schemas.openxmlformats.org/officeDocument/2006/extended-properties" xmlns:vt="http://schemas.openxmlformats.org/officeDocument/2006/docPropsVTypes">
  <Template>Normal.dotm</Template>
  <Pages>96</Pages>
  <Words>10006</Words>
  <Characters>10454</Characters>
  <Lines>442</Lines>
  <Paragraphs>124</Paragraphs>
  <TotalTime>12</TotalTime>
  <ScaleCrop>false</ScaleCrop>
  <LinksUpToDate>false</LinksUpToDate>
  <CharactersWithSpaces>10710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2025-05-15T10:32:00Z</dcterms:created>
  <dc:creator>dell</dc:creator>
  <cp:lastModifiedBy>第八号当铺</cp:lastModifiedBy>
  <cp:lastPrinted>2025-05-16T02:02:00Z</cp:lastPrinted>
  <dcterms:modified xsi:type="dcterms:W3CDTF">2025-09-19T04:30:56Z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98976ABBD53E46EB9FA87FA5FAF1693D_13</vt:lpwstr>
  </property>
  <property fmtid="{D5CDD505-2E9C-101B-9397-08002B2CF9AE}" pid="4" name="KSOTemplateDocerSaveRecord">
    <vt:lpwstr>eyJoZGlkIjoiOTY1MDc1YTVkYTZiMWRhZjUyNzg0N2I4MjlmZTlkODciLCJ1c2VySWQiOiIxMzEzNjY3MDIwIn0=</vt:lpwstr>
  </property>
</Properties>
</file>