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4A80">
      <w:pPr>
        <w:pStyle w:val="13"/>
        <w:tabs>
          <w:tab w:val="right" w:leader="dot" w:pos="8306"/>
        </w:tabs>
        <w:jc w:val="center"/>
        <w:rPr>
          <w:rFonts w:hint="eastAsia" w:ascii="方正小标宋_GBK" w:hAnsi="黑体" w:eastAsia="方正小标宋_GBK" w:cs="Times New Roman"/>
          <w:sz w:val="36"/>
          <w:szCs w:val="36"/>
        </w:rPr>
      </w:pPr>
      <w:bookmarkStart w:id="0" w:name="_Toc135567126"/>
      <w:bookmarkStart w:id="1" w:name="_Toc136471054"/>
      <w:bookmarkStart w:id="2" w:name="_Toc135596445"/>
      <w:bookmarkStart w:id="3" w:name="_Toc136502355"/>
      <w:bookmarkStart w:id="4" w:name="_Toc137395875"/>
      <w:bookmarkStart w:id="5" w:name="_Toc136980517"/>
      <w:bookmarkStart w:id="6" w:name="_Toc146063353"/>
      <w:bookmarkStart w:id="7" w:name="_Toc135940985"/>
      <w:bookmarkStart w:id="8" w:name="_Toc135150608"/>
      <w:bookmarkStart w:id="9" w:name="_Toc135575687"/>
      <w:bookmarkStart w:id="10" w:name="_Toc134965132"/>
      <w:bookmarkStart w:id="11" w:name="_Toc137159448"/>
      <w:r>
        <w:rPr>
          <w:rFonts w:hint="eastAsia" w:ascii="方正小标宋_GBK" w:hAnsi="黑体" w:eastAsia="方正小标宋_GBK"/>
          <w:sz w:val="36"/>
          <w:szCs w:val="36"/>
        </w:rPr>
        <w:t>目录</w:t>
      </w:r>
      <w:bookmarkEnd w:id="0"/>
      <w:bookmarkEnd w:id="1"/>
      <w:bookmarkEnd w:id="2"/>
      <w:bookmarkEnd w:id="3"/>
      <w:bookmarkEnd w:id="4"/>
      <w:bookmarkEnd w:id="5"/>
      <w:bookmarkEnd w:id="6"/>
      <w:bookmarkEnd w:id="7"/>
      <w:bookmarkEnd w:id="8"/>
      <w:bookmarkEnd w:id="9"/>
      <w:bookmarkEnd w:id="10"/>
      <w:bookmarkEnd w:id="11"/>
    </w:p>
    <w:p w14:paraId="1E2B89AA">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方正小标宋_GBK" w:hAnsi="黑体" w:eastAsia="方正小标宋_GBK" w:cs="Times New Roman"/>
          <w:sz w:val="36"/>
          <w:szCs w:val="36"/>
        </w:rPr>
        <w:fldChar w:fldCharType="begin"/>
      </w:r>
      <w:r>
        <w:rPr>
          <w:rFonts w:hint="eastAsia" w:ascii="方正小标宋_GBK" w:hAnsi="黑体" w:eastAsia="方正小标宋_GBK" w:cs="Times New Roman"/>
          <w:sz w:val="36"/>
          <w:szCs w:val="36"/>
        </w:rPr>
        <w:instrText xml:space="preserve">TOC \o "1-2" \h \u </w:instrText>
      </w:r>
      <w:r>
        <w:rPr>
          <w:rFonts w:hint="eastAsia" w:ascii="方正小标宋_GBK" w:hAnsi="黑体" w:eastAsia="方正小标宋_GBK" w:cs="Times New Roman"/>
          <w:sz w:val="36"/>
          <w:szCs w:val="36"/>
        </w:rPr>
        <w:fldChar w:fldCharType="separate"/>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_Toc32578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前言</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_Toc32578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1</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2918AD03">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_Toc12649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第一章 规划背景</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_Toc12649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3</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08B95AF4">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_Toc17541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禀赋与条件</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_Toc17541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4DEA4395">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_Toc23469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现状与问题</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_Toc23469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4</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4A98AD8">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_Toc32051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挑战与机遇</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_Toc32051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776764DA">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_Toc6743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第二章 指导思想与目标战略</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_Toc6743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9</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1CD73229">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_Toc22968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指导思想和基本原则</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_Toc22968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BEA732E">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_Toc17243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总体定位</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_Toc17243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10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FFD56AF">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_Toc2698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开发保护目标与战略</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_Toc2698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12</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DA04FC6">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_Toc30310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第三章 构建国土空间开发保护新格局</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_Toc30310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17</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0B467EB2">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_Toc17799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筑牢安全发展的空间基础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_Toc17799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17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C81715E">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_Toc23350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严格落实主体功能区布局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_Toc23350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23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4DF329A1">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_Toc8037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构建国土空间开发保护新格局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_Toc8037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24</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31D1A91">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_Toc22480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第四节 国土空间规划分区与用途管制</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_Toc22480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24</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771C2AB9">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_Toc8601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第五节 国土空间用途结构</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_Toc8601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26</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55F51136">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_Toc9556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第四章 保护生态空间，筑牢生态安全屏障</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_Toc9556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28</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40D27D15">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_Toc2129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保护生态空间，构建山清水秀的良好生态景观</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_Toc2129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28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0F07585">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_Toc8318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建设生物多样性保护网络</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_Toc8318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29</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AE8D724">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_Toc12672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增强水资源刚性约束和管控</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_Toc12672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0FD27C4">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_Toc23312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第四节 加强生态资源保护与利用</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_Toc23312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31</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F34DFDB">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_Toc19724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第五节 实施山水林田湖草沙一体化保护和系统治理</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_Toc19724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32</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40FC4A17">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_Toc23999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第五章 巩固农业空间，提标升级绿色有机农畜产品</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_Toc23999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36</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50437179">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_Toc8091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实施耕地数量、质量、生态“三位一体”保护</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_Toc8091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36</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6F4E52EF">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_Toc18012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重点拓展农畜产品生产空间</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_Toc18012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73F1AF77">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_Toc29840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强化草地资源保护利用</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_Toc29840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38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494BC46">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_Toc3136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第四节 有序实施</w:t>
      </w:r>
      <w:r>
        <w:rPr>
          <w:rFonts w:hint="eastAsia" w:ascii="仿宋_GB2312" w:hAnsi="仿宋_GB2312" w:eastAsia="仿宋_GB2312" w:cs="仿宋_GB2312"/>
          <w:smallCaps/>
          <w:sz w:val="30"/>
          <w:szCs w:val="30"/>
          <w:lang w:val="en-US" w:eastAsia="zh-CN"/>
        </w:rPr>
        <w:t>农用地</w:t>
      </w:r>
      <w:r>
        <w:rPr>
          <w:rFonts w:hint="eastAsia" w:ascii="仿宋_GB2312" w:hAnsi="仿宋_GB2312" w:eastAsia="仿宋_GB2312" w:cs="仿宋_GB2312"/>
          <w:smallCaps/>
          <w:sz w:val="30"/>
          <w:szCs w:val="30"/>
          <w:lang w:val="zh-CN" w:eastAsia="zh-CN"/>
        </w:rPr>
        <w:t>综合整治</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_Toc3136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40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6247A204">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_Toc314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第六章 优化建设空间，推进以人为本的新型城镇化</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_Toc314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42</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1C2D827D">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_Toc17752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优化镇村空间体系</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_Toc17752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42</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3B41E991">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_Toc19020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统筹优化乡村空间布局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_Toc19020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43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579C6851">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_Toc22585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引导产业空间布局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_Toc22585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47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358DD398">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_Toc26116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第四节 完善公共服务设施布局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_Toc26116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49</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FF8E404">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_Toc11299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第五节 促进城乡建设用地节约集约</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_Toc11299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51</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1FF261CC">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_Toc2229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第六节 湖东种羊场规划</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_Toc2229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626EB28">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_Toc11748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第七章 强化镇区建设，塑造倒淌河镇综合服务中心</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_Toc11748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57</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35C01A7F">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_Toc30358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空间结构</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_Toc30358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1B489B47">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_Toc30960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第二节 功能与用地布局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_Toc30960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14FBC8DC">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_Toc3325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第三节 居住与住房保障</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_Toc3325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67CCC711">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_Toc11827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第四节 公共服务设施布局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_Toc11827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64D2E473">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_Toc26221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第五节 绿地和开敞空间</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_Toc26221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59</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856BD4B">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_Toc3677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第六节 综合交通体系</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_Toc3677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60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59A95CF6">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_Toc30754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第七节 市政基础设施布局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_Toc30754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62</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945B633">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_Toc23490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第八节 综合防灾减灾</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_Toc23490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64</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E554FBB">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_Toc15622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第九节 城镇风貌引导与管控</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_Toc15622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67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C83DFA9">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_Toc26625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第十节 五线管控</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_Toc26625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68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3D5DEE69">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_Toc24875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第八章 历史文化保护与景观风貌引导</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_Toc24875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70</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36B6AD58">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_Toc5131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第一节 整体保护文化遗产，传承历史文化价值</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_Toc5131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FD3FEDB">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_Toc14915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 xml:space="preserve">第二节 </w:t>
      </w:r>
      <w:r>
        <w:rPr>
          <w:rFonts w:hint="eastAsia" w:ascii="仿宋_GB2312" w:hAnsi="仿宋_GB2312" w:eastAsia="仿宋_GB2312" w:cs="仿宋_GB2312"/>
          <w:smallCaps/>
          <w:sz w:val="30"/>
          <w:szCs w:val="30"/>
          <w:lang w:val="en-US" w:eastAsia="zh-CN"/>
        </w:rPr>
        <w:t>美丽城镇建设与</w:t>
      </w:r>
      <w:r>
        <w:rPr>
          <w:rFonts w:hint="eastAsia" w:ascii="仿宋_GB2312" w:hAnsi="仿宋_GB2312" w:eastAsia="仿宋_GB2312" w:cs="仿宋_GB2312"/>
          <w:smallCaps/>
          <w:sz w:val="30"/>
          <w:szCs w:val="30"/>
          <w:lang w:val="zh-CN" w:eastAsia="zh-CN"/>
        </w:rPr>
        <w:t>风貌引导</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_Toc14915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72</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5171F76B">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_Toc32068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第九章 强化空间统筹，保障重大基础设施建设</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_Toc32068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74</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07B03B20">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_Toc31919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第一节 优化综合（立体）交通和物流网络布局</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_Toc31919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74</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0936F4F">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_Toc10457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第二节 构建安全可靠水利基础设施网络</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_Toc10457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68ED8C84">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_Toc23057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第三节 保障国家清洁能源产业高地建设</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_Toc23057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77</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5CFFFC5B">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_Toc18036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第四节 推进绿色矿业建设</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_Toc18036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79</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1F54B290">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_Toc23958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第五节 系统布局新型基础设施</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_Toc23958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80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373E9822">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_Toc11775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第六节 构建韧性安全的综合防灾体系</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_Toc11775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83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14DB479E">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_Toc15176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第七节 保障基础设施用地</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_Toc15176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88</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51E1621E">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lang w:val="en-US" w:eastAsia="zh-CN"/>
        </w:rPr>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_Toc6165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第十章 加强区域协调，引领倒淌河发展</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_Toc6165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90</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626FB27C">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_Toc13091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第一节 加快融入国家区域协调发展战略</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_Toc13091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90</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764B07F2">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_Toc20297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第二节 引领倒淌河镇发展</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_Toc20297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91</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32CEFB90">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_Toc28115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zh-CN" w:eastAsia="zh-CN"/>
        </w:rPr>
        <w:t xml:space="preserve">第三节 </w:t>
      </w:r>
      <w:r>
        <w:rPr>
          <w:rFonts w:hint="eastAsia" w:ascii="仿宋_GB2312" w:hAnsi="仿宋_GB2312" w:eastAsia="仿宋_GB2312" w:cs="仿宋_GB2312"/>
          <w:smallCaps/>
          <w:sz w:val="30"/>
          <w:szCs w:val="30"/>
          <w:lang w:val="en-US" w:eastAsia="zh-CN"/>
        </w:rPr>
        <w:t>辐射带动周边城镇保护与发展</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_Toc28115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91</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BF69174">
      <w:pPr>
        <w:pStyle w:val="13"/>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pP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HYPERLINK \l _Toc18552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第十一章 完善体制机制，高质量做好规划实施保障</w:t>
      </w:r>
      <w:r>
        <w:rPr>
          <w:rFonts w:hint="eastAsia" w:ascii="黑体" w:hAnsi="黑体" w:eastAsia="黑体" w:cs="黑体"/>
          <w:b w:val="0"/>
          <w:bCs w:val="0"/>
          <w:caps/>
          <w:sz w:val="30"/>
          <w:szCs w:val="30"/>
          <w:lang w:val="en-US" w:eastAsia="zh-CN"/>
        </w:rPr>
        <w:tab/>
      </w:r>
      <w:r>
        <w:rPr>
          <w:rFonts w:hint="eastAsia" w:ascii="黑体" w:hAnsi="黑体" w:eastAsia="黑体" w:cs="黑体"/>
          <w:b w:val="0"/>
          <w:bCs w:val="0"/>
          <w:caps/>
          <w:sz w:val="30"/>
          <w:szCs w:val="30"/>
          <w:lang w:val="en-US" w:eastAsia="zh-CN"/>
        </w:rPr>
        <w:fldChar w:fldCharType="begin"/>
      </w:r>
      <w:r>
        <w:rPr>
          <w:rFonts w:hint="eastAsia" w:ascii="黑体" w:hAnsi="黑体" w:eastAsia="黑体" w:cs="黑体"/>
          <w:b w:val="0"/>
          <w:bCs w:val="0"/>
          <w:caps/>
          <w:sz w:val="30"/>
          <w:szCs w:val="30"/>
          <w:lang w:val="en-US" w:eastAsia="zh-CN"/>
        </w:rPr>
        <w:instrText xml:space="preserve"> PAGEREF _Toc18552 \h </w:instrText>
      </w:r>
      <w:r>
        <w:rPr>
          <w:rFonts w:hint="eastAsia" w:ascii="黑体" w:hAnsi="黑体" w:eastAsia="黑体" w:cs="黑体"/>
          <w:b w:val="0"/>
          <w:bCs w:val="0"/>
          <w:caps/>
          <w:sz w:val="30"/>
          <w:szCs w:val="30"/>
          <w:lang w:val="en-US" w:eastAsia="zh-CN"/>
        </w:rPr>
        <w:fldChar w:fldCharType="separate"/>
      </w:r>
      <w:r>
        <w:rPr>
          <w:rFonts w:hint="eastAsia" w:ascii="黑体" w:hAnsi="黑体" w:eastAsia="黑体" w:cs="黑体"/>
          <w:b w:val="0"/>
          <w:bCs w:val="0"/>
          <w:caps/>
          <w:sz w:val="30"/>
          <w:szCs w:val="30"/>
          <w:lang w:val="en-US" w:eastAsia="zh-CN"/>
        </w:rPr>
        <w:t>93</w:t>
      </w:r>
      <w:r>
        <w:rPr>
          <w:rFonts w:hint="eastAsia" w:ascii="黑体" w:hAnsi="黑体" w:eastAsia="黑体" w:cs="黑体"/>
          <w:b w:val="0"/>
          <w:bCs w:val="0"/>
          <w:caps/>
          <w:sz w:val="30"/>
          <w:szCs w:val="30"/>
          <w:lang w:val="en-US" w:eastAsia="zh-CN"/>
        </w:rPr>
        <w:fldChar w:fldCharType="end"/>
      </w:r>
      <w:r>
        <w:rPr>
          <w:rFonts w:hint="eastAsia" w:ascii="黑体" w:hAnsi="黑体" w:eastAsia="黑体" w:cs="黑体"/>
          <w:b w:val="0"/>
          <w:bCs w:val="0"/>
          <w:caps/>
          <w:sz w:val="30"/>
          <w:szCs w:val="30"/>
          <w:lang w:val="en-US" w:eastAsia="zh-CN"/>
        </w:rPr>
        <w:fldChar w:fldCharType="end"/>
      </w:r>
    </w:p>
    <w:p w14:paraId="7C955872">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_Toc10291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第一节 加强党的领导</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_Toc10291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7FCF46F3">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_Toc17075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第二节 健全配套政策</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_Toc17075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93</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3C6693DB">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_Toc27664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第三节 强化规划传导与用途管制</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_Toc27664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94</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2A1918B8">
      <w:pPr>
        <w:pStyle w:val="14"/>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lang w:val="en-US" w:eastAsia="zh-CN"/>
        </w:rPr>
      </w:pP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HYPERLINK \l _Toc21391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第四节 近期安排</w:t>
      </w:r>
      <w:r>
        <w:rPr>
          <w:rFonts w:hint="eastAsia" w:ascii="仿宋_GB2312" w:hAnsi="仿宋_GB2312" w:eastAsia="仿宋_GB2312" w:cs="仿宋_GB2312"/>
          <w:smallCaps/>
          <w:sz w:val="30"/>
          <w:szCs w:val="30"/>
          <w:lang w:val="en-US" w:eastAsia="zh-CN"/>
        </w:rPr>
        <w:tab/>
      </w:r>
      <w:r>
        <w:rPr>
          <w:rFonts w:hint="eastAsia" w:ascii="仿宋_GB2312" w:hAnsi="仿宋_GB2312" w:eastAsia="仿宋_GB2312" w:cs="仿宋_GB2312"/>
          <w:smallCaps/>
          <w:sz w:val="30"/>
          <w:szCs w:val="30"/>
          <w:lang w:val="en-US" w:eastAsia="zh-CN"/>
        </w:rPr>
        <w:fldChar w:fldCharType="begin"/>
      </w:r>
      <w:r>
        <w:rPr>
          <w:rFonts w:hint="eastAsia" w:ascii="仿宋_GB2312" w:hAnsi="仿宋_GB2312" w:eastAsia="仿宋_GB2312" w:cs="仿宋_GB2312"/>
          <w:smallCaps/>
          <w:sz w:val="30"/>
          <w:szCs w:val="30"/>
          <w:lang w:val="en-US" w:eastAsia="zh-CN"/>
        </w:rPr>
        <w:instrText xml:space="preserve"> PAGEREF _Toc21391 \h </w:instrText>
      </w:r>
      <w:r>
        <w:rPr>
          <w:rFonts w:hint="eastAsia" w:ascii="仿宋_GB2312" w:hAnsi="仿宋_GB2312" w:eastAsia="仿宋_GB2312" w:cs="仿宋_GB2312"/>
          <w:smallCaps/>
          <w:sz w:val="30"/>
          <w:szCs w:val="30"/>
          <w:lang w:val="en-US" w:eastAsia="zh-CN"/>
        </w:rPr>
        <w:fldChar w:fldCharType="separate"/>
      </w:r>
      <w:r>
        <w:rPr>
          <w:rFonts w:hint="eastAsia" w:ascii="仿宋_GB2312" w:hAnsi="仿宋_GB2312" w:eastAsia="仿宋_GB2312" w:cs="仿宋_GB2312"/>
          <w:smallCaps/>
          <w:sz w:val="30"/>
          <w:szCs w:val="30"/>
          <w:lang w:val="en-US" w:eastAsia="zh-CN"/>
        </w:rPr>
        <w:t>95</w:t>
      </w:r>
      <w:r>
        <w:rPr>
          <w:rFonts w:hint="eastAsia" w:ascii="仿宋_GB2312" w:hAnsi="仿宋_GB2312" w:eastAsia="仿宋_GB2312" w:cs="仿宋_GB2312"/>
          <w:smallCaps/>
          <w:sz w:val="30"/>
          <w:szCs w:val="30"/>
          <w:lang w:val="en-US" w:eastAsia="zh-CN"/>
        </w:rPr>
        <w:fldChar w:fldCharType="end"/>
      </w:r>
      <w:r>
        <w:rPr>
          <w:rFonts w:hint="eastAsia" w:ascii="仿宋_GB2312" w:hAnsi="仿宋_GB2312" w:eastAsia="仿宋_GB2312" w:cs="仿宋_GB2312"/>
          <w:smallCaps/>
          <w:sz w:val="30"/>
          <w:szCs w:val="30"/>
          <w:lang w:val="en-US" w:eastAsia="zh-CN"/>
        </w:rPr>
        <w:fldChar w:fldCharType="end"/>
      </w:r>
    </w:p>
    <w:p w14:paraId="0DEE9E0F">
      <w:pPr>
        <w:tabs>
          <w:tab w:val="left" w:pos="353"/>
        </w:tabs>
        <w:spacing w:before="312" w:beforeLines="100" w:after="312" w:afterLines="100" w:line="520" w:lineRule="exact"/>
        <w:ind w:firstLine="0" w:firstLineChars="0"/>
        <w:jc w:val="center"/>
        <w:outlineLvl w:val="9"/>
        <w:rPr>
          <w:rFonts w:hint="eastAsia" w:ascii="方正小标宋_GBK" w:hAnsi="黑体" w:eastAsia="方正小标宋_GBK" w:cs="Times New Roman"/>
          <w:szCs w:val="36"/>
        </w:rPr>
      </w:pPr>
      <w:r>
        <w:rPr>
          <w:rFonts w:hint="eastAsia" w:ascii="方正小标宋_GBK" w:hAnsi="黑体" w:eastAsia="方正小标宋_GBK" w:cs="Times New Roman"/>
          <w:szCs w:val="36"/>
        </w:rPr>
        <w:fldChar w:fldCharType="end"/>
      </w:r>
      <w:bookmarkStart w:id="96" w:name="_GoBack"/>
      <w:bookmarkEnd w:id="96"/>
    </w:p>
    <w:p w14:paraId="4F71DD96">
      <w:pPr>
        <w:tabs>
          <w:tab w:val="left" w:pos="353"/>
        </w:tabs>
        <w:spacing w:before="312" w:beforeLines="100" w:after="312" w:afterLines="100" w:line="520" w:lineRule="exact"/>
        <w:ind w:firstLine="0" w:firstLineChars="0"/>
        <w:jc w:val="center"/>
        <w:outlineLvl w:val="0"/>
        <w:rPr>
          <w:rFonts w:hint="eastAsia" w:ascii="方正小标宋_GBK" w:hAnsi="黑体" w:eastAsia="方正小标宋_GBK" w:cs="Times New Roman"/>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14:paraId="469AEE4A">
      <w:pPr>
        <w:tabs>
          <w:tab w:val="left" w:pos="353"/>
        </w:tabs>
        <w:spacing w:before="312" w:beforeLines="100" w:after="312" w:afterLines="100" w:line="520" w:lineRule="exact"/>
        <w:ind w:firstLine="0" w:firstLineChars="0"/>
        <w:jc w:val="center"/>
        <w:outlineLvl w:val="0"/>
        <w:rPr>
          <w:rFonts w:hint="eastAsia" w:ascii="方正小标宋_GBK" w:hAnsi="黑体" w:eastAsia="方正小标宋_GBK" w:cs="Times New Roman"/>
          <w:sz w:val="36"/>
          <w:szCs w:val="36"/>
        </w:rPr>
      </w:pPr>
      <w:bookmarkStart w:id="12" w:name="_Toc32578"/>
      <w:r>
        <w:rPr>
          <w:rFonts w:hint="eastAsia" w:ascii="方正小标宋_GBK" w:hAnsi="黑体" w:eastAsia="方正小标宋_GBK" w:cs="Times New Roman"/>
          <w:sz w:val="36"/>
          <w:szCs w:val="36"/>
        </w:rPr>
        <w:t>前言</w:t>
      </w:r>
      <w:bookmarkEnd w:id="12"/>
    </w:p>
    <w:p w14:paraId="4F62C9BA">
      <w:pPr>
        <w:tabs>
          <w:tab w:val="left" w:pos="353"/>
        </w:tabs>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倒淌河镇地处青藏高原东北缘，三县交界，是进藏咽喉，环湖生态文旅城镇发展轴与玉共城镇发展轴十字交点，是进入青南牧区和西藏的交通要冲，有着“藏区门户”和“进藏咽喉”之美誉。</w:t>
      </w:r>
    </w:p>
    <w:p w14:paraId="0FB2AA9C">
      <w:pPr>
        <w:tabs>
          <w:tab w:val="left" w:pos="353"/>
        </w:tabs>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以习近平新时代中国特色社会主义思想为指导，立足青海“三个最大”省情定位、“三个更加重要”战略地位，推进“三个先行区”建设，科学把握新发展阶段、深入贯彻新发展理念、加快构建新发展格局，推进青藏高原生态保护和高质量发展，落实全省建设“六个现代化新青海”奋斗目标、着力打造生态文明高地、着力构建产业“四地”的要求，围绕建设国家可持续发展议程创新示范区、打造泛共和盆地绿色发展新增长极、紧抓区域发展重大战略机遇，守护好“碧波荡漾青海湖”。按照《中共中央 国务院关于建立国土空间规划体系并监督实施的若干意见》（中发〔2019〕18 号）、《自然资源部关于全面开展国土空间规划工作的通知》（自然资发〔2019〕87 号）以及青海省《关于建立全省国土空间规划体系并监督实施的意见》（青办发〔2020〕13 号）等相关政策，构建共和县“两级三类”国土空间规划体系，编制《共和县倒淌河镇国土空间总体规划（2021-2035年）》（以下简称《规划》）。</w:t>
      </w:r>
    </w:p>
    <w:p w14:paraId="60FDDD12">
      <w:pPr>
        <w:tabs>
          <w:tab w:val="left" w:pos="353"/>
        </w:tabs>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规划》是对《海南藏族自治州国土空间总体规划（2021-2035年）》和《共和县国土空间总体规划（2021-2035年）》的落实和细化，是统筹全镇国土空间保护、开发、利用、修复作出的具体安排和部署，是各层次空间规划的编制依据，是开展各类开发保护建设活动、实施国土空间用途管制的基本依据。</w:t>
      </w:r>
    </w:p>
    <w:p w14:paraId="01FDA53C">
      <w:pPr>
        <w:tabs>
          <w:tab w:val="left" w:pos="353"/>
        </w:tabs>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本规划范围涉及镇域和镇区两个层次。镇域规划范围为倒淌河镇行政辖区内范围，统筹全域全要素规划管理，对国土空间开发保护做出的具体部署，对县级国土空间规划细化落实；镇区范围为北至倒淌河、南至南环路、东至倒淌河收费站、西至哈乙亥路西侧，面积79.92公顷，重点细化土地使用和空间布局，侧重功能完善和结构优化；镇域与镇区要落实重要管控要素的系统传导和衔接。规划基期为2020年，规划期限为2021-2035年，近期到2025年，远景展望到2050年。</w:t>
      </w:r>
    </w:p>
    <w:p w14:paraId="712D547D">
      <w:pPr>
        <w:tabs>
          <w:tab w:val="left" w:pos="353"/>
        </w:tabs>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文本中加下划线的内容以及附表中约束性指标为规划的强制性内容。本规划自海南州人民政府批复之日起生效，由倒淌河镇人民政府组织实施，任何单位和个人不得违反和擅自修改。因国家重大战略调整、重大项目建设或者行政区划调整等确需修改本规划的，须按照法定程序进行修改。</w:t>
      </w:r>
    </w:p>
    <w:p w14:paraId="252B31A3">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13" w:name="_Toc12649"/>
      <w:r>
        <w:rPr>
          <w:rFonts w:hint="eastAsia" w:ascii="Times New Roman" w:hAnsi="Times New Roman" w:eastAsia="方正小标宋简体" w:cs="Times New Roman"/>
          <w:b w:val="0"/>
          <w:bCs w:val="0"/>
          <w:sz w:val="36"/>
          <w:szCs w:val="36"/>
        </w:rPr>
        <w:t>规划背景</w:t>
      </w:r>
      <w:bookmarkEnd w:id="13"/>
    </w:p>
    <w:p w14:paraId="7188EBB6">
      <w:pPr>
        <w:pStyle w:val="3"/>
        <w:keepNext/>
        <w:keepLines/>
        <w:pageBreakBefore w:val="0"/>
        <w:widowControl w:val="0"/>
        <w:numPr>
          <w:ilvl w:val="1"/>
          <w:numId w:val="3"/>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14" w:name="_Toc17541"/>
      <w:r>
        <w:rPr>
          <w:rFonts w:hint="eastAsia" w:ascii="Arial" w:hAnsi="Arial" w:eastAsia="黑体" w:cs="Times New Roman"/>
          <w:b w:val="0"/>
          <w:lang w:val="zh-CN"/>
        </w:rPr>
        <w:t>禀赋与条件</w:t>
      </w:r>
      <w:bookmarkEnd w:id="14"/>
    </w:p>
    <w:p w14:paraId="5BA1AF2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基本情况</w:t>
      </w:r>
    </w:p>
    <w:p w14:paraId="057DE8B0">
      <w:pPr>
        <w:keepNext w:val="0"/>
        <w:keepLines w:val="0"/>
        <w:pageBreakBefore w:val="0"/>
        <w:widowControl w:val="0"/>
        <w:kinsoku/>
        <w:wordWrap/>
        <w:overflowPunct/>
        <w:topLinePunct w:val="0"/>
        <w:autoSpaceDE/>
        <w:autoSpaceDN/>
        <w:bidi w:val="0"/>
        <w:adjustRightInd/>
        <w:snapToGrid/>
        <w:spacing w:after="120" w:line="600" w:lineRule="exact"/>
        <w:ind w:firstLine="640" w:firstLineChars="200"/>
        <w:textAlignment w:val="auto"/>
        <w:rPr>
          <w:rFonts w:hint="eastAsia" w:ascii="仿宋_GB2312" w:hAnsi="仿宋_GB2312" w:eastAsia="仿宋_GB2312" w:cs="仿宋_GB2312"/>
          <w:bCs/>
          <w:kern w:val="2"/>
          <w:sz w:val="32"/>
          <w:szCs w:val="24"/>
          <w:lang w:val="en-US" w:eastAsia="zh-CN" w:bidi="ar-SA"/>
        </w:rPr>
      </w:pPr>
      <w:r>
        <w:rPr>
          <w:rFonts w:hint="eastAsia" w:ascii="楷体_GB2312" w:hAnsi="楷体_GB2312" w:eastAsia="楷体_GB2312" w:cs="楷体_GB2312"/>
          <w:bCs/>
          <w:kern w:val="2"/>
          <w:sz w:val="32"/>
          <w:szCs w:val="24"/>
          <w:lang w:val="en-US" w:eastAsia="zh-CN" w:bidi="ar-SA"/>
        </w:rPr>
        <w:t>山地峡谷相间格局清晰。</w:t>
      </w:r>
      <w:r>
        <w:rPr>
          <w:rFonts w:hint="eastAsia" w:ascii="仿宋_GB2312" w:hAnsi="仿宋_GB2312" w:eastAsia="仿宋_GB2312" w:cs="仿宋_GB2312"/>
          <w:bCs/>
          <w:kern w:val="2"/>
          <w:sz w:val="32"/>
          <w:szCs w:val="24"/>
          <w:lang w:val="en-US" w:eastAsia="zh-CN" w:bidi="ar-SA"/>
        </w:rPr>
        <w:t>倒淌河镇位于青海湖东缘，境内有东西向的青海南山，西北至东南向的日月山、野牛山、青阳山，西临青海湖，形成三面环山，一面临水的湖滨倾斜草原，整体地势呈现东北、西南高中部低的形态，海拔最高点为日月山，海拔4882米。</w:t>
      </w:r>
    </w:p>
    <w:p w14:paraId="2A23DA3F">
      <w:pPr>
        <w:keepNext w:val="0"/>
        <w:keepLines w:val="0"/>
        <w:pageBreakBefore w:val="0"/>
        <w:widowControl w:val="0"/>
        <w:kinsoku/>
        <w:wordWrap/>
        <w:overflowPunct/>
        <w:topLinePunct w:val="0"/>
        <w:autoSpaceDE/>
        <w:autoSpaceDN/>
        <w:bidi w:val="0"/>
        <w:adjustRightInd/>
        <w:snapToGrid/>
        <w:spacing w:after="120" w:line="600" w:lineRule="exact"/>
        <w:ind w:firstLine="640" w:firstLineChars="200"/>
        <w:textAlignment w:val="auto"/>
        <w:rPr>
          <w:rFonts w:hint="eastAsia" w:ascii="仿宋_GB2312" w:hAnsi="仿宋_GB2312" w:eastAsia="仿宋_GB2312" w:cs="仿宋_GB2312"/>
          <w:bCs/>
          <w:kern w:val="2"/>
          <w:sz w:val="32"/>
          <w:szCs w:val="24"/>
          <w:lang w:val="en-US" w:eastAsia="zh-CN" w:bidi="ar-SA"/>
        </w:rPr>
      </w:pPr>
      <w:r>
        <w:rPr>
          <w:rFonts w:hint="eastAsia" w:ascii="楷体_GB2312" w:hAnsi="楷体_GB2312" w:eastAsia="楷体_GB2312" w:cs="楷体_GB2312"/>
          <w:bCs/>
          <w:kern w:val="2"/>
          <w:sz w:val="32"/>
          <w:szCs w:val="24"/>
          <w:lang w:val="en-US" w:eastAsia="zh-CN" w:bidi="ar-SA"/>
        </w:rPr>
        <w:t>生态本底良好，生态重要性突出。</w:t>
      </w:r>
      <w:r>
        <w:rPr>
          <w:rFonts w:hint="eastAsia" w:ascii="仿宋_GB2312" w:hAnsi="仿宋_GB2312" w:eastAsia="仿宋_GB2312" w:cs="仿宋_GB2312"/>
          <w:bCs/>
          <w:kern w:val="2"/>
          <w:sz w:val="32"/>
          <w:szCs w:val="24"/>
          <w:lang w:val="en-US" w:eastAsia="zh-CN" w:bidi="ar-SA"/>
        </w:rPr>
        <w:t>镇域范围内山水林田湖草资源齐备，生态环境良好。西部青海湖是我国内陆最大的咸水湖，是全国重要的生态及物种多样性保护区域。</w:t>
      </w:r>
    </w:p>
    <w:p w14:paraId="13A2EDB7">
      <w:pPr>
        <w:keepNext w:val="0"/>
        <w:keepLines w:val="0"/>
        <w:pageBreakBefore w:val="0"/>
        <w:widowControl w:val="0"/>
        <w:kinsoku/>
        <w:wordWrap/>
        <w:overflowPunct/>
        <w:topLinePunct w:val="0"/>
        <w:autoSpaceDE/>
        <w:autoSpaceDN/>
        <w:bidi w:val="0"/>
        <w:adjustRightInd/>
        <w:snapToGrid/>
        <w:spacing w:after="120" w:line="600" w:lineRule="exact"/>
        <w:ind w:firstLine="640" w:firstLineChars="200"/>
        <w:textAlignment w:val="auto"/>
        <w:rPr>
          <w:rFonts w:hint="eastAsia" w:ascii="仿宋_GB2312" w:hAnsi="仿宋_GB2312" w:eastAsia="仿宋_GB2312" w:cs="仿宋_GB2312"/>
          <w:bCs/>
          <w:kern w:val="2"/>
          <w:sz w:val="32"/>
          <w:szCs w:val="24"/>
          <w:lang w:val="en-US" w:eastAsia="zh-CN" w:bidi="ar-SA"/>
        </w:rPr>
      </w:pPr>
      <w:r>
        <w:rPr>
          <w:rFonts w:hint="eastAsia" w:ascii="楷体_GB2312" w:hAnsi="楷体_GB2312" w:eastAsia="楷体_GB2312" w:cs="楷体_GB2312"/>
          <w:bCs/>
          <w:kern w:val="2"/>
          <w:sz w:val="32"/>
          <w:szCs w:val="24"/>
          <w:lang w:val="en-US" w:eastAsia="zh-CN" w:bidi="ar-SA"/>
        </w:rPr>
        <w:t>历史文化资源丰富，人文底蕴深厚。</w:t>
      </w:r>
      <w:r>
        <w:rPr>
          <w:rFonts w:hint="eastAsia" w:ascii="仿宋_GB2312" w:hAnsi="仿宋_GB2312" w:eastAsia="仿宋_GB2312" w:cs="仿宋_GB2312"/>
          <w:bCs/>
          <w:kern w:val="2"/>
          <w:sz w:val="32"/>
          <w:szCs w:val="24"/>
          <w:lang w:val="en-US" w:eastAsia="zh-CN" w:bidi="ar-SA"/>
        </w:rPr>
        <w:t>文化底蕴厚，拥有唐蕃古道、黑古城、察汉城、将军庙、应龙城、那亥烈遗址等重要遗址遗迹，是唐蕃文化的重要展示区域，境内多民族融合，民俗文化多样。</w:t>
      </w:r>
    </w:p>
    <w:p w14:paraId="1DF80598">
      <w:pPr>
        <w:keepNext w:val="0"/>
        <w:keepLines w:val="0"/>
        <w:pageBreakBefore w:val="0"/>
        <w:widowControl w:val="0"/>
        <w:kinsoku/>
        <w:wordWrap/>
        <w:overflowPunct/>
        <w:topLinePunct w:val="0"/>
        <w:autoSpaceDE/>
        <w:autoSpaceDN/>
        <w:bidi w:val="0"/>
        <w:adjustRightInd/>
        <w:snapToGrid/>
        <w:spacing w:after="120" w:line="600" w:lineRule="exact"/>
        <w:ind w:firstLine="640" w:firstLineChars="200"/>
        <w:textAlignment w:val="auto"/>
        <w:rPr>
          <w:rFonts w:hint="eastAsia" w:ascii="仿宋_GB2312" w:hAnsi="仿宋_GB2312" w:eastAsia="仿宋_GB2312" w:cs="仿宋_GB2312"/>
          <w:bCs/>
          <w:kern w:val="2"/>
          <w:sz w:val="32"/>
          <w:szCs w:val="24"/>
          <w:lang w:val="en-US" w:eastAsia="zh-CN" w:bidi="ar-SA"/>
        </w:rPr>
      </w:pPr>
      <w:r>
        <w:rPr>
          <w:rFonts w:hint="eastAsia" w:ascii="楷体_GB2312" w:hAnsi="楷体_GB2312" w:eastAsia="楷体_GB2312" w:cs="楷体_GB2312"/>
          <w:bCs/>
          <w:kern w:val="2"/>
          <w:sz w:val="32"/>
          <w:szCs w:val="24"/>
          <w:lang w:val="en-US" w:eastAsia="zh-CN" w:bidi="ar-SA"/>
        </w:rPr>
        <w:t>区位优势显著。</w:t>
      </w:r>
      <w:r>
        <w:rPr>
          <w:rFonts w:hint="eastAsia" w:ascii="仿宋_GB2312" w:hAnsi="仿宋_GB2312" w:eastAsia="仿宋_GB2312" w:cs="仿宋_GB2312"/>
          <w:bCs/>
          <w:kern w:val="2"/>
          <w:sz w:val="32"/>
          <w:szCs w:val="24"/>
          <w:lang w:val="en-US" w:eastAsia="zh-CN" w:bidi="ar-SA"/>
        </w:rPr>
        <w:t>地处三县交界，进藏咽喉，环湖生态文旅城镇发展轴与玉共城镇发展轴十字交点，是进入青南牧区和西藏的交通要冲，有着“藏区门户”和“进藏咽喉”之美誉。镇域内过境道路主要是214国道和青海湖旅游专线，另有G6京藏高速通过，是倒淌河镇对外联系的主要交通。</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29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96" w:type="dxa"/>
            <w:tcBorders>
              <w:top w:val="single" w:color="auto" w:sz="4" w:space="0"/>
              <w:left w:val="single" w:color="auto" w:sz="4" w:space="0"/>
              <w:bottom w:val="single" w:color="auto" w:sz="4" w:space="0"/>
              <w:right w:val="single" w:color="auto" w:sz="4" w:space="0"/>
            </w:tcBorders>
          </w:tcPr>
          <w:p w14:paraId="3A2F4A10">
            <w:pPr>
              <w:tabs>
                <w:tab w:val="left" w:pos="353"/>
              </w:tabs>
              <w:spacing w:line="600" w:lineRule="exact"/>
              <w:ind w:firstLine="21" w:firstLineChars="7"/>
              <w:jc w:val="center"/>
              <w:rPr>
                <w:rFonts w:ascii="黑体" w:hAnsi="黑体" w:eastAsia="黑体" w:cs="Times New Roman"/>
                <w:sz w:val="30"/>
                <w:szCs w:val="30"/>
              </w:rPr>
            </w:pPr>
            <w:r>
              <w:rPr>
                <w:rFonts w:hint="eastAsia" w:ascii="黑体" w:hAnsi="黑体" w:eastAsia="黑体" w:cs="Times New Roman"/>
                <w:sz w:val="30"/>
                <w:szCs w:val="30"/>
              </w:rPr>
              <w:t>专栏</w:t>
            </w:r>
            <w:r>
              <w:rPr>
                <w:rFonts w:ascii="黑体" w:hAnsi="黑体" w:eastAsia="黑体" w:cs="Times New Roman"/>
                <w:sz w:val="30"/>
                <w:szCs w:val="30"/>
              </w:rPr>
              <w:t xml:space="preserve">1 </w:t>
            </w:r>
            <w:r>
              <w:rPr>
                <w:rFonts w:hint="eastAsia" w:ascii="黑体" w:hAnsi="黑体" w:eastAsia="黑体" w:cs="Times New Roman"/>
                <w:sz w:val="30"/>
                <w:szCs w:val="30"/>
              </w:rPr>
              <w:t>主要自然资源总体状况</w:t>
            </w:r>
          </w:p>
        </w:tc>
      </w:tr>
      <w:tr w14:paraId="6F16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96" w:type="dxa"/>
            <w:tcBorders>
              <w:top w:val="single" w:color="auto" w:sz="4" w:space="0"/>
              <w:left w:val="single" w:color="auto" w:sz="4" w:space="0"/>
              <w:bottom w:val="single" w:color="auto" w:sz="4" w:space="0"/>
              <w:right w:val="single" w:color="auto" w:sz="4" w:space="0"/>
            </w:tcBorders>
          </w:tcPr>
          <w:p w14:paraId="307E7B6A">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ascii="楷体_GB2312" w:hAnsi="仿宋_GB2312" w:eastAsia="楷体_GB2312" w:cs="Times New Roman"/>
                <w:kern w:val="2"/>
                <w:sz w:val="24"/>
                <w:szCs w:val="24"/>
                <w:lang w:val="en-US" w:eastAsia="zh-CN" w:bidi="ar-SA"/>
              </w:rPr>
            </w:pPr>
            <w:r>
              <w:rPr>
                <w:rFonts w:hint="eastAsia" w:ascii="楷体_GB2312" w:hAnsi="仿宋_GB2312" w:eastAsia="楷体_GB2312" w:cs="Times New Roman"/>
                <w:kern w:val="2"/>
                <w:sz w:val="24"/>
                <w:szCs w:val="24"/>
                <w:lang w:val="en-US" w:eastAsia="zh-CN" w:bidi="ar-SA"/>
              </w:rPr>
              <w:t>土地资源。</w:t>
            </w:r>
            <w:r>
              <w:rPr>
                <w:rFonts w:hint="eastAsia" w:ascii="仿宋_GB2312" w:hAnsi="仿宋_GB2312" w:eastAsia="仿宋_GB2312" w:cs="仿宋_GB2312"/>
                <w:sz w:val="24"/>
                <w:szCs w:val="24"/>
              </w:rPr>
              <w:t>倒淌河镇耕地面积37.76平方千米，林地面积99.61平方千米，草地面积1199.22平方千米，湿地面积53.03平方千米，农业设施建设用地面积7.47平方千米，城乡建设用地面积3.03平方千米，其中，城镇建设用地面积0.44平方千米，村庄用地面积2.59平方千米，区域基础设施用地面积4.86平方千米，其他建设用地面积0.77平方千米，陆地水域面积2330.55平方千米，其他土地面积139.35平方千米</w:t>
            </w:r>
            <w:r>
              <w:rPr>
                <w:rFonts w:hint="eastAsia" w:ascii="仿宋_GB2312" w:hAnsi="仿宋_GB2312" w:eastAsia="仿宋_GB2312" w:cs="Times New Roman"/>
                <w:kern w:val="2"/>
                <w:sz w:val="24"/>
                <w:szCs w:val="24"/>
                <w:lang w:val="en-US" w:eastAsia="zh-CN" w:bidi="ar-SA"/>
              </w:rPr>
              <w:t>。</w:t>
            </w:r>
          </w:p>
          <w:p w14:paraId="4F8D3906">
            <w:pPr>
              <w:keepNext w:val="0"/>
              <w:keepLines w:val="0"/>
              <w:pageBreakBefore w:val="0"/>
              <w:widowControl w:val="0"/>
              <w:tabs>
                <w:tab w:val="left" w:pos="353"/>
              </w:tabs>
              <w:kinsoku/>
              <w:wordWrap/>
              <w:overflowPunct/>
              <w:topLinePunct w:val="0"/>
              <w:autoSpaceDE/>
              <w:autoSpaceDN/>
              <w:bidi w:val="0"/>
              <w:adjustRightInd/>
              <w:snapToGrid/>
              <w:spacing w:line="600" w:lineRule="exact"/>
              <w:ind w:firstLine="480" w:firstLineChars="200"/>
              <w:textAlignment w:val="auto"/>
              <w:rPr>
                <w:rFonts w:ascii="仿宋_GB2312" w:hAnsi="仿宋_GB2312" w:eastAsia="仿宋_GB2312" w:cs="Times New Roman"/>
                <w:sz w:val="24"/>
                <w:szCs w:val="24"/>
              </w:rPr>
            </w:pPr>
            <w:r>
              <w:rPr>
                <w:rFonts w:hint="eastAsia" w:ascii="楷体_GB2312" w:hAnsi="仿宋_GB2312" w:eastAsia="楷体_GB2312" w:cs="Times New Roman"/>
                <w:sz w:val="24"/>
                <w:szCs w:val="24"/>
              </w:rPr>
              <w:t>水资源</w:t>
            </w:r>
            <w:r>
              <w:rPr>
                <w:rFonts w:hint="eastAsia" w:ascii="仿宋_GB2312" w:hAnsi="仿宋_GB2312" w:eastAsia="仿宋_GB2312" w:cs="Times New Roman"/>
                <w:sz w:val="24"/>
                <w:szCs w:val="24"/>
              </w:rPr>
              <w:t>。</w:t>
            </w:r>
            <w:r>
              <w:rPr>
                <w:rFonts w:hint="eastAsia" w:ascii="仿宋_GB2312" w:hAnsi="仿宋_GB2312" w:eastAsia="仿宋_GB2312" w:cs="Times New Roman"/>
                <w:sz w:val="24"/>
                <w:szCs w:val="24"/>
                <w:lang w:eastAsia="zh-CN"/>
              </w:rPr>
              <w:t>镇域内水资源包括地表水、地下水和部分重复的水系。</w:t>
            </w:r>
            <w:r>
              <w:rPr>
                <w:rFonts w:hint="eastAsia" w:ascii="仿宋_GB2312" w:hAnsi="仿宋_GB2312" w:eastAsia="仿宋_GB2312" w:cs="Times New Roman"/>
                <w:sz w:val="24"/>
                <w:szCs w:val="24"/>
              </w:rPr>
              <w:t>境内河流主要为青海湖水系</w:t>
            </w:r>
            <w:r>
              <w:rPr>
                <w:rFonts w:hint="eastAsia" w:ascii="仿宋_GB2312" w:hAnsi="仿宋_GB2312" w:eastAsia="仿宋_GB2312" w:cs="Times New Roman"/>
                <w:sz w:val="24"/>
                <w:szCs w:val="24"/>
                <w:lang w:eastAsia="zh-CN"/>
              </w:rPr>
              <w:t>的</w:t>
            </w:r>
            <w:r>
              <w:rPr>
                <w:rFonts w:hint="eastAsia" w:ascii="仿宋_GB2312" w:hAnsi="仿宋_GB2312" w:eastAsia="仿宋_GB2312" w:cs="Times New Roman"/>
                <w:sz w:val="24"/>
                <w:szCs w:val="24"/>
                <w:lang w:val="en-US" w:eastAsia="zh-CN"/>
              </w:rPr>
              <w:t>倒淌河</w:t>
            </w:r>
            <w:r>
              <w:rPr>
                <w:rFonts w:hint="eastAsia" w:ascii="仿宋_GB2312" w:hAnsi="仿宋_GB2312" w:eastAsia="仿宋_GB2312" w:cs="Times New Roman"/>
                <w:sz w:val="24"/>
                <w:szCs w:val="24"/>
              </w:rPr>
              <w:t>。青海湖是我国最大的内陆高原微咸水湖，湖水总容量854亿立方米，含盐量12.49克/升，矿化度在12.5～13.2克/升之间，湖面海拔3196米，平均水深19.15米</w:t>
            </w:r>
            <w:r>
              <w:rPr>
                <w:rFonts w:hint="eastAsia" w:ascii="仿宋_GB2312" w:hAnsi="仿宋_GB2312" w:eastAsia="仿宋_GB2312" w:cs="Times New Roman"/>
                <w:sz w:val="24"/>
                <w:szCs w:val="24"/>
                <w:lang w:eastAsia="zh-CN"/>
              </w:rPr>
              <w:t>。</w:t>
            </w:r>
          </w:p>
          <w:p w14:paraId="6E650275">
            <w:pPr>
              <w:keepNext w:val="0"/>
              <w:keepLines w:val="0"/>
              <w:pageBreakBefore w:val="0"/>
              <w:widowControl w:val="0"/>
              <w:tabs>
                <w:tab w:val="left" w:pos="353"/>
              </w:tabs>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Times New Roman"/>
                <w:sz w:val="24"/>
                <w:szCs w:val="24"/>
              </w:rPr>
            </w:pPr>
            <w:r>
              <w:rPr>
                <w:rFonts w:hint="eastAsia" w:ascii="楷体_GB2312" w:hAnsi="仿宋_GB2312" w:eastAsia="楷体_GB2312" w:cs="Times New Roman"/>
                <w:sz w:val="24"/>
                <w:szCs w:val="24"/>
              </w:rPr>
              <w:t>野生动植物资源。</w:t>
            </w:r>
            <w:r>
              <w:rPr>
                <w:rFonts w:hint="eastAsia" w:ascii="仿宋_GB2312" w:hAnsi="仿宋_GB2312" w:eastAsia="仿宋_GB2312" w:cs="仿宋_GB2312"/>
                <w:sz w:val="24"/>
                <w:szCs w:val="24"/>
              </w:rPr>
              <w:t>青海湖流域在中国植物区系分区上属泛北极植物区内青藏植物亚区的唐古特区，是青藏高原生物多样性的重要区域。青海湖流域内现有种子植物52科，174属，445种。其中，国家二级保护植物13种。青海湖流域的动物区系组成，以典型青藏高原野生动物成分为</w:t>
            </w:r>
            <w:r>
              <w:rPr>
                <w:rFonts w:hint="eastAsia" w:ascii="仿宋_GB2312" w:hAnsi="仿宋_GB2312" w:eastAsia="仿宋_GB2312" w:cs="仿宋_GB2312"/>
                <w:sz w:val="24"/>
                <w:szCs w:val="24"/>
                <w:lang w:eastAsia="zh-CN"/>
              </w:rPr>
              <w:t>主体</w:t>
            </w:r>
            <w:r>
              <w:rPr>
                <w:rFonts w:hint="eastAsia" w:ascii="仿宋_GB2312" w:hAnsi="仿宋_GB2312" w:eastAsia="仿宋_GB2312" w:cs="仿宋_GB2312"/>
                <w:sz w:val="24"/>
                <w:szCs w:val="24"/>
              </w:rPr>
              <w:t>，兽类以啮齿目、食肉目、偶蹄目种类较多，鸟类以雁形目、鸥形目数量居多，雀形目种类较多。青海湖流域共有兽类6目16科42种，鸟类16目42科289种，两栖爬行类8种，鱼类8种。其中，国家一级保护动物包括普氏原羚、黑颈鹤等15种；国家二级保护动物包括藏原羚、鹅喉羚、岩羊、血雉、大天鹅等31种；特有种共9种，其中，中国特有种包括斑尾榛鸡、黑颈鹤、青海沙蜥等，青海湖特有种包括普氏原羚、青海湖裸鲤</w:t>
            </w:r>
            <w:r>
              <w:rPr>
                <w:rFonts w:hint="eastAsia" w:ascii="仿宋_GB2312" w:hAnsi="仿宋_GB2312" w:eastAsia="仿宋_GB2312" w:cs="Times New Roman"/>
                <w:sz w:val="24"/>
                <w:szCs w:val="24"/>
              </w:rPr>
              <w:t>。</w:t>
            </w:r>
          </w:p>
        </w:tc>
      </w:tr>
    </w:tbl>
    <w:p w14:paraId="1007B0EF">
      <w:pPr>
        <w:pStyle w:val="3"/>
        <w:keepNext/>
        <w:keepLines/>
        <w:pageBreakBefore w:val="0"/>
        <w:widowControl w:val="0"/>
        <w:numPr>
          <w:ilvl w:val="1"/>
          <w:numId w:val="3"/>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15" w:name="_Toc23469"/>
      <w:r>
        <w:rPr>
          <w:rFonts w:hint="eastAsia" w:ascii="Arial" w:hAnsi="Arial" w:eastAsia="黑体" w:cs="Times New Roman"/>
          <w:b w:val="0"/>
          <w:lang w:val="zh-CN"/>
        </w:rPr>
        <w:t>现状与问题</w:t>
      </w:r>
      <w:bookmarkEnd w:id="15"/>
    </w:p>
    <w:p w14:paraId="0DECE0C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现状成效</w:t>
      </w:r>
    </w:p>
    <w:p w14:paraId="4B2AFD10">
      <w:pPr>
        <w:keepNext w:val="0"/>
        <w:keepLines w:val="0"/>
        <w:pageBreakBefore w:val="0"/>
        <w:widowControl w:val="0"/>
        <w:kinsoku/>
        <w:wordWrap/>
        <w:overflowPunct/>
        <w:topLinePunct w:val="0"/>
        <w:autoSpaceDE/>
        <w:autoSpaceDN/>
        <w:bidi w:val="0"/>
        <w:adjustRightInd/>
        <w:snapToGrid/>
        <w:spacing w:after="120" w:line="600" w:lineRule="exact"/>
        <w:ind w:firstLine="640" w:firstLineChars="200"/>
        <w:textAlignment w:val="auto"/>
        <w:rPr>
          <w:rFonts w:hint="eastAsia" w:ascii="仿宋_GB2312" w:hAnsi="仿宋_GB2312" w:eastAsia="仿宋_GB2312" w:cs="仿宋_GB2312"/>
          <w:bCs/>
          <w:kern w:val="2"/>
          <w:sz w:val="32"/>
          <w:szCs w:val="24"/>
          <w:lang w:val="en-US" w:eastAsia="zh-CN" w:bidi="ar-SA"/>
        </w:rPr>
      </w:pPr>
      <w:r>
        <w:rPr>
          <w:rFonts w:hint="eastAsia" w:ascii="楷体_GB2312" w:hAnsi="楷体_GB2312" w:eastAsia="楷体_GB2312" w:cs="楷体_GB2312"/>
          <w:kern w:val="2"/>
          <w:sz w:val="32"/>
          <w:szCs w:val="32"/>
          <w:lang w:val="en-US" w:eastAsia="zh-CN" w:bidi="ar-SA"/>
        </w:rPr>
        <w:t>生态安全屏障更加稳固。</w:t>
      </w:r>
      <w:r>
        <w:rPr>
          <w:rFonts w:hint="eastAsia" w:ascii="仿宋_GB2312" w:hAnsi="仿宋_GB2312" w:eastAsia="仿宋_GB2312" w:cs="仿宋_GB2312"/>
          <w:bCs/>
          <w:kern w:val="2"/>
          <w:sz w:val="32"/>
          <w:szCs w:val="24"/>
          <w:lang w:val="en-US" w:eastAsia="zh-CN" w:bidi="ar-SA"/>
        </w:rPr>
        <w:t>党的十八大以来，倒淌河镇生态环境质量整体呈现向好趋势，环湖地区生态环境质量、生物多样性保护、生态保护与治理工程以及政策与制度保障等方面均取得了积极进展。推进了全县 “一湖一河、三山两盆地”的自然地理格局的总体稳定，其中“一湖”指青海湖，是我国最大的咸水湖、全县面积最大的生态保护区，倒淌河镇境内面积约为2324平方千米，同时也是全省重要生态屏障的构成部分。</w:t>
      </w:r>
    </w:p>
    <w:p w14:paraId="6A47B47D">
      <w:pPr>
        <w:pStyle w:val="7"/>
        <w:ind w:firstLine="640"/>
        <w:rPr>
          <w:rFonts w:hint="eastAsia"/>
        </w:rPr>
      </w:pPr>
      <w:r>
        <w:rPr>
          <w:rFonts w:hint="eastAsia" w:ascii="楷体_GB2312" w:hAnsi="楷体_GB2312" w:eastAsia="楷体_GB2312" w:cs="楷体_GB2312"/>
          <w:szCs w:val="32"/>
        </w:rPr>
        <w:t>农业空间质效提升。</w:t>
      </w:r>
      <w:r>
        <w:rPr>
          <w:rFonts w:hint="eastAsia" w:ascii="仿宋_GB2312" w:hAnsi="仿宋_GB2312" w:eastAsia="仿宋_GB2312" w:cs="仿宋_GB2312"/>
          <w:lang w:val="en-US" w:eastAsia="zh-CN" w:bidi="ar"/>
        </w:rPr>
        <w:t>倒淌河镇</w:t>
      </w:r>
      <w:r>
        <w:rPr>
          <w:rFonts w:hint="eastAsia"/>
          <w:lang w:bidi="ar"/>
        </w:rPr>
        <w:t>全面完成耕地和永久基本农田保护任务</w:t>
      </w:r>
      <w:r>
        <w:rPr>
          <w:rFonts w:hint="eastAsia"/>
        </w:rPr>
        <w:t>，耕地得到有效保护。积极推进高标准农田建设工程，提高耕地</w:t>
      </w:r>
      <w:r>
        <w:rPr>
          <w:rFonts w:hint="eastAsia" w:ascii="仿宋_GB2312" w:hAnsi="仿宋_GB2312" w:eastAsia="仿宋_GB2312" w:cs="仿宋_GB2312"/>
        </w:rPr>
        <w:t>利用等别。草地资源丰富，植被类型包括温性草原、高寒草原、高寒草甸、盐生草甸等，</w:t>
      </w:r>
      <w:r>
        <w:rPr>
          <w:rFonts w:hint="eastAsia" w:ascii="仿宋_GB2312" w:hAnsi="仿宋_GB2312" w:eastAsia="仿宋_GB2312" w:cs="仿宋_GB2312"/>
          <w:lang w:val="en-US" w:eastAsia="zh-CN"/>
        </w:rPr>
        <w:t>镇</w:t>
      </w:r>
      <w:r>
        <w:rPr>
          <w:rFonts w:hint="eastAsia" w:ascii="仿宋_GB2312" w:hAnsi="仿宋_GB2312" w:eastAsia="仿宋_GB2312" w:cs="仿宋_GB2312"/>
        </w:rPr>
        <w:t>牧草地面积</w:t>
      </w:r>
      <w:r>
        <w:rPr>
          <w:rFonts w:hint="eastAsia" w:ascii="仿宋_GB2312" w:hAnsi="仿宋_GB2312" w:eastAsia="仿宋_GB2312" w:cs="仿宋_GB2312"/>
          <w:lang w:bidi="ar"/>
        </w:rPr>
        <w:t>占国土总面积的</w:t>
      </w:r>
      <w:r>
        <w:rPr>
          <w:rFonts w:hint="eastAsia" w:ascii="仿宋_GB2312" w:hAnsi="仿宋_GB2312" w:eastAsia="仿宋_GB2312" w:cs="仿宋_GB2312"/>
          <w:lang w:val="en-US" w:eastAsia="zh-CN"/>
        </w:rPr>
        <w:t>30.94</w:t>
      </w:r>
      <w:r>
        <w:rPr>
          <w:rFonts w:hint="eastAsia" w:ascii="仿宋_GB2312" w:hAnsi="仿宋_GB2312" w:eastAsia="仿宋_GB2312" w:cs="仿宋_GB2312"/>
        </w:rPr>
        <w:t>%</w:t>
      </w:r>
      <w:r>
        <w:rPr>
          <w:rFonts w:hint="eastAsia"/>
        </w:rPr>
        <w:t>。</w:t>
      </w:r>
    </w:p>
    <w:p w14:paraId="5DB1EC03">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szCs w:val="32"/>
        </w:rPr>
        <w:t>城镇空间保障有效。</w:t>
      </w:r>
      <w:r>
        <w:rPr>
          <w:rFonts w:hint="eastAsia" w:ascii="仿宋_GB2312" w:hAnsi="仿宋_GB2312" w:eastAsia="仿宋_GB2312" w:cs="仿宋_GB2312"/>
        </w:rPr>
        <w:t>全</w:t>
      </w:r>
      <w:r>
        <w:rPr>
          <w:rFonts w:hint="eastAsia" w:ascii="仿宋_GB2312" w:hAnsi="仿宋_GB2312" w:cs="仿宋_GB2312"/>
          <w:lang w:val="en-US" w:eastAsia="zh-CN"/>
        </w:rPr>
        <w:t>镇</w:t>
      </w:r>
      <w:r>
        <w:rPr>
          <w:rFonts w:hint="eastAsia" w:ascii="仿宋_GB2312" w:hAnsi="仿宋_GB2312" w:eastAsia="仿宋_GB2312" w:cs="仿宋_GB2312"/>
        </w:rPr>
        <w:t>建设用地总量</w:t>
      </w:r>
      <w:r>
        <w:rPr>
          <w:rFonts w:hint="eastAsia" w:ascii="仿宋_GB2312" w:hAnsi="仿宋_GB2312" w:cs="仿宋_GB2312"/>
          <w:lang w:val="en-US" w:eastAsia="zh-CN"/>
        </w:rPr>
        <w:t>866.38</w:t>
      </w:r>
      <w:r>
        <w:rPr>
          <w:rFonts w:hint="eastAsia" w:ascii="仿宋_GB2312" w:hAnsi="仿宋_GB2312" w:eastAsia="仿宋_GB2312" w:cs="仿宋_GB2312"/>
        </w:rPr>
        <w:t>公顷，占土地总面积比例仅</w:t>
      </w:r>
      <w:r>
        <w:rPr>
          <w:rFonts w:hint="eastAsia" w:ascii="仿宋_GB2312" w:hAnsi="仿宋_GB2312" w:cs="仿宋_GB2312"/>
          <w:lang w:val="en-US" w:eastAsia="zh-CN"/>
        </w:rPr>
        <w:t>0.22</w:t>
      </w:r>
      <w:r>
        <w:rPr>
          <w:rFonts w:hint="eastAsia" w:ascii="仿宋_GB2312" w:hAnsi="仿宋_GB2312" w:eastAsia="仿宋_GB2312" w:cs="仿宋_GB2312"/>
        </w:rPr>
        <w:t>%。近十年空间拓展较快，尤其</w:t>
      </w:r>
      <w:r>
        <w:rPr>
          <w:rFonts w:hint="eastAsia" w:ascii="仿宋_GB2312" w:hAnsi="仿宋_GB2312" w:cs="仿宋_GB2312"/>
          <w:lang w:val="en-US" w:eastAsia="zh-CN"/>
        </w:rPr>
        <w:t>旅游业的发展带动了</w:t>
      </w:r>
      <w:r>
        <w:rPr>
          <w:rFonts w:hint="eastAsia" w:ascii="仿宋_GB2312" w:hAnsi="仿宋_GB2312" w:eastAsia="仿宋_GB2312" w:cs="仿宋_GB2312"/>
        </w:rPr>
        <w:t>产业用地迅速增加，</w:t>
      </w:r>
      <w:r>
        <w:rPr>
          <w:rFonts w:hint="eastAsia" w:ascii="仿宋_GB2312" w:hAnsi="仿宋_GB2312" w:cs="仿宋_GB2312"/>
          <w:lang w:val="en-US" w:eastAsia="zh-CN"/>
        </w:rPr>
        <w:t>环湖地区村庄旅游服务用地</w:t>
      </w:r>
      <w:r>
        <w:rPr>
          <w:rFonts w:hint="eastAsia" w:ascii="仿宋_GB2312" w:hAnsi="仿宋_GB2312" w:eastAsia="仿宋_GB2312" w:cs="仿宋_GB2312"/>
        </w:rPr>
        <w:t>有效支撑了</w:t>
      </w:r>
      <w:r>
        <w:rPr>
          <w:rFonts w:hint="eastAsia" w:ascii="仿宋_GB2312" w:hAnsi="仿宋_GB2312" w:cs="仿宋_GB2312"/>
          <w:lang w:val="en-US" w:eastAsia="zh-CN"/>
        </w:rPr>
        <w:t>旅游业</w:t>
      </w:r>
      <w:r>
        <w:rPr>
          <w:rFonts w:hint="eastAsia" w:ascii="仿宋_GB2312" w:hAnsi="仿宋_GB2312" w:cs="仿宋_GB2312"/>
          <w:lang w:eastAsia="zh-CN"/>
        </w:rPr>
        <w:t>的</w:t>
      </w:r>
      <w:r>
        <w:rPr>
          <w:rFonts w:hint="eastAsia" w:ascii="仿宋_GB2312" w:hAnsi="仿宋_GB2312" w:cs="仿宋_GB2312"/>
          <w:lang w:val="en-US" w:eastAsia="zh-CN"/>
        </w:rPr>
        <w:t>发展</w:t>
      </w:r>
      <w:r>
        <w:rPr>
          <w:rFonts w:hint="eastAsia" w:ascii="仿宋_GB2312" w:hAnsi="仿宋_GB2312" w:eastAsia="仿宋_GB2312" w:cs="仿宋_GB2312"/>
        </w:rPr>
        <w:t>。</w:t>
      </w:r>
      <w:r>
        <w:rPr>
          <w:rFonts w:hint="eastAsia" w:ascii="仿宋_GB2312" w:hAnsi="仿宋_GB2312" w:cs="仿宋_GB2312"/>
          <w:lang w:val="en-US" w:eastAsia="zh-CN"/>
        </w:rPr>
        <w:t>镇区</w:t>
      </w:r>
      <w:r>
        <w:rPr>
          <w:rFonts w:hint="eastAsia" w:ascii="仿宋_GB2312" w:hAnsi="仿宋_GB2312" w:eastAsia="仿宋_GB2312" w:cs="仿宋_GB2312"/>
        </w:rPr>
        <w:t>向</w:t>
      </w:r>
      <w:r>
        <w:rPr>
          <w:rFonts w:hint="eastAsia" w:ascii="仿宋_GB2312" w:hAnsi="仿宋_GB2312" w:cs="仿宋_GB2312"/>
          <w:lang w:val="en-US" w:eastAsia="zh-CN"/>
        </w:rPr>
        <w:t>西</w:t>
      </w:r>
      <w:r>
        <w:rPr>
          <w:rFonts w:hint="eastAsia" w:ascii="仿宋_GB2312" w:hAnsi="仿宋_GB2312" w:eastAsia="仿宋_GB2312" w:cs="仿宋_GB2312"/>
        </w:rPr>
        <w:t>有序拓展，</w:t>
      </w:r>
      <w:r>
        <w:rPr>
          <w:rFonts w:hint="eastAsia" w:ascii="仿宋_GB2312" w:hAnsi="仿宋_GB2312" w:cs="仿宋_GB2312"/>
          <w:lang w:val="en-US" w:eastAsia="zh-CN"/>
        </w:rPr>
        <w:t>镇村</w:t>
      </w:r>
      <w:r>
        <w:rPr>
          <w:rFonts w:hint="eastAsia" w:ascii="仿宋_GB2312" w:hAnsi="仿宋_GB2312" w:eastAsia="仿宋_GB2312" w:cs="仿宋_GB2312"/>
        </w:rPr>
        <w:t>两级公共服务设施</w:t>
      </w:r>
      <w:r>
        <w:rPr>
          <w:rFonts w:hint="eastAsia" w:ascii="仿宋_GB2312" w:hAnsi="仿宋_GB2312" w:cs="仿宋_GB2312"/>
          <w:lang w:val="en-US" w:eastAsia="zh-CN"/>
        </w:rPr>
        <w:t>基本</w:t>
      </w:r>
      <w:r>
        <w:rPr>
          <w:rFonts w:hint="eastAsia" w:ascii="仿宋_GB2312" w:hAnsi="仿宋_GB2312" w:eastAsia="仿宋_GB2312" w:cs="仿宋_GB2312"/>
        </w:rPr>
        <w:t>高标准建成，城</w:t>
      </w:r>
      <w:r>
        <w:rPr>
          <w:rFonts w:hint="eastAsia" w:ascii="仿宋_GB2312" w:hAnsi="仿宋_GB2312" w:cs="仿宋_GB2312"/>
          <w:lang w:eastAsia="zh-CN"/>
        </w:rPr>
        <w:t>镇</w:t>
      </w:r>
      <w:r>
        <w:rPr>
          <w:rFonts w:hint="eastAsia" w:ascii="仿宋_GB2312" w:hAnsi="仿宋_GB2312" w:eastAsia="仿宋_GB2312" w:cs="仿宋_GB2312"/>
        </w:rPr>
        <w:t>空间框架进一步拉开。</w:t>
      </w:r>
      <w:r>
        <w:rPr>
          <w:rFonts w:hint="eastAsia" w:ascii="仿宋_GB2312" w:hAnsi="仿宋_GB2312" w:eastAsia="仿宋_GB2312" w:cs="仿宋_GB2312"/>
          <w:szCs w:val="21"/>
        </w:rPr>
        <w:t>环湖</w:t>
      </w:r>
      <w:r>
        <w:rPr>
          <w:rFonts w:hint="eastAsia" w:ascii="仿宋_GB2312" w:hAnsi="仿宋_GB2312" w:cs="仿宋_GB2312"/>
          <w:szCs w:val="21"/>
          <w:lang w:val="en-US" w:eastAsia="zh-CN"/>
        </w:rPr>
        <w:t>地区</w:t>
      </w:r>
      <w:r>
        <w:rPr>
          <w:rFonts w:hint="eastAsia" w:ascii="仿宋_GB2312" w:hAnsi="仿宋_GB2312" w:eastAsia="仿宋_GB2312" w:cs="仿宋_GB2312"/>
          <w:szCs w:val="21"/>
        </w:rPr>
        <w:t>重点旅游服务项目空间保障有力。</w:t>
      </w:r>
    </w:p>
    <w:p w14:paraId="3DD08DA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主要问题</w:t>
      </w:r>
    </w:p>
    <w:p w14:paraId="0129FA8D">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pPr>
      <w:r>
        <w:rPr>
          <w:rFonts w:hint="eastAsia" w:ascii="楷体_GB2312" w:hAnsi="楷体_GB2312" w:eastAsia="楷体_GB2312" w:cs="楷体_GB2312"/>
          <w:szCs w:val="32"/>
        </w:rPr>
        <w:t>国土空间保护压力较大。</w:t>
      </w:r>
      <w:r>
        <w:rPr>
          <w:rFonts w:hint="eastAsia" w:ascii="仿宋_GB2312" w:hAnsi="仿宋_GB2312" w:eastAsia="仿宋_GB2312" w:cs="仿宋_GB2312"/>
          <w:szCs w:val="32"/>
        </w:rPr>
        <w:t>部分草场存在一定程度草场退化、水土流失情况，</w:t>
      </w:r>
      <w:r>
        <w:rPr>
          <w:rFonts w:hint="eastAsia" w:ascii="仿宋_GB2312" w:hAnsi="仿宋_GB2312" w:cs="仿宋_GB2312"/>
          <w:szCs w:val="32"/>
          <w:lang w:val="en-US" w:eastAsia="zh-CN"/>
        </w:rPr>
        <w:t>青海湖东侧和倒淌河流域存在土地沙化现象。</w:t>
      </w:r>
      <w:r>
        <w:rPr>
          <w:rFonts w:hint="eastAsia" w:ascii="仿宋_GB2312" w:hAnsi="仿宋_GB2312" w:eastAsia="仿宋_GB2312" w:cs="仿宋_GB2312"/>
          <w:szCs w:val="32"/>
        </w:rPr>
        <w:t>同时</w:t>
      </w:r>
      <w:r>
        <w:rPr>
          <w:rFonts w:hint="eastAsia" w:ascii="仿宋_GB2312" w:hAnsi="仿宋_GB2312" w:cs="仿宋_GB2312"/>
          <w:szCs w:val="32"/>
          <w:lang w:val="en-US" w:eastAsia="zh-CN"/>
        </w:rPr>
        <w:t>镇域内存在</w:t>
      </w:r>
      <w:r>
        <w:rPr>
          <w:rFonts w:hint="eastAsia" w:ascii="仿宋_GB2312" w:hAnsi="仿宋_GB2312" w:eastAsia="仿宋_GB2312" w:cs="仿宋_GB2312"/>
          <w:szCs w:val="32"/>
        </w:rPr>
        <w:t>一定程度的耕地撂荒现象。城镇发展对土地资源的需求也日益增大。生态环境保护、耕地保护和可持续发展已成为</w:t>
      </w:r>
      <w:r>
        <w:rPr>
          <w:rFonts w:hint="eastAsia" w:ascii="仿宋_GB2312" w:hAnsi="仿宋_GB2312" w:cs="仿宋_GB2312"/>
          <w:szCs w:val="32"/>
          <w:lang w:val="en-US" w:eastAsia="zh-CN"/>
        </w:rPr>
        <w:t>倒淌河镇</w:t>
      </w:r>
      <w:r>
        <w:rPr>
          <w:rFonts w:hint="eastAsia" w:ascii="仿宋_GB2312" w:hAnsi="仿宋_GB2312" w:eastAsia="仿宋_GB2312" w:cs="仿宋_GB2312"/>
          <w:szCs w:val="32"/>
        </w:rPr>
        <w:t>面临的最重要、最艰巨的任务之一。</w:t>
      </w:r>
    </w:p>
    <w:p w14:paraId="6BAFE41E">
      <w:pPr>
        <w:pStyle w:val="7"/>
        <w:ind w:firstLine="640"/>
        <w:rPr>
          <w:rFonts w:hint="eastAsia" w:ascii="仿宋_GB2312" w:hAnsi="仿宋_GB2312" w:eastAsia="仿宋_GB2312" w:cs="仿宋_GB2312"/>
        </w:rPr>
      </w:pPr>
      <w:r>
        <w:rPr>
          <w:rFonts w:hint="eastAsia" w:ascii="楷体_GB2312" w:hAnsi="楷体_GB2312" w:eastAsia="楷体_GB2312" w:cs="楷体_GB2312"/>
          <w:szCs w:val="32"/>
        </w:rPr>
        <w:t>资源节约集约利用水平不高。</w:t>
      </w:r>
      <w:r>
        <w:rPr>
          <w:rFonts w:hint="eastAsia" w:ascii="仿宋_GB2312" w:hAnsi="仿宋_GB2312" w:eastAsia="仿宋_GB2312" w:cs="仿宋_GB2312"/>
          <w:bCs/>
        </w:rPr>
        <w:t>建设用地集约利用水平较低，空间布局分散。建设用地地均生产总值</w:t>
      </w:r>
      <w:r>
        <w:rPr>
          <w:rFonts w:hint="eastAsia" w:ascii="仿宋_GB2312" w:hAnsi="仿宋_GB2312" w:cs="仿宋_GB2312"/>
          <w:bCs/>
          <w:lang w:val="en-US" w:eastAsia="zh-CN"/>
        </w:rPr>
        <w:t>偏低</w:t>
      </w:r>
      <w:r>
        <w:rPr>
          <w:rFonts w:hint="eastAsia" w:ascii="仿宋_GB2312" w:hAnsi="仿宋_GB2312" w:eastAsia="仿宋_GB2312" w:cs="仿宋_GB2312"/>
          <w:bCs/>
        </w:rPr>
        <w:t>，人均城镇建设用地14</w:t>
      </w:r>
      <w:r>
        <w:rPr>
          <w:rFonts w:hint="eastAsia" w:ascii="仿宋_GB2312" w:hAnsi="仿宋_GB2312" w:cs="仿宋_GB2312"/>
          <w:bCs/>
          <w:lang w:val="en-US" w:eastAsia="zh-CN"/>
        </w:rPr>
        <w:t>4</w:t>
      </w:r>
      <w:r>
        <w:rPr>
          <w:rFonts w:hint="eastAsia" w:ascii="仿宋_GB2312" w:hAnsi="仿宋_GB2312" w:eastAsia="仿宋_GB2312" w:cs="仿宋_GB2312"/>
          <w:bCs/>
        </w:rPr>
        <w:t>平方米，建设用地效益有待提升。</w:t>
      </w:r>
      <w:r>
        <w:rPr>
          <w:rFonts w:hint="eastAsia" w:ascii="仿宋_GB2312" w:hAnsi="仿宋_GB2312" w:eastAsia="仿宋_GB2312" w:cs="仿宋_GB2312"/>
        </w:rPr>
        <w:t>乡村建设用地快速增长，农村居民点人均建设用地面积为</w:t>
      </w:r>
      <w:r>
        <w:rPr>
          <w:rFonts w:hint="eastAsia" w:ascii="仿宋_GB2312" w:hAnsi="仿宋_GB2312" w:cs="仿宋_GB2312"/>
          <w:lang w:val="en-US" w:eastAsia="zh-CN"/>
        </w:rPr>
        <w:t>246.5</w:t>
      </w:r>
      <w:r>
        <w:rPr>
          <w:rFonts w:hint="eastAsia" w:ascii="仿宋_GB2312" w:hAnsi="仿宋_GB2312" w:eastAsia="仿宋_GB2312" w:cs="仿宋_GB2312"/>
        </w:rPr>
        <w:t>平方米/人</w:t>
      </w:r>
      <w:r>
        <w:rPr>
          <w:rFonts w:hint="eastAsia" w:ascii="仿宋_GB2312" w:hAnsi="仿宋_GB2312" w:cs="仿宋_GB2312"/>
          <w:lang w:eastAsia="zh-CN"/>
        </w:rPr>
        <w:t>，土地利用粗放</w:t>
      </w:r>
      <w:r>
        <w:rPr>
          <w:rFonts w:hint="eastAsia" w:ascii="仿宋_GB2312" w:hAnsi="仿宋_GB2312" w:eastAsia="仿宋_GB2312" w:cs="仿宋_GB2312"/>
        </w:rPr>
        <w:t>。</w:t>
      </w:r>
    </w:p>
    <w:p w14:paraId="585A8538">
      <w:pPr>
        <w:widowControl w:val="0"/>
        <w:spacing w:after="120" w:line="60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城乡空间特色有待凸显</w:t>
      </w:r>
      <w:r>
        <w:rPr>
          <w:rFonts w:hint="eastAsia" w:ascii="楷体_GB2312" w:hAnsi="楷体_GB2312" w:eastAsia="楷体_GB2312" w:cs="楷体_GB2312"/>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倒淌河镇现状城乡风貌较杂乱，空间形态缺乏引导，开敞空间不足，慢行环境品质较差，绿地景观系统建设较为滞后。</w:t>
      </w:r>
      <w:r>
        <w:rPr>
          <w:rFonts w:hint="eastAsia" w:ascii="仿宋_GB2312" w:hAnsi="仿宋_GB2312" w:eastAsia="仿宋_GB2312" w:cs="仿宋_GB2312"/>
          <w:sz w:val="32"/>
          <w:szCs w:val="32"/>
        </w:rPr>
        <w:t>镇区绿化结构单一，观赏性有待提升，缺乏整体设计和标志性节点；公共空间不足，需要新增公共空间以增加居民生活的幸福感；建筑色彩繁杂，缺少标志节点建筑物，风貌亟待整体打造。</w:t>
      </w:r>
    </w:p>
    <w:p w14:paraId="4329774E">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产业发展布局有待优化。</w:t>
      </w:r>
      <w:r>
        <w:rPr>
          <w:rFonts w:hint="eastAsia" w:ascii="仿宋_GB2312" w:hAnsi="仿宋_GB2312" w:eastAsia="仿宋_GB2312" w:cs="仿宋_GB2312"/>
          <w:sz w:val="32"/>
          <w:szCs w:val="32"/>
        </w:rPr>
        <w:t>倒淌河镇城镇经济基础薄弱，目前以第一产业为主，第二产业因紧邻青海湖而受限，第三产业服务水平低下。农牧业以传统方式发展，速度缓慢，受自然因素影响较大。农牧产品深加工产业基本没有发展，农牧产品多为初级农产品，没有向下游产业延伸，产品附加值低。城镇经济基础薄弱，第三产业服务水平较低，未打造出倒淌河镇特色品牌。镇域内有一定文化旅游资源，未充分利用。</w:t>
      </w:r>
    </w:p>
    <w:p w14:paraId="3BCF8C5B">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公共设施服务质量有待提升。</w:t>
      </w:r>
      <w:r>
        <w:rPr>
          <w:rFonts w:hint="eastAsia" w:ascii="仿宋_GB2312" w:hAnsi="仿宋_GB2312" w:eastAsia="仿宋_GB2312" w:cs="仿宋_GB2312"/>
          <w:sz w:val="32"/>
          <w:szCs w:val="32"/>
          <w:lang w:val="en-US" w:eastAsia="zh-CN"/>
        </w:rPr>
        <w:t>倒淌河镇镇区服务设施配置较为齐全，但村庄居民点服务设施不够完善。旅游配套设施品质有待提高，缺乏特色化、多样化的住宿、餐饮及购物等旅游设施，公用设施品质和数量有待进一步提高。</w:t>
      </w:r>
    </w:p>
    <w:p w14:paraId="6F6E5FBE">
      <w:pPr>
        <w:pStyle w:val="3"/>
        <w:keepNext/>
        <w:keepLines/>
        <w:pageBreakBefore w:val="0"/>
        <w:widowControl w:val="0"/>
        <w:numPr>
          <w:ilvl w:val="1"/>
          <w:numId w:val="3"/>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16" w:name="_Toc32051"/>
      <w:r>
        <w:rPr>
          <w:rFonts w:hint="eastAsia" w:ascii="Arial" w:hAnsi="Arial" w:eastAsia="黑体" w:cs="Times New Roman"/>
          <w:b w:val="0"/>
          <w:lang w:val="zh-CN"/>
        </w:rPr>
        <w:t>挑战与机遇</w:t>
      </w:r>
      <w:bookmarkEnd w:id="16"/>
    </w:p>
    <w:p w14:paraId="4D955E8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国土空间开发保护机遇</w:t>
      </w:r>
    </w:p>
    <w:p w14:paraId="6D7EAD88">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区位交通优势挖掘旅游新潜力。</w:t>
      </w:r>
      <w:r>
        <w:rPr>
          <w:rFonts w:hint="eastAsia" w:ascii="仿宋_GB2312" w:hAnsi="仿宋_GB2312" w:eastAsia="仿宋_GB2312" w:cs="仿宋_GB2312"/>
          <w:sz w:val="32"/>
          <w:szCs w:val="32"/>
          <w:lang w:val="en-US" w:eastAsia="zh-CN"/>
        </w:rPr>
        <w:t>规划修建西宁至茶卡城际铁路，并在倒淌河镇设置站点。该铁路起自西宁市，向西新建线路经多巴新城、湟源县，折向西南经海南州共和县至青海湖二郎剑景区，后经黑马河至海西州乌兰县茶卡镇，并利用既有茶卡支线铁路电气化改造至青藏铁路察汗诺站。新建的铁路极大的提升了倒淌河的便利性。为倒淌河镇旅游发展，提供了强劲的动力引擎。</w:t>
      </w:r>
    </w:p>
    <w:p w14:paraId="227E830C">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国省重大战略实施提供发展新机遇。</w:t>
      </w:r>
      <w:r>
        <w:rPr>
          <w:rFonts w:hint="eastAsia" w:ascii="仿宋_GB2312" w:hAnsi="仿宋_GB2312" w:eastAsia="仿宋_GB2312" w:cs="仿宋_GB2312"/>
          <w:sz w:val="32"/>
          <w:szCs w:val="32"/>
          <w:lang w:val="en-US" w:eastAsia="zh-CN"/>
        </w:rPr>
        <w:t>共和是兰州-西宁城市群节点城市，倒淌河镇作为共和县的门户城镇，在区域交通互联互通、绿色产业集聚、生态价值转换方面迎来新的机遇。区域交通条件的改善，倒淌河镇作为门户城镇的职能将进一步凸显；旅游集散职能将进一步增强，环湖特色小（城）镇建设进程加快，促进倒淌河镇建设成为环湖地区旅游综合服务中心。</w:t>
      </w:r>
    </w:p>
    <w:p w14:paraId="2B4690B4">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国土空间开发保护挑战</w:t>
      </w:r>
    </w:p>
    <w:p w14:paraId="4547C26E">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生态文明建设对国土空间生态安全提出新要求。</w:t>
      </w:r>
      <w:r>
        <w:rPr>
          <w:rFonts w:hint="eastAsia" w:ascii="仿宋_GB2312" w:hAnsi="仿宋_GB2312" w:eastAsia="仿宋_GB2312" w:cs="仿宋_GB2312"/>
          <w:sz w:val="32"/>
          <w:szCs w:val="32"/>
          <w:lang w:val="en-US" w:eastAsia="zh-CN"/>
        </w:rPr>
        <w:t>倒淌河镇位于环青海湖地区，生态系统类型多样、生态保护重要性突出。生态约束趋紧要求转变生产生活方式，加强环青海湖地区的山水林田湖草沙系统治理，提升生态系统碳汇能力。</w:t>
      </w:r>
    </w:p>
    <w:p w14:paraId="63E1BB38">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高质量发展对优化国土空间布局指引新方向。</w:t>
      </w:r>
      <w:r>
        <w:rPr>
          <w:rFonts w:hint="eastAsia" w:ascii="仿宋_GB2312" w:hAnsi="仿宋_GB2312" w:eastAsia="仿宋_GB2312" w:cs="仿宋_GB2312"/>
          <w:sz w:val="32"/>
          <w:szCs w:val="32"/>
          <w:lang w:val="en-US" w:eastAsia="zh-CN"/>
        </w:rPr>
        <w:t>高质量发展是全面建设社会主义现代化国家的首要任务，国土空间作为高质量发展的空间载体，与经济社会的高质量发展相辅相成。应以全新视角看待和处理国土空间开发与保护的关系，高标准保护、高效率开发、高水平协调、高效能治理，构建高质量发展的国土空间布局。</w:t>
      </w:r>
    </w:p>
    <w:p w14:paraId="640CA5A3">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自然灾害对国土空间安全韧性带来新挑战。</w:t>
      </w:r>
      <w:r>
        <w:rPr>
          <w:rFonts w:hint="eastAsia" w:ascii="仿宋_GB2312" w:hAnsi="仿宋_GB2312" w:eastAsia="仿宋_GB2312" w:cs="仿宋_GB2312"/>
          <w:sz w:val="32"/>
          <w:szCs w:val="32"/>
          <w:lang w:val="en-US" w:eastAsia="zh-CN"/>
        </w:rPr>
        <w:t>倒淌河镇地质灾害主要包括泥石流、滑坡、崩塌等，地质灾害高风险区面积达275.74平方千米，地质灾害中风险区面积达1268.29平方千米。气象灾害主要包括暴雨洪涝、冰雹、干旱、霜冻、连阴雨、雪灾等，潜在风险隐患多，季节性明显，影响区域广泛，防灾减灾任务繁重。</w:t>
      </w:r>
    </w:p>
    <w:p w14:paraId="767A79E0">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人民群众对共同富裕美好生活向往对空间品质建设提出新任务。</w:t>
      </w:r>
      <w:r>
        <w:rPr>
          <w:rFonts w:hint="eastAsia" w:ascii="仿宋_GB2312" w:hAnsi="仿宋_GB2312" w:eastAsia="仿宋_GB2312" w:cs="仿宋_GB2312"/>
          <w:sz w:val="32"/>
          <w:szCs w:val="32"/>
          <w:lang w:val="en-US" w:eastAsia="zh-CN"/>
        </w:rPr>
        <w:t>党的二十大报告提出的“中国式现代化”，是全体人民共同富裕的现代化，要求国土空间规划回归以人为本，聚焦民生，完善各类公共服务设施、提高城乡建设品质，建设宜居、宜业、宜游的城乡空间。</w:t>
      </w:r>
    </w:p>
    <w:p w14:paraId="07CE497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130F566">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17" w:name="_Toc6743"/>
      <w:r>
        <w:rPr>
          <w:rFonts w:hint="eastAsia" w:ascii="Times New Roman" w:hAnsi="Times New Roman" w:eastAsia="方正小标宋简体" w:cs="Times New Roman"/>
          <w:b w:val="0"/>
          <w:bCs w:val="0"/>
          <w:sz w:val="36"/>
          <w:szCs w:val="36"/>
        </w:rPr>
        <w:t>指导思想与目标战略</w:t>
      </w:r>
      <w:bookmarkEnd w:id="17"/>
    </w:p>
    <w:p w14:paraId="59EF8AC7">
      <w:pPr>
        <w:pStyle w:val="3"/>
        <w:keepNext/>
        <w:keepLines/>
        <w:pageBreakBefore w:val="0"/>
        <w:widowControl w:val="0"/>
        <w:numPr>
          <w:ilvl w:val="1"/>
          <w:numId w:val="5"/>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18" w:name="_Toc22968"/>
      <w:r>
        <w:rPr>
          <w:rFonts w:hint="eastAsia" w:ascii="Arial" w:hAnsi="Arial" w:eastAsia="黑体" w:cs="Times New Roman"/>
          <w:b w:val="0"/>
          <w:lang w:val="zh-CN"/>
        </w:rPr>
        <w:t>指导思想和基本原则</w:t>
      </w:r>
      <w:bookmarkEnd w:id="18"/>
    </w:p>
    <w:p w14:paraId="5414157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指导思想</w:t>
      </w:r>
    </w:p>
    <w:p w14:paraId="0C50168A">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全面贯彻落实党的二十大和二十届三中全会精神，深入践行习近平生态文明思想，不折不扣落实习近平总书记对青海工作的重大要求，立足“三个最大”省情定位和“三个更加重要”战略地位，完整准确全面贯彻新发展理念，加快融入新发展格局，着力推动高质量发展，坚持以人民为中心，锚定全县“123456”奋斗目标，围绕“农村基本具备现代生活条件”目标，细化落实《共和县国土空间总体规划（2021—2035年）》，统筹高质量发展和高水平的安全，统筹划定落实耕地和永久基本农田、生态保护红线、城镇开发边界三条控制线，优化农业、生态、城镇等功能空间，整体谋划国土空间开发保护新格局，强化国土空间生态保护与修复，提高国土空间资源利用效率，为支撑倒淌河镇更高质量、更有效率、更加公平、更可持续、更为安全的发展，建设人与自然和谐共生的现代化筑牢根基。</w:t>
      </w:r>
    </w:p>
    <w:p w14:paraId="0DC9C4B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基本原则</w:t>
      </w:r>
    </w:p>
    <w:p w14:paraId="37A394D0">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安全底线原则，</w:t>
      </w:r>
      <w:r>
        <w:rPr>
          <w:rFonts w:hint="eastAsia" w:ascii="仿宋_GB2312" w:hAnsi="仿宋_GB2312" w:eastAsia="仿宋_GB2312" w:cs="仿宋_GB2312"/>
          <w:sz w:val="32"/>
          <w:szCs w:val="32"/>
          <w:lang w:val="en-US" w:eastAsia="zh-CN"/>
        </w:rPr>
        <w:t>以风险评估为依据，守住粮食安全底线、生态安全底线、用水安全底线、防灾安全底线等。严格落实三条控制线，强化底线约束，积极协调人、地、产、城、村关系，形成生态空间山清水秀、生活空间宜居适度、生产空间集约高效的空间格局。</w:t>
      </w:r>
    </w:p>
    <w:p w14:paraId="1D13BFAF">
      <w:pPr>
        <w:pStyle w:val="7"/>
        <w:ind w:firstLine="640"/>
      </w:pPr>
      <w:r>
        <w:rPr>
          <w:rFonts w:hint="eastAsia" w:ascii="楷体_GB2312" w:hAnsi="楷体_GB2312" w:eastAsia="楷体_GB2312" w:cs="楷体_GB2312"/>
          <w:szCs w:val="32"/>
        </w:rPr>
        <w:t>生态优先原则</w:t>
      </w:r>
      <w:r>
        <w:rPr>
          <w:rFonts w:hint="eastAsia" w:ascii="楷体_GB2312" w:hAnsi="楷体_GB2312" w:eastAsia="楷体_GB2312" w:cs="楷体_GB2312"/>
        </w:rPr>
        <w:t>，</w:t>
      </w:r>
      <w:r>
        <w:t>在生态文明思想和国家总体安全观指导下</w:t>
      </w:r>
      <w:r>
        <w:rPr>
          <w:rFonts w:hint="eastAsia"/>
        </w:rPr>
        <w:t>，</w:t>
      </w:r>
      <w:r>
        <w:t>探索内涵式</w:t>
      </w:r>
      <w:r>
        <w:rPr>
          <w:rFonts w:hint="eastAsia"/>
        </w:rPr>
        <w:t>、</w:t>
      </w:r>
      <w:r>
        <w:t>集约型</w:t>
      </w:r>
      <w:r>
        <w:rPr>
          <w:rFonts w:hint="eastAsia"/>
        </w:rPr>
        <w:t>、</w:t>
      </w:r>
      <w:r>
        <w:t>绿色化的高质量发展路径</w:t>
      </w:r>
      <w:r>
        <w:rPr>
          <w:rFonts w:hint="eastAsia"/>
        </w:rPr>
        <w:t>，坚持山水林田湖草沙生命共同体理念，加强整体保护与自然修复，全面筑牢国家生态安全屏障。</w:t>
      </w:r>
    </w:p>
    <w:p w14:paraId="19F17026">
      <w:pPr>
        <w:pStyle w:val="7"/>
        <w:ind w:firstLine="640"/>
      </w:pPr>
      <w:r>
        <w:rPr>
          <w:rFonts w:hint="eastAsia" w:ascii="楷体_GB2312" w:hAnsi="楷体_GB2312" w:eastAsia="楷体_GB2312" w:cs="楷体_GB2312"/>
          <w:szCs w:val="32"/>
        </w:rPr>
        <w:t>以人为本原则</w:t>
      </w:r>
      <w:r>
        <w:rPr>
          <w:rFonts w:hint="eastAsia" w:ascii="楷体_GB2312" w:hAnsi="楷体_GB2312" w:eastAsia="楷体_GB2312" w:cs="楷体_GB2312"/>
        </w:rPr>
        <w:t>，</w:t>
      </w:r>
      <w:r>
        <w:rPr>
          <w:rFonts w:hint="eastAsia"/>
        </w:rPr>
        <w:t>从社会全面进步和人的全面发展出发，塑造高品质城乡人居环境，构建高水平均等化的城乡公共服务体系，建立便捷完善的城乡交通和基础设施网络，不断提升人民群众获得感、幸福感、安全感。</w:t>
      </w:r>
    </w:p>
    <w:p w14:paraId="07CAD141">
      <w:pPr>
        <w:pStyle w:val="7"/>
        <w:ind w:firstLine="640"/>
      </w:pPr>
      <w:r>
        <w:rPr>
          <w:rFonts w:hint="eastAsia" w:ascii="楷体_GB2312" w:hAnsi="楷体_GB2312" w:eastAsia="楷体_GB2312" w:cs="楷体_GB2312"/>
          <w:szCs w:val="32"/>
        </w:rPr>
        <w:t>协同融合原则</w:t>
      </w:r>
      <w:r>
        <w:rPr>
          <w:rFonts w:hint="eastAsia" w:ascii="楷体_GB2312" w:hAnsi="楷体_GB2312" w:eastAsia="楷体_GB2312" w:cs="楷体_GB2312"/>
        </w:rPr>
        <w:t>，</w:t>
      </w:r>
      <w:r>
        <w:rPr>
          <w:rFonts w:hint="eastAsia"/>
        </w:rPr>
        <w:t>坚持区域协同，积极融入一带一路、兰西城镇群等区域战略，</w:t>
      </w:r>
      <w:r>
        <w:rPr>
          <w:rFonts w:hint="eastAsia"/>
          <w:lang w:val="en-US" w:eastAsia="zh-CN"/>
        </w:rPr>
        <w:t>助力</w:t>
      </w:r>
      <w:r>
        <w:rPr>
          <w:rFonts w:hint="eastAsia"/>
        </w:rPr>
        <w:t>泛共和盆地城镇区绿色崛起，落实新型城镇化、乡村振兴、高原美丽城镇建设等战略，促进城乡协调发展。</w:t>
      </w:r>
    </w:p>
    <w:p w14:paraId="02B6413F">
      <w:pPr>
        <w:pStyle w:val="7"/>
        <w:ind w:firstLine="640"/>
      </w:pPr>
      <w:r>
        <w:rPr>
          <w:rFonts w:hint="eastAsia" w:ascii="楷体_GB2312" w:hAnsi="楷体_GB2312" w:eastAsia="楷体_GB2312" w:cs="楷体_GB2312"/>
          <w:szCs w:val="32"/>
        </w:rPr>
        <w:t>因地制宜原则</w:t>
      </w:r>
      <w:r>
        <w:rPr>
          <w:rFonts w:hint="eastAsia" w:ascii="楷体_GB2312" w:hAnsi="楷体_GB2312" w:eastAsia="楷体_GB2312" w:cs="楷体_GB2312"/>
        </w:rPr>
        <w:t>，</w:t>
      </w:r>
      <w:r>
        <w:t>立足</w:t>
      </w:r>
      <w:r>
        <w:rPr>
          <w:rFonts w:hint="eastAsia"/>
          <w:lang w:val="en-US" w:eastAsia="zh-CN"/>
        </w:rPr>
        <w:t>倒淌河镇</w:t>
      </w:r>
      <w:r>
        <w:t>自然和人文禀赋</w:t>
      </w:r>
      <w:r>
        <w:rPr>
          <w:rFonts w:hint="eastAsia"/>
        </w:rPr>
        <w:t>、</w:t>
      </w:r>
      <w:r>
        <w:t>资源环境条件</w:t>
      </w:r>
      <w:r>
        <w:rPr>
          <w:rFonts w:hint="eastAsia"/>
        </w:rPr>
        <w:t>、</w:t>
      </w:r>
      <w:r>
        <w:t>发展阶段特征</w:t>
      </w:r>
      <w:r>
        <w:rPr>
          <w:rFonts w:hint="eastAsia"/>
        </w:rPr>
        <w:t>、区域地理格局、</w:t>
      </w:r>
      <w:r>
        <w:t>民族文化特色</w:t>
      </w:r>
      <w:r>
        <w:rPr>
          <w:rFonts w:hint="eastAsia"/>
        </w:rPr>
        <w:t>，充分体现地域特征、民族特色、时代风貌，突出规划编制的针对性、实用性和特色化。</w:t>
      </w:r>
    </w:p>
    <w:p w14:paraId="08DE6857">
      <w:pPr>
        <w:pStyle w:val="3"/>
        <w:keepNext/>
        <w:keepLines/>
        <w:pageBreakBefore w:val="0"/>
        <w:widowControl w:val="0"/>
        <w:numPr>
          <w:ilvl w:val="1"/>
          <w:numId w:val="5"/>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19" w:name="_Toc17243"/>
      <w:r>
        <w:rPr>
          <w:rFonts w:hint="eastAsia" w:ascii="Arial" w:hAnsi="Arial" w:eastAsia="黑体" w:cs="Times New Roman"/>
          <w:b w:val="0"/>
          <w:lang w:val="zh-CN"/>
        </w:rPr>
        <w:t>总体定位</w:t>
      </w:r>
      <w:bookmarkEnd w:id="19"/>
    </w:p>
    <w:p w14:paraId="10DFFAF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总体定位</w:t>
      </w:r>
    </w:p>
    <w:p w14:paraId="0236825A">
      <w:pPr>
        <w:pStyle w:val="7"/>
        <w:ind w:firstLine="640"/>
        <w:rPr>
          <w:rFonts w:hint="eastAsia" w:ascii="仿宋_GB2312" w:hAnsi="仿宋_GB2312" w:eastAsia="仿宋_GB2312" w:cs="仿宋_GB2312"/>
          <w:szCs w:val="32"/>
          <w:lang w:eastAsia="zh-CN"/>
        </w:rPr>
      </w:pPr>
      <w:r>
        <w:rPr>
          <w:rFonts w:hint="eastAsia" w:ascii="仿宋_GB2312" w:hAnsi="仿宋_GB2312" w:cs="仿宋_GB2312"/>
          <w:szCs w:val="32"/>
          <w:lang w:val="en-US" w:eastAsia="zh-CN"/>
        </w:rPr>
        <w:t>规划倒淌河镇的城镇定位为：</w:t>
      </w:r>
      <w:r>
        <w:rPr>
          <w:rFonts w:hint="eastAsia" w:ascii="仿宋_GB2312" w:hAnsi="仿宋_GB2312" w:eastAsia="仿宋_GB2312" w:cs="仿宋_GB2312"/>
          <w:szCs w:val="32"/>
        </w:rPr>
        <w:t>游牧门</w:t>
      </w:r>
      <w:r>
        <w:rPr>
          <w:rFonts w:hint="eastAsia" w:ascii="仿宋_GB2312" w:hAnsi="仿宋_GB2312" w:eastAsia="仿宋_GB2312" w:cs="仿宋_GB2312"/>
          <w:szCs w:val="32"/>
          <w:lang w:val="en-US" w:eastAsia="zh-CN"/>
        </w:rPr>
        <w:t>户</w:t>
      </w:r>
      <w:r>
        <w:rPr>
          <w:rFonts w:hint="eastAsia" w:ascii="仿宋_GB2312" w:hAnsi="仿宋_GB2312" w:eastAsia="仿宋_GB2312" w:cs="仿宋_GB2312"/>
          <w:szCs w:val="32"/>
        </w:rPr>
        <w:t>·唐蕃圣城；唐蕃藏城集散型旅游城镇；青藏高原生态示范区</w:t>
      </w:r>
      <w:r>
        <w:rPr>
          <w:rFonts w:hint="eastAsia" w:ascii="仿宋_GB2312" w:hAnsi="仿宋_GB2312" w:eastAsia="仿宋_GB2312" w:cs="仿宋_GB2312"/>
          <w:szCs w:val="32"/>
          <w:lang w:eastAsia="zh-CN"/>
        </w:rPr>
        <w:t>。</w:t>
      </w:r>
    </w:p>
    <w:p w14:paraId="3E3E41D0">
      <w:pPr>
        <w:pStyle w:val="7"/>
        <w:ind w:firstLine="640"/>
        <w:rPr>
          <w:rFonts w:hint="eastAsia" w:ascii="仿宋_GB2312" w:hAnsi="仿宋_GB2312" w:eastAsia="仿宋_GB2312" w:cs="仿宋_GB2312"/>
          <w:szCs w:val="32"/>
          <w:lang w:eastAsia="zh-CN"/>
        </w:rPr>
      </w:pPr>
      <w:r>
        <w:rPr>
          <w:rFonts w:hint="eastAsia" w:ascii="楷体_GB2312" w:hAnsi="楷体_GB2312" w:eastAsia="楷体_GB2312" w:cs="楷体_GB2312"/>
          <w:szCs w:val="32"/>
          <w:lang w:val="en-US" w:eastAsia="zh-CN"/>
        </w:rPr>
        <w:t>游牧门户·唐蕃圣城。</w:t>
      </w:r>
      <w:r>
        <w:rPr>
          <w:rFonts w:hint="eastAsia" w:ascii="仿宋_GB2312" w:hAnsi="仿宋_GB2312" w:eastAsia="仿宋_GB2312" w:cs="仿宋_GB2312"/>
          <w:szCs w:val="32"/>
          <w:lang w:eastAsia="zh-CN"/>
        </w:rPr>
        <w:t>倒淌河镇是青海省农牧业区进入牧业区的“第一草原第一镇”，全世界游客进入青海湖旅游的“第一门户第一镇”，黄土高原进入青藏高原的“第一藏城第一镇”，它的地理位置决定了它是整个草原和青藏高原的门户。“唐蕃故道”是</w:t>
      </w:r>
      <w:r>
        <w:rPr>
          <w:rFonts w:hint="eastAsia" w:ascii="仿宋_GB2312" w:hAnsi="仿宋_GB2312" w:cs="仿宋_GB2312"/>
          <w:szCs w:val="32"/>
          <w:lang w:val="en-US" w:eastAsia="zh-CN"/>
        </w:rPr>
        <w:t>倒淌河镇</w:t>
      </w:r>
      <w:r>
        <w:rPr>
          <w:rFonts w:hint="eastAsia" w:ascii="仿宋_GB2312" w:hAnsi="仿宋_GB2312" w:eastAsia="仿宋_GB2312" w:cs="仿宋_GB2312"/>
          <w:szCs w:val="32"/>
          <w:lang w:eastAsia="zh-CN"/>
        </w:rPr>
        <w:t>历史文化底蕴的展示，镇区是唐蕃古道线路上的重要节点，因而留下了文成公主入藏，以及藏汉和亲、茶马互市等深厚的历史文化元素，不但是倒淌河镇的财富，更是整个青海湖旅游区的财富。</w:t>
      </w:r>
    </w:p>
    <w:p w14:paraId="352EAD3D">
      <w:pPr>
        <w:pStyle w:val="7"/>
        <w:ind w:firstLine="640"/>
        <w:rPr>
          <w:rFonts w:hint="eastAsia" w:ascii="仿宋_GB2312" w:hAnsi="仿宋_GB2312" w:eastAsia="仿宋_GB2312" w:cs="仿宋_GB2312"/>
          <w:szCs w:val="32"/>
          <w:lang w:eastAsia="zh-CN"/>
        </w:rPr>
      </w:pPr>
      <w:r>
        <w:rPr>
          <w:rFonts w:hint="eastAsia" w:ascii="楷体_GB2312" w:hAnsi="楷体_GB2312" w:eastAsia="楷体_GB2312" w:cs="楷体_GB2312"/>
          <w:szCs w:val="32"/>
        </w:rPr>
        <w:t>唐蕃藏城集散型旅游城镇</w:t>
      </w:r>
      <w:r>
        <w:rPr>
          <w:rFonts w:hint="eastAsia" w:ascii="楷体_GB2312" w:hAnsi="楷体_GB2312" w:eastAsia="楷体_GB2312" w:cs="楷体_GB2312"/>
          <w:szCs w:val="32"/>
          <w:lang w:eastAsia="zh-CN"/>
        </w:rPr>
        <w:t>。</w:t>
      </w:r>
      <w:r>
        <w:rPr>
          <w:rFonts w:hint="eastAsia" w:ascii="仿宋_GB2312" w:hAnsi="仿宋_GB2312" w:eastAsia="仿宋_GB2312" w:cs="仿宋_GB2312"/>
          <w:szCs w:val="32"/>
          <w:lang w:eastAsia="zh-CN"/>
        </w:rPr>
        <w:t>以区位型旅游城镇的功能完善为基础，以藏文化与唐蕃文化的交流和文成公主的功绩为历史文脉，以</w:t>
      </w:r>
      <w:r>
        <w:rPr>
          <w:rFonts w:hint="eastAsia" w:ascii="仿宋_GB2312" w:hAnsi="仿宋_GB2312" w:cs="仿宋_GB2312"/>
          <w:szCs w:val="32"/>
          <w:lang w:val="en-US" w:eastAsia="zh-CN"/>
        </w:rPr>
        <w:t>生态本底和</w:t>
      </w:r>
      <w:r>
        <w:rPr>
          <w:rFonts w:hint="eastAsia" w:ascii="仿宋_GB2312" w:hAnsi="仿宋_GB2312" w:eastAsia="仿宋_GB2312" w:cs="仿宋_GB2312"/>
          <w:szCs w:val="32"/>
          <w:lang w:eastAsia="zh-CN"/>
        </w:rPr>
        <w:t>自然风光为依托，向集散型旅游城镇发展，加速倒淌河镇经济的发展，实现城镇建设与高品质生活的平衡与协调。作为旅游型城镇，倒淌河镇的功能不同于单纯的景区，也不同于普通的城镇，需要具备小城镇和旅游集散的双重功能，满足当地农牧民与生态移民定居的需求，同时要满足游客接待的功能，镇区功能包含旅游集散、文化旅游和生活居住等三大功能，其中旅游集散和文化旅游是主要的旅游功能。</w:t>
      </w:r>
    </w:p>
    <w:p w14:paraId="62493B46">
      <w:pPr>
        <w:pStyle w:val="7"/>
        <w:ind w:firstLine="640"/>
        <w:rPr>
          <w:rFonts w:hint="eastAsia" w:ascii="仿宋_GB2312" w:hAnsi="仿宋_GB2312" w:eastAsia="仿宋_GB2312" w:cs="仿宋_GB2312"/>
          <w:szCs w:val="32"/>
          <w:lang w:eastAsia="zh-CN"/>
        </w:rPr>
      </w:pPr>
      <w:r>
        <w:rPr>
          <w:rFonts w:hint="eastAsia" w:ascii="楷体_GB2312" w:hAnsi="楷体_GB2312" w:eastAsia="楷体_GB2312" w:cs="楷体_GB2312"/>
          <w:szCs w:val="32"/>
        </w:rPr>
        <w:t>青藏高原生态示范区</w:t>
      </w:r>
      <w:r>
        <w:rPr>
          <w:rFonts w:hint="eastAsia" w:ascii="楷体_GB2312" w:hAnsi="楷体_GB2312" w:eastAsia="楷体_GB2312" w:cs="楷体_GB2312"/>
          <w:szCs w:val="32"/>
          <w:lang w:eastAsia="zh-CN"/>
        </w:rPr>
        <w:t>。</w:t>
      </w:r>
      <w:r>
        <w:rPr>
          <w:rFonts w:hint="eastAsia" w:ascii="仿宋_GB2312" w:hAnsi="仿宋_GB2312" w:eastAsia="仿宋_GB2312" w:cs="仿宋_GB2312"/>
          <w:szCs w:val="32"/>
          <w:lang w:eastAsia="zh-CN"/>
        </w:rPr>
        <w:t>倒淌河镇是环青海湖地区生态屏障的五个重点镇之一，保护青海南山灌木林，恢复林草植被，治理风沙防止荒漠化，遏制生态环境恶化，保护</w:t>
      </w:r>
      <w:r>
        <w:rPr>
          <w:rFonts w:hint="eastAsia" w:ascii="仿宋_GB2312" w:hAnsi="仿宋_GB2312" w:cs="仿宋_GB2312"/>
          <w:szCs w:val="32"/>
          <w:lang w:eastAsia="zh-CN"/>
        </w:rPr>
        <w:t>濒危</w:t>
      </w:r>
      <w:r>
        <w:rPr>
          <w:rFonts w:hint="eastAsia" w:ascii="仿宋_GB2312" w:hAnsi="仿宋_GB2312" w:eastAsia="仿宋_GB2312" w:cs="仿宋_GB2312"/>
          <w:szCs w:val="32"/>
          <w:lang w:eastAsia="zh-CN"/>
        </w:rPr>
        <w:t>物种普氏原羚是倒淌河的生态建设重点。依托倒淌河镇得天独厚的生态本底和地域民族文化，在城镇整体风貌上营造生态格局优越、地域文化突出的美丽高原生态示范镇。</w:t>
      </w:r>
    </w:p>
    <w:p w14:paraId="53E0AD08">
      <w:pPr>
        <w:pStyle w:val="3"/>
        <w:keepNext/>
        <w:keepLines/>
        <w:pageBreakBefore w:val="0"/>
        <w:widowControl w:val="0"/>
        <w:numPr>
          <w:ilvl w:val="1"/>
          <w:numId w:val="5"/>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20" w:name="_Toc2698"/>
      <w:r>
        <w:rPr>
          <w:rFonts w:hint="eastAsia" w:ascii="Arial" w:hAnsi="Arial" w:eastAsia="黑体" w:cs="Times New Roman"/>
          <w:b w:val="0"/>
          <w:lang w:val="zh-CN"/>
        </w:rPr>
        <w:t>开发保护目标与战略</w:t>
      </w:r>
      <w:bookmarkEnd w:id="20"/>
    </w:p>
    <w:p w14:paraId="47C4FDB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国土空间开发保护目标</w:t>
      </w:r>
    </w:p>
    <w:p w14:paraId="7BDC3F7F">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2035年，围绕二〇三五年社会经济发展远景目标，强化空间保护与发展支撑，充分保障社会经济发展总体目标实现的空间基础，全面落实生态文明建设和高质量发展的要求。夯实倒淌河镇重要生态屏障地位，优化山水林田湖草沙的镇域空间格局，科学配置国土空间资源，强化国土空间底线管控，提升资源利用效率，加强全域全要素用途管制与自然资源统一管理，提升城乡空间品质，推进国土空间治理现代化，全面实施国土空间监测预警和绩效考核机制，形成以国土空间规划为基础，以统一用途管制为手段的国土空间开发保护制度。</w:t>
      </w:r>
    </w:p>
    <w:p w14:paraId="7247869F">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国土空间保护水平大幅提高。</w:t>
      </w:r>
      <w:r>
        <w:rPr>
          <w:rFonts w:hint="eastAsia" w:ascii="仿宋_GB2312" w:hAnsi="仿宋_GB2312" w:eastAsia="仿宋_GB2312" w:cs="仿宋_GB2312"/>
          <w:szCs w:val="32"/>
        </w:rPr>
        <w:t>耕地和永久基本农田、生态保护红线等安全底线得到严格落实。环湖地区生态系统得到全面保护，生态脆弱和退化严重区域得到有效治理，生态系统更加稳固，生态功能大幅提升，生态环境持续向好，生态安全屏障得到有效保障。</w:t>
      </w:r>
    </w:p>
    <w:p w14:paraId="53E7DF86">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国土空间开发效率显著提升。</w:t>
      </w:r>
      <w:r>
        <w:rPr>
          <w:rFonts w:hint="eastAsia" w:ascii="仿宋_GB2312" w:hAnsi="仿宋_GB2312" w:eastAsia="仿宋_GB2312" w:cs="仿宋_GB2312"/>
          <w:szCs w:val="32"/>
        </w:rPr>
        <w:t>城乡空间集约高效，城镇空间有序集聚，自然资源利用效率大幅提升，生产生活方式绿色转型成效显著。</w:t>
      </w:r>
    </w:p>
    <w:p w14:paraId="38D9C5D0">
      <w:pPr>
        <w:pStyle w:val="7"/>
        <w:ind w:firstLine="640"/>
        <w:rPr>
          <w:rFonts w:ascii="仿宋_GB2312" w:hAnsi="仿宋_GB2312"/>
          <w:szCs w:val="32"/>
        </w:rPr>
      </w:pPr>
      <w:r>
        <w:rPr>
          <w:rFonts w:hint="eastAsia" w:ascii="楷体_GB2312" w:hAnsi="楷体_GB2312" w:eastAsia="楷体_GB2312" w:cs="楷体_GB2312"/>
          <w:szCs w:val="32"/>
        </w:rPr>
        <w:t>国土空间支撑能力稳步增强。</w:t>
      </w:r>
      <w:r>
        <w:rPr>
          <w:rFonts w:hint="eastAsia" w:ascii="仿宋_GB2312" w:hAnsi="仿宋_GB2312" w:eastAsia="仿宋_GB2312" w:cs="仿宋_GB2312"/>
          <w:szCs w:val="32"/>
          <w:lang w:val="en-US" w:eastAsia="zh-CN"/>
        </w:rPr>
        <w:t>现代</w:t>
      </w:r>
      <w:r>
        <w:rPr>
          <w:rFonts w:hint="eastAsia" w:ascii="仿宋_GB2312" w:hAnsi="仿宋_GB2312"/>
          <w:szCs w:val="32"/>
        </w:rPr>
        <w:t>综合交通网络逐渐完善，国土空间对外联通能力和开放度全面增强，</w:t>
      </w:r>
      <w:r>
        <w:rPr>
          <w:rFonts w:hint="eastAsia" w:ascii="仿宋_GB2312" w:hAnsi="仿宋_GB2312"/>
          <w:szCs w:val="32"/>
          <w:lang w:val="en-US" w:eastAsia="zh-CN"/>
        </w:rPr>
        <w:t>与周边城镇</w:t>
      </w:r>
      <w:r>
        <w:rPr>
          <w:rFonts w:hint="eastAsia" w:ascii="仿宋_GB2312" w:hAnsi="仿宋_GB2312"/>
          <w:szCs w:val="32"/>
        </w:rPr>
        <w:t>联系更加紧密。水利、能源、防灾减灾等基础设施体系建设得到有力保障,应对各类灾害的风险防范能力明显提升。</w:t>
      </w:r>
    </w:p>
    <w:p w14:paraId="56BC2114">
      <w:pPr>
        <w:pStyle w:val="7"/>
        <w:ind w:firstLine="640"/>
        <w:rPr>
          <w:rFonts w:hint="eastAsia"/>
        </w:rPr>
      </w:pPr>
      <w:r>
        <w:rPr>
          <w:rFonts w:hint="eastAsia" w:ascii="楷体_GB2312" w:hAnsi="楷体_GB2312" w:eastAsia="楷体_GB2312" w:cs="楷体_GB2312"/>
        </w:rPr>
        <w:t>国土空间品质持续提高。</w:t>
      </w:r>
      <w:r>
        <w:rPr>
          <w:rFonts w:hint="eastAsia"/>
        </w:rPr>
        <w:t>城乡社区生活圈建成全覆盖，人居环境品质得到全面增强，城乡基本公共服务实现均等化，乡村振兴战略取得实质进展。文化和自然遗产得到有效保护传承，凸显倒淌河的城镇形象和环青海湖高原生态小镇的特色。</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147"/>
        <w:gridCol w:w="1130"/>
        <w:gridCol w:w="1033"/>
        <w:gridCol w:w="1435"/>
        <w:gridCol w:w="1453"/>
        <w:gridCol w:w="801"/>
        <w:gridCol w:w="724"/>
      </w:tblGrid>
      <w:tr w14:paraId="21E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46CACC">
            <w:pPr>
              <w:pStyle w:val="25"/>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黑体" w:hAnsi="黑体" w:eastAsia="黑体" w:cs="Times New Roman"/>
                <w:kern w:val="2"/>
                <w:sz w:val="30"/>
                <w:szCs w:val="30"/>
                <w:lang w:val="en-US" w:eastAsia="zh-CN" w:bidi="ar-SA"/>
              </w:rPr>
              <w:t>专栏2国土空间开发保护主要指标</w:t>
            </w:r>
          </w:p>
        </w:tc>
      </w:tr>
      <w:tr w14:paraId="3D7E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B4D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10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指标项</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F6B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基期值2020年</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68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目标值</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5F1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指标属性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96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指标层级</w:t>
            </w:r>
          </w:p>
        </w:tc>
      </w:tr>
      <w:tr w14:paraId="1B5F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E53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FE1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4FCD">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i w:val="0"/>
                <w:iCs w:val="0"/>
                <w:color w:val="000000"/>
                <w:sz w:val="21"/>
                <w:szCs w:val="21"/>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1E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2025年</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A2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2035年</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AF8C">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327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i w:val="0"/>
                <w:iCs w:val="0"/>
                <w:color w:val="000000"/>
                <w:sz w:val="21"/>
                <w:szCs w:val="21"/>
                <w:u w:val="none"/>
              </w:rPr>
            </w:pPr>
          </w:p>
        </w:tc>
      </w:tr>
      <w:tr w14:paraId="43A7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E75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一、空间底线</w:t>
            </w:r>
          </w:p>
        </w:tc>
      </w:tr>
      <w:tr w14:paraId="222E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209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F7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生态保护红线面积（平方千米）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31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2475.2006</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2DD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≥2475.2006</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C6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≥2475.2006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A37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13D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3840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400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CBE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A19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A0A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82C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BDB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06A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7434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45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454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用水总量（亿立方米）</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EE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85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依据上级下达指标确定</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13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依据上级下达指标确定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21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6C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501F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F20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874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永久基本农田保护面积（万亩）</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35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4.3553</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7D2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≥4.3553</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414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≥4.3553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252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280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7217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E33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DAD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E410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8CA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FCA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4C3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15AA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37C3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C1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51D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耕地保有量（万亩）</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CE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5.6641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79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≥5.2819</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B4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≥5.2819</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FC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8F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18BA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09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500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城镇开发边界扩展倍数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A6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BF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21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E1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2C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12B0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BF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5B2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森林覆盖率（%）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EB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89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≥2.57</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88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3E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27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56CE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D2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B92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草原综合植被盖度（%）</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A8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06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≥54.00</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13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≥56.03</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5E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55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19B9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BC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C13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湿地保护率（%）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24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56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依据上级下达任务确定</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D8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依据上级下达任务确定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78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76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6AD6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55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C5D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自然保护地面积占陆域国土面积比例（%）</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21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87.62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90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87.62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AC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依据上级下达任务确定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B9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05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12A9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513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B3E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水域空间保有量（万亩）</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DB2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349.58</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90A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≥349.58</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24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≥349.58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50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0EB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0B99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90D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055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A1C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940A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D80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B78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CD7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2DE7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37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63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自然和文化遗产（处）</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34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AA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43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C9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10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0454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AE1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二、空间结构与效率</w:t>
            </w:r>
          </w:p>
        </w:tc>
      </w:tr>
      <w:tr w14:paraId="0EBA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5F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336" w:type="pct"/>
            <w:gridSpan w:val="2"/>
            <w:tcBorders>
              <w:top w:val="single" w:color="000000" w:sz="4" w:space="0"/>
              <w:left w:val="single" w:color="000000" w:sz="4" w:space="0"/>
              <w:bottom w:val="nil"/>
              <w:right w:val="single" w:color="000000" w:sz="4" w:space="0"/>
            </w:tcBorders>
            <w:shd w:val="clear" w:color="auto" w:fill="auto"/>
            <w:vAlign w:val="center"/>
          </w:tcPr>
          <w:p w14:paraId="093482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人均村庄建设用地面积（平方米）</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4C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246.52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F4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EE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37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tcBorders>
              <w:top w:val="single" w:color="000000" w:sz="4" w:space="0"/>
              <w:left w:val="single" w:color="000000" w:sz="4" w:space="0"/>
              <w:bottom w:val="nil"/>
              <w:right w:val="single" w:color="000000" w:sz="4" w:space="0"/>
            </w:tcBorders>
            <w:shd w:val="clear" w:color="auto" w:fill="auto"/>
            <w:vAlign w:val="center"/>
          </w:tcPr>
          <w:p w14:paraId="4EB878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56D2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77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3EC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人均城镇建设用地面积（平方米）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F02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136.55</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368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327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7F4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4FB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23A6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C8CB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4D0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6D4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D98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25B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90C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533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7AED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84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C27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人均应急避难场所面积（平方米）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AA1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0.8</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6A9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A6A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56D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A48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68D7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C3F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475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B49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CB9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044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5C7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836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03DA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889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2F8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道路网密度（千米/平方千米）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088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6.87</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79D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10D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D9F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4F4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4813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187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76E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E28C">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1E1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E6B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64C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E6B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7E16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80C9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三、空间品质</w:t>
            </w:r>
          </w:p>
        </w:tc>
      </w:tr>
      <w:tr w14:paraId="33BD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784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92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公园绿地、广场步行5分钟覆盖率（%）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37B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43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22F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8CB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约束性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AC8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2CED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459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096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5C2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413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334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EF4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122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408A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07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B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卫生、养老、教育、文化、体育等社区公共服务设施15分钟覆盖率</w:t>
            </w: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C08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体育设施步行15分钟覆盖率（%）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533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5E2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C3A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DC5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322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4DD3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EDE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1C2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5D1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963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297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44C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AF6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A7B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1CE8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8ED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1DA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135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文化设施步行15分钟覆盖率（%）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68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6EA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401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691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82C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147C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A9A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F98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165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B6B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273C">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796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4ADC">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AC7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205B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D6E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3C6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5E2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教育设施步行15分钟覆盖率（%）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D70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ED2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89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40B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BBC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356F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5F8D">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EA7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DF9D">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635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0C6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CEB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260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D5C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64FB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F3C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9F8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993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卫生设施步行15分钟覆盖率（%）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AB9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ED7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7E7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FA0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33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1C8C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F48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3C5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744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9D3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A36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7E5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C74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DAE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11F6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70D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820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1B9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养老设施步行15分钟覆盖率（%）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912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D5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D45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E1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069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2447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FEF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F9E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173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804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DF5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5C8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9F49">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C80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5EE3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EE4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C4D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06C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社区中心步行15分钟覆盖率（%）</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E93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695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39B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F46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FE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6658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AFC4">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899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941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21A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971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9F5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0C3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86FC">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26CE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E1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90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城镇人均住房面积（平方米）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CD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DA5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16F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DFD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7D8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镇域</w:t>
            </w:r>
          </w:p>
        </w:tc>
      </w:tr>
      <w:tr w14:paraId="7795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023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4D97">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8CD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DCF8">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F392">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E106">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8A9A">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366B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3F5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8B5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人均体育用地面积（平方米）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94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3F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B47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18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EC9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7671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44B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260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431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D9A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3CA9C">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86F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969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r w14:paraId="316E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6FB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79B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人均公园绿地面积（平方米）</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060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CEA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8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A06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6E0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预期性</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C4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镇区</w:t>
            </w:r>
          </w:p>
        </w:tc>
      </w:tr>
      <w:tr w14:paraId="13DA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3EE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1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A785">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DA36E">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F7CB">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8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D373">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E7EF">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D4A0">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000000"/>
                <w:sz w:val="21"/>
                <w:szCs w:val="21"/>
                <w:u w:val="none"/>
              </w:rPr>
            </w:pPr>
          </w:p>
        </w:tc>
      </w:tr>
    </w:tbl>
    <w:p w14:paraId="505F867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国土空间开发保护战略</w:t>
      </w:r>
    </w:p>
    <w:p w14:paraId="32A6638C">
      <w:pPr>
        <w:pStyle w:val="7"/>
        <w:ind w:firstLine="640" w:firstLineChars="200"/>
        <w:rPr>
          <w:rFonts w:hint="eastAsia" w:ascii="仿宋_GB2312" w:hAnsi="仿宋_GB2312" w:eastAsia="仿宋_GB2312" w:cs="仿宋_GB2312"/>
          <w:szCs w:val="32"/>
        </w:rPr>
      </w:pPr>
      <w:r>
        <w:rPr>
          <w:rFonts w:hint="eastAsia" w:ascii="楷体_GB2312" w:hAnsi="楷体_GB2312" w:eastAsia="楷体_GB2312" w:cs="楷体_GB2312"/>
          <w:szCs w:val="32"/>
        </w:rPr>
        <w:t>生态优先战略。</w:t>
      </w:r>
      <w:r>
        <w:rPr>
          <w:rFonts w:hint="eastAsia" w:ascii="仿宋_GB2312" w:hAnsi="仿宋_GB2312" w:eastAsia="仿宋_GB2312" w:cs="仿宋_GB2312"/>
          <w:szCs w:val="32"/>
        </w:rPr>
        <w:t>基于资源环境承载</w:t>
      </w:r>
      <w:r>
        <w:rPr>
          <w:rFonts w:hint="eastAsia" w:ascii="仿宋_GB2312" w:hAnsi="仿宋_GB2312" w:cs="仿宋_GB2312"/>
          <w:szCs w:val="32"/>
          <w:lang w:val="en-US" w:eastAsia="zh-CN"/>
        </w:rPr>
        <w:t>能力</w:t>
      </w:r>
      <w:r>
        <w:rPr>
          <w:rFonts w:hint="eastAsia" w:ascii="仿宋_GB2312" w:hAnsi="仿宋_GB2312" w:eastAsia="仿宋_GB2312" w:cs="仿宋_GB2312"/>
          <w:szCs w:val="32"/>
        </w:rPr>
        <w:t>和国⼟空间开发适宜性评价及国家生态屏障构建需求，</w:t>
      </w:r>
      <w:r>
        <w:rPr>
          <w:rFonts w:hint="eastAsia" w:ascii="仿宋_GB2312" w:hAnsi="仿宋_GB2312" w:cs="仿宋_GB2312"/>
          <w:szCs w:val="32"/>
          <w:lang w:val="en-US" w:eastAsia="zh-CN"/>
        </w:rPr>
        <w:t>严格落实</w:t>
      </w:r>
      <w:r>
        <w:rPr>
          <w:rFonts w:hint="eastAsia" w:ascii="仿宋_GB2312" w:hAnsi="仿宋_GB2312" w:eastAsia="仿宋_GB2312" w:cs="仿宋_GB2312"/>
          <w:szCs w:val="32"/>
        </w:rPr>
        <w:t>生态保护底线；通过青海湖地区重大生态修复工程实施，筑牢国家生态安全屏障。</w:t>
      </w:r>
    </w:p>
    <w:p w14:paraId="092EA699">
      <w:pPr>
        <w:pStyle w:val="7"/>
        <w:ind w:firstLine="640"/>
      </w:pPr>
      <w:r>
        <w:rPr>
          <w:rFonts w:hint="eastAsia" w:ascii="楷体_GB2312" w:hAnsi="楷体_GB2312" w:eastAsia="楷体_GB2312" w:cs="楷体_GB2312"/>
          <w:szCs w:val="32"/>
        </w:rPr>
        <w:t>绿色发展战略</w:t>
      </w:r>
      <w:r>
        <w:rPr>
          <w:rFonts w:hint="eastAsia" w:ascii="楷体_GB2312" w:hAnsi="楷体_GB2312" w:eastAsia="楷体_GB2312" w:cs="楷体_GB2312"/>
        </w:rPr>
        <w:t>。</w:t>
      </w:r>
      <w:r>
        <w:rPr>
          <w:rFonts w:hint="eastAsia"/>
        </w:rPr>
        <w:t>以“四大产业”为支撑，打造</w:t>
      </w:r>
      <w:r>
        <w:rPr>
          <w:rFonts w:hint="eastAsia"/>
          <w:lang w:val="en-US" w:eastAsia="zh-CN"/>
        </w:rPr>
        <w:t>共和县</w:t>
      </w:r>
      <w:r>
        <w:rPr>
          <w:rFonts w:hint="eastAsia"/>
        </w:rPr>
        <w:t>区域中心</w:t>
      </w:r>
      <w:r>
        <w:rPr>
          <w:rFonts w:hint="eastAsia"/>
          <w:lang w:val="en-US" w:eastAsia="zh-CN"/>
        </w:rPr>
        <w:t>城镇</w:t>
      </w:r>
      <w:r>
        <w:rPr>
          <w:rFonts w:hint="eastAsia"/>
        </w:rPr>
        <w:t>，推进“能源+、旅游+、农业+”战略；重点培育产业发展载体，提高城乡产业空间土地利用效率。</w:t>
      </w:r>
    </w:p>
    <w:p w14:paraId="5E5DE5EA">
      <w:pPr>
        <w:pStyle w:val="7"/>
        <w:ind w:firstLine="640" w:firstLineChars="200"/>
        <w:rPr>
          <w:rFonts w:hint="eastAsia"/>
        </w:rPr>
      </w:pPr>
      <w:r>
        <w:rPr>
          <w:rFonts w:hint="eastAsia" w:ascii="楷体_GB2312" w:hAnsi="楷体_GB2312" w:eastAsia="楷体_GB2312" w:cs="楷体_GB2312"/>
          <w:szCs w:val="32"/>
        </w:rPr>
        <w:t>宜居共享战略</w:t>
      </w:r>
      <w:r>
        <w:rPr>
          <w:rFonts w:hint="eastAsia" w:ascii="楷体_GB2312" w:hAnsi="楷体_GB2312" w:eastAsia="楷体_GB2312" w:cs="楷体_GB2312"/>
        </w:rPr>
        <w:t>。</w:t>
      </w:r>
      <w:r>
        <w:rPr>
          <w:rFonts w:hint="eastAsia"/>
        </w:rPr>
        <w:t>围绕满足人民群众对美好生活的向往，构建城乡均等的公共服务、基础设施网络，建设城乡幸福生活圈；围绕建设区域中心</w:t>
      </w:r>
      <w:r>
        <w:rPr>
          <w:rFonts w:hint="eastAsia"/>
          <w:lang w:val="en-US" w:eastAsia="zh-CN"/>
        </w:rPr>
        <w:t>城镇</w:t>
      </w:r>
      <w:r>
        <w:rPr>
          <w:rFonts w:hint="eastAsia"/>
        </w:rPr>
        <w:t>，提升高水平公共服务设施建设，提高</w:t>
      </w:r>
      <w:r>
        <w:rPr>
          <w:rFonts w:hint="eastAsia"/>
          <w:lang w:val="en-US" w:eastAsia="zh-CN"/>
        </w:rPr>
        <w:t>镇区</w:t>
      </w:r>
      <w:r>
        <w:rPr>
          <w:rFonts w:hint="eastAsia"/>
        </w:rPr>
        <w:t>服务</w:t>
      </w:r>
      <w:r>
        <w:rPr>
          <w:rFonts w:hint="eastAsia"/>
          <w:lang w:val="en-US" w:eastAsia="zh-CN"/>
        </w:rPr>
        <w:t>镇</w:t>
      </w:r>
      <w:r>
        <w:rPr>
          <w:rFonts w:hint="eastAsia"/>
        </w:rPr>
        <w:t>域、</w:t>
      </w:r>
      <w:r>
        <w:rPr>
          <w:rFonts w:hint="eastAsia"/>
          <w:lang w:val="en-US" w:eastAsia="zh-CN"/>
        </w:rPr>
        <w:t>周边</w:t>
      </w:r>
      <w:r>
        <w:rPr>
          <w:rFonts w:hint="eastAsia"/>
        </w:rPr>
        <w:t>城镇的能力。</w:t>
      </w:r>
    </w:p>
    <w:p w14:paraId="745E6755">
      <w:pPr>
        <w:pStyle w:val="7"/>
        <w:ind w:firstLine="640" w:firstLineChars="200"/>
        <w:rPr>
          <w:rFonts w:hint="eastAsia"/>
        </w:rPr>
      </w:pPr>
      <w:r>
        <w:rPr>
          <w:rFonts w:hint="eastAsia" w:ascii="楷体_GB2312" w:hAnsi="楷体_GB2312" w:eastAsia="楷体_GB2312" w:cs="楷体_GB2312"/>
          <w:szCs w:val="32"/>
        </w:rPr>
        <w:t>魅力彰显战略</w:t>
      </w:r>
      <w:r>
        <w:rPr>
          <w:rFonts w:hint="eastAsia" w:ascii="楷体_GB2312" w:hAnsi="楷体_GB2312" w:eastAsia="楷体_GB2312" w:cs="楷体_GB2312"/>
        </w:rPr>
        <w:t>。</w:t>
      </w:r>
      <w:r>
        <w:rPr>
          <w:rFonts w:hint="eastAsia"/>
        </w:rPr>
        <w:t>充分挖掘</w:t>
      </w:r>
      <w:r>
        <w:rPr>
          <w:rFonts w:hint="eastAsia" w:ascii="仿宋_GB2312" w:hAnsi="仿宋_GB2312" w:eastAsia="仿宋_GB2312" w:cs="仿宋_GB2312"/>
          <w:sz w:val="32"/>
          <w:szCs w:val="32"/>
        </w:rPr>
        <w:t>唐蕃文化</w:t>
      </w:r>
      <w:r>
        <w:rPr>
          <w:rFonts w:hint="eastAsia" w:ascii="仿宋_GB2312" w:hAnsi="仿宋_GB2312" w:cs="仿宋_GB2312"/>
          <w:sz w:val="32"/>
          <w:szCs w:val="32"/>
          <w:lang w:eastAsia="zh-CN"/>
        </w:rPr>
        <w:t>等</w:t>
      </w:r>
      <w:r>
        <w:rPr>
          <w:rFonts w:hint="eastAsia"/>
        </w:rPr>
        <w:t>历史文化资源，保护</w:t>
      </w:r>
      <w:r>
        <w:rPr>
          <w:rFonts w:hint="eastAsia"/>
          <w:lang w:val="en-US" w:eastAsia="zh-CN"/>
        </w:rPr>
        <w:t>倒淌河镇</w:t>
      </w:r>
      <w:r>
        <w:rPr>
          <w:rFonts w:hint="eastAsia"/>
        </w:rPr>
        <w:t>传统文化、民族文化、多民族文化融合的特色；立足高原城镇特点，建设富有高原自然风貌、文化特色鲜明的美丽城镇。</w:t>
      </w:r>
    </w:p>
    <w:p w14:paraId="2B8E78FF">
      <w:pPr>
        <w:rPr>
          <w:rFonts w:hint="eastAsia"/>
        </w:rPr>
      </w:pPr>
      <w:r>
        <w:rPr>
          <w:rFonts w:hint="eastAsia"/>
        </w:rPr>
        <w:br w:type="page"/>
      </w:r>
    </w:p>
    <w:p w14:paraId="01D970B7">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21" w:name="_Toc30310"/>
      <w:r>
        <w:rPr>
          <w:rFonts w:hint="eastAsia" w:ascii="Times New Roman" w:hAnsi="Times New Roman" w:eastAsia="方正小标宋简体" w:cs="Times New Roman"/>
          <w:b w:val="0"/>
          <w:bCs w:val="0"/>
          <w:sz w:val="36"/>
          <w:szCs w:val="36"/>
        </w:rPr>
        <w:t>构建国土空间开发保护新格局</w:t>
      </w:r>
      <w:bookmarkEnd w:id="21"/>
    </w:p>
    <w:p w14:paraId="19CF2E8F">
      <w:pPr>
        <w:pStyle w:val="3"/>
        <w:keepNext/>
        <w:keepLines/>
        <w:pageBreakBefore w:val="0"/>
        <w:widowControl w:val="0"/>
        <w:numPr>
          <w:ilvl w:val="1"/>
          <w:numId w:val="6"/>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22" w:name="_Toc17799"/>
      <w:r>
        <w:rPr>
          <w:rFonts w:hint="eastAsia" w:ascii="Arial" w:hAnsi="Arial" w:eastAsia="黑体" w:cs="Times New Roman"/>
          <w:b w:val="0"/>
          <w:lang w:val="zh-CN"/>
        </w:rPr>
        <w:t>筑牢安全发展的空间基础</w:t>
      </w:r>
      <w:bookmarkEnd w:id="22"/>
    </w:p>
    <w:p w14:paraId="714B42B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落实耕地和永久基本农田保护目标</w:t>
      </w:r>
    </w:p>
    <w:p w14:paraId="05D3928D">
      <w:pPr>
        <w:pStyle w:val="7"/>
        <w:ind w:firstLine="64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到2035年</w:t>
      </w:r>
      <w:r>
        <w:rPr>
          <w:rFonts w:hint="eastAsia" w:ascii="仿宋_GB2312" w:hAnsi="仿宋_GB2312" w:cs="仿宋_GB2312"/>
          <w:kern w:val="2"/>
          <w:sz w:val="32"/>
          <w:szCs w:val="32"/>
          <w:u w:val="single"/>
          <w:lang w:val="en-US" w:eastAsia="zh-CN" w:bidi="ar-SA"/>
        </w:rPr>
        <w:t>倒淌河镇</w:t>
      </w:r>
      <w:r>
        <w:rPr>
          <w:rFonts w:hint="eastAsia" w:ascii="仿宋_GB2312" w:hAnsi="仿宋_GB2312" w:eastAsia="仿宋_GB2312" w:cs="仿宋_GB2312"/>
          <w:kern w:val="2"/>
          <w:sz w:val="32"/>
          <w:szCs w:val="32"/>
          <w:u w:val="single"/>
          <w:lang w:val="en-US" w:eastAsia="zh-CN" w:bidi="ar-SA"/>
        </w:rPr>
        <w:t>耕地保护任务不少于</w:t>
      </w:r>
      <w:r>
        <w:rPr>
          <w:rFonts w:hint="eastAsia" w:ascii="仿宋_GB2312" w:hAnsi="仿宋_GB2312" w:cs="仿宋_GB2312"/>
          <w:kern w:val="2"/>
          <w:sz w:val="32"/>
          <w:szCs w:val="32"/>
          <w:u w:val="single"/>
          <w:lang w:val="en-US" w:eastAsia="zh-CN" w:bidi="ar-SA"/>
        </w:rPr>
        <w:t>5.2819</w:t>
      </w:r>
      <w:r>
        <w:rPr>
          <w:rFonts w:hint="eastAsia" w:ascii="仿宋_GB2312" w:hAnsi="仿宋_GB2312" w:eastAsia="仿宋_GB2312" w:cs="仿宋_GB2312"/>
          <w:kern w:val="2"/>
          <w:sz w:val="32"/>
          <w:szCs w:val="32"/>
          <w:u w:val="single"/>
          <w:lang w:val="en-US" w:eastAsia="zh-CN" w:bidi="ar-SA"/>
        </w:rPr>
        <w:t>万亩，永久基本农田保护面积不少于</w:t>
      </w:r>
      <w:r>
        <w:rPr>
          <w:rFonts w:hint="eastAsia" w:ascii="仿宋_GB2312" w:hAnsi="仿宋_GB2312" w:cs="仿宋_GB2312"/>
          <w:kern w:val="2"/>
          <w:sz w:val="32"/>
          <w:szCs w:val="32"/>
          <w:u w:val="single"/>
          <w:lang w:val="en-US" w:eastAsia="zh-CN" w:bidi="ar-SA"/>
        </w:rPr>
        <w:t>4.3553</w:t>
      </w:r>
      <w:r>
        <w:rPr>
          <w:rFonts w:hint="eastAsia" w:ascii="仿宋_GB2312" w:hAnsi="仿宋_GB2312" w:eastAsia="仿宋_GB2312" w:cs="仿宋_GB2312"/>
          <w:kern w:val="2"/>
          <w:sz w:val="32"/>
          <w:szCs w:val="32"/>
          <w:u w:val="single"/>
          <w:lang w:val="en-US" w:eastAsia="zh-CN" w:bidi="ar-SA"/>
        </w:rPr>
        <w:t>万亩，主要分布在</w:t>
      </w:r>
      <w:r>
        <w:rPr>
          <w:rFonts w:hint="eastAsia" w:ascii="仿宋_GB2312" w:hAnsi="仿宋_GB2312" w:cs="仿宋_GB2312"/>
          <w:kern w:val="2"/>
          <w:sz w:val="32"/>
          <w:szCs w:val="32"/>
          <w:u w:val="single"/>
          <w:lang w:val="en-US" w:eastAsia="zh-CN" w:bidi="ar-SA"/>
        </w:rPr>
        <w:t>甲乙村青海湖旅游专用公路两侧和元者村</w:t>
      </w:r>
      <w:r>
        <w:rPr>
          <w:rFonts w:hint="eastAsia" w:ascii="仿宋_GB2312" w:hAnsi="仿宋_GB2312" w:eastAsia="仿宋_GB2312" w:cs="仿宋_GB2312"/>
          <w:kern w:val="2"/>
          <w:sz w:val="32"/>
          <w:szCs w:val="32"/>
          <w:u w:val="single"/>
          <w:lang w:val="en-US" w:eastAsia="zh-CN" w:bidi="ar-SA"/>
        </w:rPr>
        <w:t>。</w:t>
      </w:r>
      <w:r>
        <w:rPr>
          <w:rFonts w:hint="eastAsia" w:ascii="仿宋_GB2312" w:hAnsi="仿宋_GB2312" w:eastAsia="仿宋_GB2312" w:cs="仿宋_GB2312"/>
          <w:kern w:val="2"/>
          <w:sz w:val="32"/>
          <w:szCs w:val="32"/>
          <w:u w:val="none"/>
          <w:lang w:val="en-US" w:eastAsia="zh-CN" w:bidi="ar-SA"/>
        </w:rP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永久基本农田必须坚持农地农用，禁止破坏永久基本农田活动，禁止占用永久基本农田植树造林，禁止闲置、撂荒永久基本农田，禁止以设施农用地为名乱占永久基本农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7574"/>
      </w:tblGrid>
      <w:tr w14:paraId="57F9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0EDB35">
            <w:pPr>
              <w:spacing w:line="600" w:lineRule="exact"/>
              <w:ind w:firstLine="0" w:firstLineChars="0"/>
              <w:jc w:val="center"/>
              <w:rPr>
                <w:rFonts w:ascii="黑体" w:hAnsi="宋体" w:eastAsia="黑体" w:cs="Times New Roman"/>
                <w:sz w:val="30"/>
                <w:szCs w:val="30"/>
              </w:rPr>
            </w:pPr>
            <w:r>
              <w:rPr>
                <w:rFonts w:ascii="黑体" w:hAnsi="宋体" w:eastAsia="黑体" w:cs="黑体"/>
                <w:sz w:val="30"/>
                <w:szCs w:val="30"/>
                <w:lang w:bidi="ar"/>
              </w:rPr>
              <w:t>专栏</w:t>
            </w:r>
            <w:r>
              <w:rPr>
                <w:rFonts w:hint="eastAsia" w:ascii="黑体" w:hAnsi="宋体" w:eastAsia="黑体" w:cs="黑体"/>
                <w:sz w:val="30"/>
                <w:szCs w:val="30"/>
                <w:lang w:val="en-US" w:eastAsia="zh-CN" w:bidi="ar"/>
              </w:rPr>
              <w:t>3</w:t>
            </w:r>
            <w:r>
              <w:rPr>
                <w:rFonts w:ascii="黑体" w:hAnsi="宋体" w:eastAsia="黑体" w:cs="黑体"/>
                <w:sz w:val="30"/>
                <w:szCs w:val="30"/>
                <w:lang w:bidi="ar"/>
              </w:rPr>
              <w:t>耕地和永久基本农田保护红线管理规则</w:t>
            </w:r>
          </w:p>
        </w:tc>
      </w:tr>
      <w:tr w14:paraId="2332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62F47F61">
            <w:pPr>
              <w:widowControl w:val="0"/>
              <w:spacing w:before="0" w:beforeAutospacing="0" w:after="0" w:afterAutospacing="0" w:line="500" w:lineRule="exact"/>
              <w:ind w:firstLine="0" w:firstLineChars="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耕地</w:t>
            </w:r>
          </w:p>
        </w:tc>
        <w:tc>
          <w:tcPr>
            <w:tcW w:w="4444" w:type="pct"/>
            <w:tcBorders>
              <w:top w:val="single" w:color="auto" w:sz="4" w:space="0"/>
              <w:left w:val="single" w:color="auto" w:sz="4" w:space="0"/>
              <w:bottom w:val="single" w:color="auto" w:sz="4" w:space="0"/>
              <w:right w:val="single" w:color="auto" w:sz="4" w:space="0"/>
            </w:tcBorders>
            <w:shd w:val="clear" w:color="auto" w:fill="auto"/>
            <w:vAlign w:val="center"/>
          </w:tcPr>
          <w:p w14:paraId="4DFDFB83">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国家对耕地实行特殊保护，严守耕地保护红线，严格控制耕地转为林地、草地、园地等其他农用地，并落实国家耕地保护补偿制度，具体办法和耕地保护补偿实施步骤按照自然资源部有关部门规定执行。</w:t>
            </w:r>
          </w:p>
          <w:p w14:paraId="705E1DB1">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非农业建设经批准占用耕地的，按照“占多少、垦多少”的原则，由占用耕地的单位负责开垦与所占用耕地的数量相等、质量相当的耕地；没有条件开垦或者开垦的耕地不符合要求的，应当按照青海省的规定缴纳耕地开垦费，专款用于开垦新的耕地。</w:t>
            </w:r>
          </w:p>
          <w:p w14:paraId="256F7228">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各类非农建设、农业结构调整、造林种树等各类占用耕地行为统一纳入耕地占补平衡管理，优先将适宜恢复为优质耕地的园地、林地、草地等其他农用地以及盐碱地等未利用地、低效闲置建设用地统筹作为补充耕地来源。</w:t>
            </w:r>
          </w:p>
          <w:p w14:paraId="3B1FC081">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地方各级政府应当严格执行国土空间规划，采取措施，确保国土空间规划确定的本行政区域内耕地总量不减少、质量不降低。耕地总量减少的，由省人民政府责令在规定期限内组织开垦与所减少耕地的数量与质量相当的耕地；耕地质量降低的，由省人民政府责令在规定期限内组织整治。新开垦和整治的耕地由自然资源主管部门会同农业农村主管部门验收。</w:t>
            </w:r>
          </w:p>
          <w:p w14:paraId="5C462EAE">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非农建设必须节约使用土地，可以利用荒地的，不得占用耕地；可以利用劣地的，不得占用好地。禁止占用耕地建窑、建坟或者擅自在耕地上建房、挖砂、采石、采矿、取土等。</w:t>
            </w:r>
          </w:p>
          <w:p w14:paraId="1464E211">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青海省的规定缴纳闲置费；连续两年未使用的，经原批准机关批准，由县级以上人民政府无偿收回用地单位的土地使用权；该幅土地原为农民集体所有的，应当交由原农村集体经济组织恢复耕种。</w:t>
            </w:r>
          </w:p>
          <w:p w14:paraId="7AABFB13">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禁止任何单位和个人在国土空间规划确定的禁止开垦的范围内从事土地开发活动。</w:t>
            </w:r>
          </w:p>
        </w:tc>
      </w:tr>
      <w:tr w14:paraId="607D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7B89FEE0">
            <w:pPr>
              <w:widowControl w:val="0"/>
              <w:spacing w:before="0" w:beforeAutospacing="0" w:after="0" w:afterAutospacing="0" w:line="500" w:lineRule="exact"/>
              <w:ind w:firstLine="0" w:firstLineChars="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永久基本农田</w:t>
            </w:r>
          </w:p>
        </w:tc>
        <w:tc>
          <w:tcPr>
            <w:tcW w:w="4444" w:type="pct"/>
            <w:tcBorders>
              <w:top w:val="single" w:color="auto" w:sz="4" w:space="0"/>
              <w:left w:val="single" w:color="auto" w:sz="4" w:space="0"/>
              <w:bottom w:val="single" w:color="auto" w:sz="4" w:space="0"/>
              <w:right w:val="single" w:color="auto" w:sz="4" w:space="0"/>
            </w:tcBorders>
            <w:shd w:val="clear" w:color="auto" w:fill="auto"/>
            <w:vAlign w:val="center"/>
          </w:tcPr>
          <w:p w14:paraId="5AFBF14A">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4641BDAA">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严格永久基本农田占用与补划。永久基本农田经依法划定后，任何单位和个人不得擅自占用或者改变其用途。国家能源、交通、水利、军事设施等重点建设项目选址确实难以避让永久基本农田，涉及农用地转用或者土地征收的，必须经国务院批准。</w:t>
            </w:r>
          </w:p>
          <w:p w14:paraId="70D8C4A6">
            <w:pPr>
              <w:widowControl w:val="0"/>
              <w:spacing w:before="0" w:beforeAutospacing="0" w:after="0" w:afterAutospacing="0" w:line="500" w:lineRule="exact"/>
              <w:ind w:firstLine="480" w:firstLineChars="200"/>
              <w:jc w:val="both"/>
              <w:rPr>
                <w:rFonts w:ascii="仿宋_GB2312" w:hAnsi="宋体" w:eastAsia="仿宋_GB2312" w:cs="Times New Roman"/>
                <w:kern w:val="2"/>
                <w:sz w:val="24"/>
                <w:szCs w:val="24"/>
                <w:lang w:val="en-US" w:eastAsia="zh-CN" w:bidi="ar-SA"/>
              </w:rPr>
            </w:pPr>
            <w:r>
              <w:rPr>
                <w:rFonts w:ascii="仿宋_GB2312" w:hAnsi="宋体" w:eastAsia="仿宋_GB2312" w:cs="仿宋_GB2312"/>
                <w:kern w:val="2"/>
                <w:sz w:val="24"/>
                <w:szCs w:val="24"/>
                <w:lang w:val="en-US" w:eastAsia="zh-CN" w:bidi="ar"/>
              </w:rPr>
              <w:t>非农建设依法占用永久基本农田的，建设单位应当按照青海省的有关规定，将所占用耕地耕作层的土壤用于新开垦的耕地、劣质地或者其他耕地的土壤改良。</w:t>
            </w:r>
          </w:p>
        </w:tc>
      </w:tr>
    </w:tbl>
    <w:p w14:paraId="7DB38AF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严守生态保护红线</w:t>
      </w:r>
    </w:p>
    <w:p w14:paraId="173D7B15">
      <w:pPr>
        <w:pStyle w:val="7"/>
        <w:ind w:firstLine="640" w:firstLineChars="200"/>
        <w:rPr>
          <w:rFonts w:hint="eastAsia" w:ascii="仿宋_GB2312" w:hAnsi="仿宋_GB2312" w:eastAsia="仿宋_GB2312" w:cs="仿宋_GB2312"/>
          <w:bCs/>
          <w:kern w:val="2"/>
          <w:sz w:val="32"/>
          <w:szCs w:val="24"/>
          <w:u w:val="none"/>
          <w:lang w:val="en-US" w:eastAsia="zh-CN" w:bidi="ar-SA"/>
        </w:rPr>
      </w:pPr>
      <w:r>
        <w:rPr>
          <w:rFonts w:hint="eastAsia" w:ascii="仿宋_GB2312" w:hAnsi="仿宋_GB2312" w:eastAsia="仿宋_GB2312" w:cs="仿宋_GB2312"/>
          <w:bCs/>
          <w:kern w:val="2"/>
          <w:sz w:val="32"/>
          <w:szCs w:val="24"/>
          <w:u w:val="single"/>
          <w:lang w:val="en-US" w:eastAsia="zh-CN" w:bidi="ar-SA"/>
        </w:rPr>
        <w:t>至2035年，倒淌河镇生态保护红线面积不低于</w:t>
      </w:r>
      <w:r>
        <w:rPr>
          <w:rFonts w:hint="eastAsia" w:ascii="仿宋_GB2312" w:hAnsi="仿宋_GB2312" w:cs="仿宋_GB2312"/>
          <w:bCs/>
          <w:kern w:val="2"/>
          <w:sz w:val="32"/>
          <w:szCs w:val="24"/>
          <w:u w:val="single"/>
          <w:lang w:val="en-US" w:eastAsia="zh-CN" w:bidi="ar-SA"/>
        </w:rPr>
        <w:t>2475.2006</w:t>
      </w:r>
      <w:r>
        <w:rPr>
          <w:rFonts w:hint="eastAsia" w:ascii="仿宋_GB2312" w:hAnsi="仿宋_GB2312" w:eastAsia="仿宋_GB2312" w:cs="仿宋_GB2312"/>
          <w:bCs/>
          <w:kern w:val="2"/>
          <w:sz w:val="32"/>
          <w:szCs w:val="24"/>
          <w:u w:val="single"/>
          <w:lang w:val="en-US" w:eastAsia="zh-CN" w:bidi="ar-SA"/>
        </w:rPr>
        <w:t>平方千米，主要分布在青海湖和倒淌河地区。</w:t>
      </w:r>
      <w:r>
        <w:rPr>
          <w:rFonts w:hint="eastAsia" w:ascii="仿宋_GB2312" w:hAnsi="仿宋_GB2312" w:eastAsia="仿宋_GB2312" w:cs="仿宋_GB2312"/>
          <w:bCs/>
          <w:kern w:val="2"/>
          <w:sz w:val="32"/>
          <w:szCs w:val="24"/>
          <w:u w:val="none"/>
          <w:lang w:val="en-US" w:eastAsia="zh-CN" w:bidi="ar-SA"/>
        </w:rPr>
        <w:t>生态保护红线一经划定，未经批准，严禁擅自调整。严格控制人为活动尤其是开发建设对生态系统的破坏和扰动。生态保护红线内自然保护地核心保护区外，禁止开发性、生产性建设活动，在符合法律法规的前提下，仅允许对生态功能不造成破坏的有限人为活动。生态保护红线内自然保护区、风景名胜区、饮用水水源保护区等区域的管控，依照法律法规执行。</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7574"/>
      </w:tblGrid>
      <w:tr w14:paraId="2619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vAlign w:val="center"/>
          </w:tcPr>
          <w:p w14:paraId="7B7F134B">
            <w:pPr>
              <w:tabs>
                <w:tab w:val="left" w:pos="353"/>
              </w:tabs>
              <w:spacing w:line="600" w:lineRule="exact"/>
              <w:ind w:firstLine="0" w:firstLineChars="0"/>
              <w:jc w:val="center"/>
              <w:rPr>
                <w:rFonts w:ascii="黑体" w:hAnsi="黑体" w:eastAsia="黑体" w:cs="Times New Roman"/>
                <w:sz w:val="30"/>
                <w:szCs w:val="30"/>
              </w:rPr>
            </w:pPr>
            <w:r>
              <w:rPr>
                <w:rFonts w:hint="eastAsia" w:ascii="黑体" w:hAnsi="黑体" w:eastAsia="黑体" w:cs="Times New Roman"/>
                <w:sz w:val="30"/>
                <w:szCs w:val="30"/>
              </w:rPr>
              <w:t>专栏</w:t>
            </w:r>
            <w:r>
              <w:rPr>
                <w:rFonts w:hint="eastAsia" w:ascii="黑体" w:hAnsi="黑体" w:eastAsia="黑体" w:cs="Times New Roman"/>
                <w:sz w:val="30"/>
                <w:szCs w:val="30"/>
                <w:lang w:val="en-US" w:eastAsia="zh-CN"/>
              </w:rPr>
              <w:t>4</w:t>
            </w:r>
            <w:r>
              <w:rPr>
                <w:rFonts w:ascii="黑体" w:hAnsi="黑体" w:eastAsia="黑体" w:cs="Times New Roman"/>
                <w:sz w:val="30"/>
                <w:szCs w:val="30"/>
              </w:rPr>
              <w:t xml:space="preserve"> </w:t>
            </w:r>
            <w:r>
              <w:rPr>
                <w:rFonts w:hint="eastAsia" w:ascii="黑体" w:hAnsi="黑体" w:eastAsia="黑体" w:cs="Times New Roman"/>
                <w:sz w:val="30"/>
                <w:szCs w:val="30"/>
              </w:rPr>
              <w:t>生态保护红线管理要求</w:t>
            </w:r>
          </w:p>
        </w:tc>
      </w:tr>
      <w:tr w14:paraId="7A26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14:paraId="01B1B438">
            <w:pPr>
              <w:widowControl w:val="0"/>
              <w:spacing w:line="500" w:lineRule="exact"/>
              <w:ind w:firstLine="0" w:firstLineChars="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严格规范人为活  动</w:t>
            </w:r>
          </w:p>
        </w:tc>
        <w:tc>
          <w:tcPr>
            <w:tcW w:w="7574" w:type="dxa"/>
            <w:vAlign w:val="center"/>
          </w:tcPr>
          <w:p w14:paraId="287751FC">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①</w:t>
            </w:r>
            <w:r>
              <w:rPr>
                <w:rFonts w:ascii="仿宋_GB2312" w:hAnsi="仿宋_GB2312" w:eastAsia="仿宋_GB2312" w:cs="Times New Roman"/>
                <w:kern w:val="2"/>
                <w:sz w:val="24"/>
                <w:szCs w:val="24"/>
                <w:lang w:val="en-US" w:eastAsia="zh-CN" w:bidi="ar-SA"/>
              </w:rPr>
              <w:t>生态保护红线内，自然保护地核心保护区原则上禁止人为活动。</w:t>
            </w:r>
          </w:p>
          <w:p w14:paraId="5EC840A8">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②</w:t>
            </w:r>
            <w:r>
              <w:rPr>
                <w:rFonts w:ascii="仿宋_GB2312" w:hAnsi="仿宋_GB2312" w:eastAsia="仿宋_GB2312" w:cs="Times New Roman"/>
                <w:kern w:val="2"/>
                <w:sz w:val="24"/>
                <w:szCs w:val="24"/>
                <w:lang w:val="en-US" w:eastAsia="zh-CN" w:bidi="ar-SA"/>
              </w:rPr>
              <w:t>生态保护红线内，自然保护地核心保护区外，严格禁止开发性、</w:t>
            </w:r>
            <w:r>
              <w:rPr>
                <w:rFonts w:hint="eastAsia" w:ascii="仿宋_GB2312" w:hAnsi="仿宋_GB2312" w:eastAsia="仿宋_GB2312" w:cs="Times New Roman"/>
                <w:kern w:val="2"/>
                <w:sz w:val="24"/>
                <w:szCs w:val="24"/>
                <w:lang w:val="en-US" w:eastAsia="zh-CN" w:bidi="ar-SA"/>
              </w:rPr>
              <w:t>生产性建设活动，在符合法律法规的前提下，仅允许对生态功能不造成破坏的有限人为活动（不视为占用生态保护红线）。</w:t>
            </w:r>
          </w:p>
          <w:p w14:paraId="6AA46280">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管护巡护、保护执法、科学研究、调查监测、测绘导航、防灾减灾救灾、军事国防、疫情防控等活动及相关的必要设施修筑。</w:t>
            </w:r>
          </w:p>
          <w:p w14:paraId="4C89D71B">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原住居民和其他合法权益主体，允许在不扩大现有建设用地、耕地、水产养殖规模和放牧强度（符合草畜平衡管理规定）的前提下，开展种植、放牧、捕捞、养殖等活动，修筑生产生活设施。</w:t>
            </w:r>
          </w:p>
          <w:p w14:paraId="686D20D2">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经依法批准的考古调查发掘、古生物化石调查发掘、标本采集和文物保护活动。</w:t>
            </w:r>
          </w:p>
          <w:p w14:paraId="464B2D42">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按规定对人工商品林进行抚育采伐，或以提升森林质量、优化栖息地、建设生物防火隔离带等为目的的树种更新，依法开展的</w:t>
            </w:r>
            <w:r>
              <w:rPr>
                <w:rFonts w:hint="eastAsia" w:ascii="仿宋_GB2312" w:hAnsi="仿宋_GB2312" w:eastAsia="仿宋_GB2312" w:cs="Times New Roman"/>
                <w:kern w:val="2"/>
                <w:sz w:val="24"/>
                <w:szCs w:val="24"/>
                <w:lang w:val="en-US" w:eastAsia="zh-CN" w:bidi="ar-SA"/>
              </w:rPr>
              <w:t>林业</w:t>
            </w:r>
            <w:r>
              <w:rPr>
                <w:rFonts w:hint="eastAsia" w:ascii="仿宋_GB2312" w:hAnsi="仿宋_GB2312" w:eastAsia="仿宋_GB2312" w:cs="Times New Roman"/>
                <w:kern w:val="2"/>
                <w:sz w:val="24"/>
                <w:szCs w:val="24"/>
                <w:shd w:val="clear" w:color="auto" w:fill="FFFFFF"/>
                <w:lang w:val="en-US" w:eastAsia="zh-CN" w:bidi="ar-SA"/>
              </w:rPr>
              <w:t>采伐经营。</w:t>
            </w:r>
          </w:p>
          <w:p w14:paraId="6BE05103">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不破坏生态功能的适度参观旅游、科普宣教及符合相关规划的配套性服务设施和相关的必要公共设施建设及维护。</w:t>
            </w:r>
          </w:p>
          <w:p w14:paraId="11880C24">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必须且无法避让、符合县级以上国土空间规划的线性基础设施、通讯和防洪、供水设施建设和船舶航行、航道疏浚清淤等活动；已有的合法水利、交通运输等设施运行维护改造。</w:t>
            </w:r>
          </w:p>
          <w:p w14:paraId="1FC861FB">
            <w:pPr>
              <w:widowControl/>
              <w:shd w:val="clear" w:color="auto" w:fill="FFFFFF"/>
              <w:spacing w:after="180"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w:t>
            </w:r>
            <w:r>
              <w:rPr>
                <w:rFonts w:hint="eastAsia" w:ascii="仿宋_GB2312" w:hAnsi="仿宋_GB2312" w:eastAsia="仿宋_GB2312" w:cs="Times New Roman"/>
                <w:kern w:val="2"/>
                <w:sz w:val="24"/>
                <w:szCs w:val="24"/>
                <w:shd w:val="clear" w:color="auto" w:fill="FFFFFF"/>
                <w:lang w:val="en-US" w:eastAsia="zh-CN" w:bidi="ar-SA"/>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7E78AE72">
            <w:pPr>
              <w:widowControl/>
              <w:shd w:val="clear" w:color="auto" w:fill="FFFFFF"/>
              <w:spacing w:before="0" w:beforeAutospacing="0" w:after="180" w:afterAutospacing="0" w:line="500" w:lineRule="exact"/>
              <w:ind w:firstLine="420" w:firstLineChars="0"/>
              <w:jc w:val="left"/>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——依据县级以上国土空间规划和生态保护修复专项规划开展的生态修复。</w:t>
            </w:r>
          </w:p>
          <w:p w14:paraId="47F22F7C">
            <w:pPr>
              <w:widowControl/>
              <w:shd w:val="clear" w:color="auto" w:fill="FFFFFF"/>
              <w:spacing w:before="0" w:beforeAutospacing="0" w:after="180" w:afterAutospacing="0" w:line="500" w:lineRule="exact"/>
              <w:ind w:firstLine="420" w:firstLineChars="0"/>
              <w:jc w:val="left"/>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——法律法规规定允许的其他人为活动。</w:t>
            </w:r>
          </w:p>
          <w:p w14:paraId="32B5DB29">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上述有限人为活动，涉及新增建设用地的，在报批农用地转用、土地征收时，附省人民政府出具符合生态保护红线内允许有限人为活动的认定意见；不涉及新增建设用地的，按有关规定进行管理。上述活动涉及自然保护地的，应征求林业和草原主管部门或自然保护地管理机构意见。</w:t>
            </w:r>
          </w:p>
          <w:p w14:paraId="1ACCA4F4">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生态保护红线内自然保护区、风景名胜区、饮用水水源保护区等区域，依照法律法规执行。</w:t>
            </w:r>
          </w:p>
        </w:tc>
      </w:tr>
      <w:tr w14:paraId="0825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14:paraId="3680DE87">
            <w:pPr>
              <w:widowControl w:val="0"/>
              <w:spacing w:line="500" w:lineRule="exact"/>
              <w:ind w:firstLine="0" w:firstLineChars="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严格占用生态保护红线审批</w:t>
            </w:r>
          </w:p>
        </w:tc>
        <w:tc>
          <w:tcPr>
            <w:tcW w:w="7574" w:type="dxa"/>
            <w:vAlign w:val="center"/>
          </w:tcPr>
          <w:p w14:paraId="4142587E">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除允许的有限人为活动之外，确需占用生态保护红线的国家重大项目，按规定由自然资源部进行用地预审后，报国务院批准。报批农用地转用、土地征收时，附省人民政府基于国土空间规划“一张图”和用途管制要求的不可避让论证意见，说明占用生态保护红线的必要性、节约集约和减缓生态环境影响措施。</w:t>
            </w:r>
          </w:p>
          <w:p w14:paraId="7A30D19B">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①</w:t>
            </w:r>
            <w:r>
              <w:rPr>
                <w:rFonts w:ascii="仿宋_GB2312" w:hAnsi="仿宋_GB2312" w:eastAsia="仿宋_GB2312" w:cs="Times New Roman"/>
                <w:kern w:val="2"/>
                <w:sz w:val="24"/>
                <w:szCs w:val="24"/>
                <w:lang w:val="en-US" w:eastAsia="zh-CN" w:bidi="ar-SA"/>
              </w:rPr>
              <w:t>占用生态保护红线的国家重大项目，应严格落实生态环境分区管控要求，依法开展环境影响评价。</w:t>
            </w:r>
          </w:p>
          <w:p w14:paraId="64493E5C">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②</w:t>
            </w:r>
            <w:r>
              <w:rPr>
                <w:rFonts w:ascii="仿宋_GB2312" w:hAnsi="仿宋_GB2312" w:eastAsia="仿宋_GB2312" w:cs="Times New Roman"/>
                <w:kern w:val="2"/>
                <w:sz w:val="24"/>
                <w:szCs w:val="24"/>
                <w:lang w:val="en-US" w:eastAsia="zh-CN" w:bidi="ar-SA"/>
              </w:rPr>
              <w:t>生态保护红线内允许的有限人为活动和国家重大项目占用生态保护红线涉及临时用地的，按照自然资源部关于规范临时用地管理的有关要求，参照临时占用永久基本农田规定办理，严格落实恢复责任。</w:t>
            </w:r>
          </w:p>
        </w:tc>
      </w:tr>
      <w:tr w14:paraId="33EF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14:paraId="438D7BB0">
            <w:pPr>
              <w:widowControl w:val="0"/>
              <w:spacing w:line="500" w:lineRule="exact"/>
              <w:ind w:firstLine="0" w:firstLineChars="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稳妥有序处理历史遗留问题</w:t>
            </w:r>
          </w:p>
        </w:tc>
        <w:tc>
          <w:tcPr>
            <w:tcW w:w="7574" w:type="dxa"/>
            <w:vAlign w:val="center"/>
          </w:tcPr>
          <w:p w14:paraId="52700819">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①</w:t>
            </w:r>
            <w:r>
              <w:rPr>
                <w:rFonts w:ascii="仿宋_GB2312" w:hAnsi="仿宋_GB2312" w:eastAsia="仿宋_GB2312" w:cs="Times New Roman"/>
                <w:kern w:val="2"/>
                <w:sz w:val="24"/>
                <w:szCs w:val="24"/>
                <w:lang w:val="en-US" w:eastAsia="zh-CN" w:bidi="ar-SA"/>
              </w:rPr>
              <w:t>生态保护红线经国务院批准后，对需逐步退出的矿业权等，按照尊重历史、实事求是的原则，结合实际制定退出计划，明确时序安排、补偿安置、生态修复等要求，确保生态安全和社会稳定。</w:t>
            </w:r>
          </w:p>
          <w:p w14:paraId="15DA4BE7">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②</w:t>
            </w:r>
            <w:r>
              <w:rPr>
                <w:rFonts w:ascii="仿宋_GB2312" w:hAnsi="仿宋_GB2312" w:eastAsia="仿宋_GB2312" w:cs="Times New Roman"/>
                <w:kern w:val="2"/>
                <w:sz w:val="24"/>
                <w:szCs w:val="24"/>
                <w:lang w:val="en-US" w:eastAsia="zh-CN" w:bidi="ar-SA"/>
              </w:rPr>
              <w:t>鼓励有条件的地方通过租赁、转换、购买等方式，对人工商品林实行统一管护，并将重要生态区位的人工商品林按规定逐步转为公益</w:t>
            </w:r>
            <w:r>
              <w:rPr>
                <w:rFonts w:hint="eastAsia" w:ascii="仿宋_GB2312" w:hAnsi="仿宋_GB2312" w:eastAsia="仿宋_GB2312" w:cs="Times New Roman"/>
                <w:kern w:val="2"/>
                <w:sz w:val="24"/>
                <w:szCs w:val="24"/>
                <w:lang w:val="en-US" w:eastAsia="zh-CN" w:bidi="ar-SA"/>
              </w:rPr>
              <w:t>林。</w:t>
            </w:r>
          </w:p>
          <w:p w14:paraId="07ED4B82">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0"/>
                <w:lang w:val="en-US" w:eastAsia="zh-CN" w:bidi="ar-SA"/>
              </w:rPr>
              <w:t>③</w:t>
            </w:r>
            <w:r>
              <w:rPr>
                <w:rFonts w:ascii="仿宋_GB2312" w:hAnsi="仿宋_GB2312" w:eastAsia="仿宋_GB2312" w:cs="Times New Roman"/>
                <w:kern w:val="2"/>
                <w:sz w:val="24"/>
                <w:szCs w:val="24"/>
                <w:lang w:val="en-US" w:eastAsia="zh-CN" w:bidi="ar-SA"/>
              </w:rPr>
              <w:t>零星分布的已有水电、风电、光伏设施，按照相关法律法规规定进行管理，严禁扩大现有规模与范围，项目到期后由建设单位负责做好生态修复。</w:t>
            </w:r>
          </w:p>
        </w:tc>
      </w:tr>
    </w:tbl>
    <w:p w14:paraId="273603D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严格落实城镇开发边界</w:t>
      </w:r>
    </w:p>
    <w:p w14:paraId="264C9761">
      <w:pPr>
        <w:pStyle w:val="7"/>
        <w:ind w:firstLine="640" w:firstLineChars="200"/>
        <w:rPr>
          <w:rFonts w:hint="eastAsia" w:ascii="仿宋_GB2312" w:hAnsi="仿宋_GB2312" w:eastAsia="仿宋_GB2312" w:cs="仿宋_GB2312"/>
          <w:szCs w:val="24"/>
          <w:u w:val="none"/>
          <w:lang w:eastAsia="zh-CN" w:bidi="ar"/>
        </w:rPr>
      </w:pPr>
      <w:r>
        <w:rPr>
          <w:rFonts w:hint="eastAsia" w:ascii="仿宋_GB2312" w:hAnsi="仿宋_GB2312" w:eastAsia="仿宋_GB2312" w:cs="仿宋_GB2312"/>
          <w:szCs w:val="24"/>
          <w:u w:val="single"/>
          <w:lang w:bidi="ar"/>
        </w:rPr>
        <w:t>到2035年，</w:t>
      </w:r>
      <w:r>
        <w:rPr>
          <w:rFonts w:hint="eastAsia" w:ascii="仿宋_GB2312" w:hAnsi="仿宋_GB2312" w:eastAsia="仿宋_GB2312" w:cs="仿宋_GB2312"/>
          <w:szCs w:val="24"/>
          <w:u w:val="single"/>
          <w:lang w:val="en-US" w:eastAsia="zh-CN" w:bidi="ar"/>
        </w:rPr>
        <w:t>倒淌河镇</w:t>
      </w:r>
      <w:r>
        <w:rPr>
          <w:rFonts w:hint="eastAsia" w:ascii="仿宋_GB2312" w:hAnsi="仿宋_GB2312" w:eastAsia="仿宋_GB2312" w:cs="仿宋_GB2312"/>
          <w:szCs w:val="24"/>
          <w:u w:val="single"/>
          <w:lang w:bidi="ar"/>
        </w:rPr>
        <w:t>城镇开发边界面积控制在2020年现状城镇建设用地规模的</w:t>
      </w:r>
      <w:r>
        <w:rPr>
          <w:rFonts w:hint="eastAsia" w:ascii="仿宋_GB2312" w:hAnsi="仿宋_GB2312" w:eastAsia="仿宋_GB2312" w:cs="仿宋_GB2312"/>
          <w:szCs w:val="24"/>
          <w:u w:val="single"/>
          <w:lang w:val="en-US" w:eastAsia="zh-CN" w:bidi="ar"/>
        </w:rPr>
        <w:t>1.12</w:t>
      </w:r>
      <w:r>
        <w:rPr>
          <w:rFonts w:hint="eastAsia" w:ascii="仿宋_GB2312" w:hAnsi="仿宋_GB2312" w:eastAsia="仿宋_GB2312" w:cs="仿宋_GB2312"/>
          <w:szCs w:val="24"/>
          <w:u w:val="single"/>
          <w:lang w:bidi="ar"/>
        </w:rPr>
        <w:t>倍</w:t>
      </w:r>
      <w:r>
        <w:rPr>
          <w:rFonts w:hint="eastAsia" w:ascii="仿宋_GB2312" w:hAnsi="仿宋_GB2312" w:cs="仿宋_GB2312"/>
          <w:szCs w:val="24"/>
          <w:u w:val="single"/>
          <w:lang w:eastAsia="zh-CN" w:bidi="ar"/>
        </w:rPr>
        <w:t>，</w:t>
      </w:r>
      <w:r>
        <w:rPr>
          <w:rFonts w:hint="eastAsia" w:ascii="仿宋_GB2312" w:hAnsi="仿宋_GB2312" w:cs="仿宋_GB2312"/>
          <w:szCs w:val="24"/>
          <w:u w:val="single"/>
          <w:lang w:val="en-US" w:eastAsia="zh-CN" w:bidi="ar"/>
        </w:rPr>
        <w:t>城镇开发边界面积79.92公顷</w:t>
      </w:r>
      <w:r>
        <w:rPr>
          <w:rFonts w:hint="eastAsia" w:ascii="仿宋_GB2312" w:hAnsi="仿宋_GB2312" w:eastAsia="仿宋_GB2312" w:cs="仿宋_GB2312"/>
          <w:szCs w:val="24"/>
          <w:u w:val="none"/>
          <w:lang w:eastAsia="zh-CN" w:bidi="ar"/>
        </w:rPr>
        <w:t>。城镇开发边界一经划定，原则上不得调整，因国家和省重大战略实施、重大政策调整、重大项目建设</w:t>
      </w:r>
      <w:r>
        <w:rPr>
          <w:rFonts w:hint="eastAsia" w:ascii="仿宋_GB2312" w:hAnsi="仿宋_GB2312" w:cs="仿宋_GB2312"/>
          <w:szCs w:val="24"/>
          <w:u w:val="none"/>
          <w:lang w:eastAsia="zh-CN" w:bidi="ar"/>
        </w:rPr>
        <w:t>，以及</w:t>
      </w:r>
      <w:r>
        <w:rPr>
          <w:rFonts w:hint="eastAsia" w:ascii="仿宋_GB2312" w:hAnsi="仿宋_GB2312" w:eastAsia="仿宋_GB2312" w:cs="仿宋_GB2312"/>
          <w:szCs w:val="24"/>
          <w:u w:val="none"/>
          <w:lang w:eastAsia="zh-CN" w:bidi="ar"/>
        </w:rPr>
        <w:t>行政区划调整等确需调整的，按国土空间规划修改程序进行。</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B6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tcPr>
          <w:p w14:paraId="3D712C3A">
            <w:pPr>
              <w:tabs>
                <w:tab w:val="left" w:pos="353"/>
              </w:tabs>
              <w:spacing w:line="600" w:lineRule="exact"/>
              <w:ind w:firstLine="21" w:firstLineChars="7"/>
              <w:jc w:val="center"/>
              <w:rPr>
                <w:rFonts w:ascii="仿宋_GB2312" w:hAnsi="仿宋_GB2312" w:eastAsia="仿宋_GB2312" w:cs="Times New Roman"/>
                <w:b/>
                <w:sz w:val="21"/>
                <w:szCs w:val="28"/>
              </w:rPr>
            </w:pPr>
            <w:r>
              <w:rPr>
                <w:rFonts w:hint="eastAsia" w:ascii="黑体" w:hAnsi="黑体" w:eastAsia="黑体" w:cs="Times New Roman"/>
                <w:sz w:val="30"/>
                <w:szCs w:val="30"/>
              </w:rPr>
              <w:t>专栏</w:t>
            </w:r>
            <w:r>
              <w:rPr>
                <w:rFonts w:hint="eastAsia" w:ascii="黑体" w:hAnsi="黑体" w:eastAsia="黑体" w:cs="Times New Roman"/>
                <w:sz w:val="30"/>
                <w:szCs w:val="30"/>
                <w:lang w:val="en-US" w:eastAsia="zh-CN"/>
              </w:rPr>
              <w:t>5</w:t>
            </w:r>
            <w:r>
              <w:rPr>
                <w:rFonts w:ascii="黑体" w:hAnsi="黑体" w:eastAsia="黑体" w:cs="Times New Roman"/>
                <w:sz w:val="30"/>
                <w:szCs w:val="30"/>
              </w:rPr>
              <w:t xml:space="preserve"> </w:t>
            </w:r>
            <w:r>
              <w:rPr>
                <w:rFonts w:hint="eastAsia" w:ascii="黑体" w:hAnsi="黑体" w:eastAsia="黑体" w:cs="Times New Roman"/>
                <w:sz w:val="30"/>
                <w:szCs w:val="30"/>
              </w:rPr>
              <w:t>城镇开发边界管理规则</w:t>
            </w:r>
          </w:p>
        </w:tc>
      </w:tr>
      <w:tr w14:paraId="0EC2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000" w:type="pct"/>
          </w:tcPr>
          <w:p w14:paraId="2873228D">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bookmarkStart w:id="23" w:name="_Hlk133223133"/>
            <w:r>
              <w:rPr>
                <w:rFonts w:hint="eastAsia" w:ascii="仿宋_GB2312" w:hAnsi="仿宋_GB2312" w:eastAsia="仿宋_GB2312" w:cs="Times New Roman"/>
                <w:kern w:val="2"/>
                <w:sz w:val="24"/>
                <w:szCs w:val="24"/>
                <w:lang w:val="en-US" w:eastAsia="zh-CN" w:bidi="ar-SA"/>
              </w:rPr>
              <w:t>城镇开发边界内，各类建设活动严格实行用途管制，按照规划用途依法办理有关手续，并加强与水体保护线、绿地系统线、基础设施建设控制线、历史文化保护线等协同管控。严格城镇开发边界外的空间准入，原则上除特殊用地外，只能用于农业生产、乡村振兴、生态保护和交通等基础设施建设，不得进行城镇集中建设，不得设立各类开发区。</w:t>
            </w:r>
          </w:p>
          <w:p w14:paraId="2141A140">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①集中建设区用于布局城市、建制镇和新区、开发区等各类城镇集中建设。</w:t>
            </w:r>
          </w:p>
          <w:p w14:paraId="68A21B34">
            <w:pPr>
              <w:widowControl w:val="0"/>
              <w:spacing w:line="500" w:lineRule="exact"/>
              <w:ind w:firstLine="480" w:firstLineChars="200"/>
              <w:jc w:val="both"/>
              <w:rPr>
                <w:rFonts w:ascii="仿宋_GB2312" w:hAnsi="仿宋_GB2312" w:eastAsia="仿宋_GB2312" w:cs="Times New Roman"/>
                <w:kern w:val="2"/>
                <w:sz w:val="24"/>
                <w:szCs w:val="24"/>
                <w:lang w:val="en-US" w:eastAsia="zh-CN" w:bidi="ar-SA"/>
              </w:rPr>
            </w:pPr>
            <w:r>
              <w:rPr>
                <w:rFonts w:hint="eastAsia" w:ascii="仿宋_GB2312" w:hAnsi="仿宋_GB2312" w:eastAsia="仿宋_GB2312" w:cs="Times New Roman"/>
                <w:kern w:val="2"/>
                <w:sz w:val="24"/>
                <w:szCs w:val="24"/>
                <w:lang w:val="en-US" w:eastAsia="zh-CN" w:bidi="ar-SA"/>
              </w:rPr>
              <w:t>②弹性发展区在满足特定条件下方可进行城镇开发和集中建设。在不突破规划城镇建设用地规模的前提下，城镇建设用地布局可在弹性发展区范围内进行调整。</w:t>
            </w:r>
          </w:p>
          <w:p w14:paraId="37CD1870">
            <w:pPr>
              <w:tabs>
                <w:tab w:val="left" w:pos="353"/>
              </w:tabs>
              <w:spacing w:line="500" w:lineRule="exact"/>
              <w:ind w:firstLine="480" w:firstLineChars="200"/>
              <w:rPr>
                <w:rFonts w:ascii="仿宋_GB2312" w:hAnsi="仿宋_GB2312" w:eastAsia="仿宋_GB2312" w:cs="Times New Roman"/>
                <w:sz w:val="24"/>
                <w:szCs w:val="24"/>
              </w:rPr>
            </w:pPr>
            <w:r>
              <w:rPr>
                <w:rFonts w:hint="eastAsia" w:ascii="仿宋_GB2312" w:hAnsi="仿宋_GB2312" w:eastAsia="仿宋_GB2312" w:cs="Times New Roman"/>
                <w:sz w:val="24"/>
                <w:szCs w:val="24"/>
              </w:rPr>
              <w:t>③特别用途区原则上禁止任何城镇集中建设行为，实施建设用地总量控制，原则上不得新增除市政基础设施、交通物流基础设施、生态修复工程、必要的配套及游憩设施外的其他城镇建设用地。</w:t>
            </w:r>
            <w:bookmarkEnd w:id="23"/>
          </w:p>
        </w:tc>
      </w:tr>
    </w:tbl>
    <w:p w14:paraId="1D5487B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强化自然灾害综合风险防控</w:t>
      </w:r>
    </w:p>
    <w:p w14:paraId="6D97143E">
      <w:pPr>
        <w:pStyle w:val="7"/>
        <w:ind w:firstLine="640" w:firstLineChars="200"/>
        <w:rPr>
          <w:rFonts w:hint="eastAsia" w:ascii="仿宋_GB2312" w:hAnsi="仿宋_GB2312" w:eastAsia="仿宋_GB2312" w:cs="仿宋_GB2312"/>
          <w:szCs w:val="24"/>
          <w:u w:val="none"/>
          <w:lang w:bidi="ar"/>
        </w:rPr>
      </w:pPr>
      <w:r>
        <w:rPr>
          <w:rFonts w:hint="eastAsia" w:ascii="楷体_GB2312" w:hAnsi="楷体_GB2312" w:eastAsia="楷体_GB2312" w:cs="楷体_GB2312"/>
          <w:b w:val="0"/>
          <w:bCs w:val="0"/>
          <w:szCs w:val="24"/>
          <w:u w:val="none"/>
          <w:lang w:bidi="ar"/>
        </w:rPr>
        <w:t>地质灾害风险区。</w:t>
      </w:r>
      <w:r>
        <w:rPr>
          <w:rFonts w:hint="eastAsia" w:ascii="仿宋_GB2312" w:hAnsi="仿宋_GB2312" w:eastAsia="仿宋_GB2312" w:cs="仿宋_GB2312"/>
          <w:szCs w:val="24"/>
          <w:u w:val="none"/>
          <w:lang w:bidi="ar"/>
        </w:rPr>
        <w:t>镇域地质灾害主要类型包括滑坡、崩塌、泥石流等，地质灾害高风险区主要分布于镇区</w:t>
      </w:r>
      <w:r>
        <w:rPr>
          <w:rFonts w:hint="eastAsia" w:ascii="仿宋_GB2312" w:hAnsi="仿宋_GB2312" w:cs="仿宋_GB2312"/>
          <w:szCs w:val="24"/>
          <w:u w:val="none"/>
          <w:lang w:val="en-US" w:eastAsia="zh-CN" w:bidi="ar"/>
        </w:rPr>
        <w:t>及周边村庄</w:t>
      </w:r>
      <w:r>
        <w:rPr>
          <w:rFonts w:hint="eastAsia" w:ascii="仿宋_GB2312" w:hAnsi="仿宋_GB2312" w:eastAsia="仿宋_GB2312" w:cs="仿宋_GB2312"/>
          <w:szCs w:val="24"/>
          <w:u w:val="none"/>
          <w:lang w:bidi="ar"/>
        </w:rPr>
        <w:t>地区以及</w:t>
      </w:r>
      <w:r>
        <w:rPr>
          <w:rFonts w:hint="eastAsia" w:ascii="仿宋_GB2312" w:hAnsi="仿宋_GB2312" w:cs="仿宋_GB2312"/>
          <w:szCs w:val="24"/>
          <w:u w:val="none"/>
          <w:lang w:val="en-US" w:eastAsia="zh-CN" w:bidi="ar"/>
        </w:rPr>
        <w:t>元者村、黄科村中部区域</w:t>
      </w:r>
      <w:r>
        <w:rPr>
          <w:rFonts w:hint="eastAsia" w:ascii="仿宋_GB2312" w:hAnsi="仿宋_GB2312" w:eastAsia="仿宋_GB2312" w:cs="仿宋_GB2312"/>
          <w:szCs w:val="24"/>
          <w:u w:val="none"/>
          <w:lang w:bidi="ar"/>
        </w:rPr>
        <w:t>，高风险区面积约</w:t>
      </w:r>
      <w:r>
        <w:rPr>
          <w:rFonts w:hint="eastAsia" w:ascii="仿宋_GB2312" w:hAnsi="仿宋_GB2312" w:cs="仿宋_GB2312"/>
          <w:szCs w:val="24"/>
          <w:u w:val="none"/>
          <w:lang w:val="en-US" w:eastAsia="zh-CN" w:bidi="ar"/>
        </w:rPr>
        <w:t>275.74</w:t>
      </w:r>
      <w:r>
        <w:rPr>
          <w:rFonts w:hint="eastAsia" w:ascii="仿宋_GB2312" w:hAnsi="仿宋_GB2312" w:eastAsia="仿宋_GB2312" w:cs="仿宋_GB2312"/>
          <w:szCs w:val="24"/>
          <w:u w:val="none"/>
          <w:lang w:bidi="ar"/>
        </w:rPr>
        <w:t>平方千米。城乡建设应充分考虑地质灾害风险影响，分类明确风险管控措施，高风险区应采取地质灾害避险搬迁、排危除险等整治措施严控风险。中风险区应落实风险管控措施，采取地质灾害综合整治措施开展治理，全力确保安全。低风险区要按规定落实地质灾害防范措施，开展城乡建设。单独选址项目应按照地质灾害防治相关要求，开展地质灾害危险性评估并配套实施相关防护工程。</w:t>
      </w:r>
    </w:p>
    <w:p w14:paraId="36A44E77">
      <w:pPr>
        <w:pStyle w:val="7"/>
        <w:ind w:firstLine="640" w:firstLineChars="200"/>
        <w:rPr>
          <w:rFonts w:hint="eastAsia" w:ascii="仿宋_GB2312" w:hAnsi="仿宋_GB2312" w:eastAsia="仿宋_GB2312" w:cs="仿宋_GB2312"/>
          <w:szCs w:val="24"/>
          <w:u w:val="none"/>
          <w:lang w:bidi="ar"/>
        </w:rPr>
      </w:pPr>
      <w:r>
        <w:rPr>
          <w:rFonts w:hint="eastAsia" w:ascii="楷体_GB2312" w:hAnsi="楷体_GB2312" w:eastAsia="楷体_GB2312" w:cs="楷体_GB2312"/>
          <w:szCs w:val="24"/>
          <w:u w:val="none"/>
          <w:lang w:bidi="ar"/>
        </w:rPr>
        <w:t>洪涝风险控制线。</w:t>
      </w:r>
      <w:r>
        <w:rPr>
          <w:rFonts w:hint="eastAsia" w:ascii="仿宋_GB2312" w:hAnsi="仿宋_GB2312" w:eastAsia="仿宋_GB2312" w:cs="仿宋_GB2312"/>
          <w:szCs w:val="24"/>
          <w:u w:val="none"/>
          <w:lang w:bidi="ar"/>
        </w:rPr>
        <w:t>以水利部门依法划定的河湖管理范围为基础，将</w:t>
      </w:r>
      <w:r>
        <w:rPr>
          <w:rFonts w:hint="eastAsia" w:ascii="仿宋_GB2312" w:hAnsi="仿宋_GB2312" w:cs="仿宋_GB2312"/>
          <w:szCs w:val="24"/>
          <w:u w:val="none"/>
          <w:lang w:val="en-US" w:eastAsia="zh-CN" w:bidi="ar"/>
        </w:rPr>
        <w:t>镇域</w:t>
      </w:r>
      <w:r>
        <w:rPr>
          <w:rFonts w:hint="eastAsia" w:ascii="仿宋_GB2312" w:hAnsi="仿宋_GB2312" w:eastAsia="仿宋_GB2312" w:cs="仿宋_GB2312"/>
          <w:szCs w:val="24"/>
          <w:u w:val="none"/>
          <w:lang w:bidi="ar"/>
        </w:rPr>
        <w:t>主要水库、河湖湿地等洪涝水行泄、调蓄的自然空间划入洪涝风险控制线，保障防洪排涝系统完整性和通达性，</w:t>
      </w:r>
      <w:r>
        <w:rPr>
          <w:rFonts w:hint="eastAsia" w:ascii="仿宋_GB2312" w:hAnsi="仿宋_GB2312" w:eastAsia="仿宋_GB2312" w:cs="仿宋_GB2312"/>
          <w:szCs w:val="24"/>
          <w:u w:val="single"/>
          <w:lang w:bidi="ar"/>
        </w:rPr>
        <w:t>洪涝风险控制线总面积</w:t>
      </w:r>
      <w:r>
        <w:rPr>
          <w:rFonts w:hint="eastAsia" w:ascii="仿宋_GB2312" w:hAnsi="仿宋_GB2312" w:cs="仿宋_GB2312"/>
          <w:szCs w:val="24"/>
          <w:u w:val="single"/>
          <w:lang w:val="en-US" w:eastAsia="zh-CN" w:bidi="ar"/>
        </w:rPr>
        <w:t>36.09</w:t>
      </w:r>
      <w:r>
        <w:rPr>
          <w:rFonts w:hint="eastAsia" w:ascii="仿宋_GB2312" w:hAnsi="仿宋_GB2312" w:eastAsia="仿宋_GB2312" w:cs="仿宋_GB2312"/>
          <w:szCs w:val="24"/>
          <w:u w:val="single"/>
          <w:lang w:bidi="ar"/>
        </w:rPr>
        <w:t>平方千米。</w:t>
      </w:r>
      <w:r>
        <w:rPr>
          <w:rFonts w:hint="eastAsia" w:ascii="仿宋_GB2312" w:hAnsi="仿宋_GB2312" w:eastAsia="仿宋_GB2312" w:cs="仿宋_GB2312"/>
          <w:szCs w:val="24"/>
          <w:u w:val="none"/>
          <w:lang w:bidi="ar"/>
        </w:rPr>
        <w:t>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28A618DB">
      <w:pPr>
        <w:pStyle w:val="3"/>
        <w:keepNext/>
        <w:keepLines/>
        <w:pageBreakBefore w:val="0"/>
        <w:widowControl w:val="0"/>
        <w:numPr>
          <w:ilvl w:val="1"/>
          <w:numId w:val="6"/>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24" w:name="_Toc23350"/>
      <w:r>
        <w:rPr>
          <w:rFonts w:hint="eastAsia" w:ascii="Arial" w:hAnsi="Arial" w:eastAsia="黑体" w:cs="Times New Roman"/>
          <w:b w:val="0"/>
          <w:lang w:val="zh-CN"/>
        </w:rPr>
        <w:t>严格落实主体功能区布局</w:t>
      </w:r>
      <w:bookmarkEnd w:id="24"/>
    </w:p>
    <w:p w14:paraId="239DADE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落实主体功能区布局</w:t>
      </w:r>
    </w:p>
    <w:p w14:paraId="466C4463">
      <w:pPr>
        <w:pStyle w:val="7"/>
        <w:ind w:firstLine="640" w:firstLineChars="200"/>
        <w:rPr>
          <w:rFonts w:hint="eastAsia" w:ascii="仿宋_GB2312" w:hAnsi="仿宋_GB2312" w:eastAsia="仿宋_GB2312" w:cs="仿宋_GB2312"/>
          <w:szCs w:val="24"/>
          <w:u w:val="none"/>
          <w:lang w:bidi="ar"/>
        </w:rPr>
      </w:pPr>
      <w:r>
        <w:rPr>
          <w:rFonts w:hint="eastAsia" w:ascii="仿宋_GB2312" w:hAnsi="仿宋_GB2312" w:eastAsia="仿宋_GB2312" w:cs="仿宋_GB2312"/>
          <w:szCs w:val="24"/>
          <w:u w:val="none"/>
          <w:lang w:val="en-US" w:eastAsia="zh-CN" w:bidi="ar"/>
        </w:rPr>
        <w:t>共和县国土空间规划确定</w:t>
      </w:r>
      <w:r>
        <w:rPr>
          <w:rFonts w:hint="eastAsia" w:ascii="仿宋_GB2312" w:hAnsi="仿宋_GB2312" w:cs="仿宋_GB2312"/>
          <w:szCs w:val="24"/>
          <w:u w:val="none"/>
          <w:lang w:val="en-US" w:eastAsia="zh-CN" w:bidi="ar"/>
        </w:rPr>
        <w:t>倒淌河</w:t>
      </w:r>
      <w:r>
        <w:rPr>
          <w:rFonts w:hint="eastAsia" w:ascii="仿宋_GB2312" w:hAnsi="仿宋_GB2312" w:eastAsia="仿宋_GB2312" w:cs="仿宋_GB2312"/>
          <w:szCs w:val="24"/>
          <w:u w:val="none"/>
          <w:lang w:val="en-US" w:eastAsia="zh-CN" w:bidi="ar"/>
        </w:rPr>
        <w:t>镇为</w:t>
      </w:r>
      <w:r>
        <w:rPr>
          <w:rFonts w:hint="eastAsia" w:ascii="仿宋_GB2312" w:hAnsi="仿宋_GB2312" w:cs="仿宋_GB2312"/>
          <w:szCs w:val="24"/>
          <w:u w:val="none"/>
          <w:lang w:val="en-US" w:eastAsia="zh-CN" w:bidi="ar"/>
        </w:rPr>
        <w:t>重点生态功能区</w:t>
      </w:r>
      <w:r>
        <w:rPr>
          <w:rFonts w:hint="eastAsia" w:ascii="仿宋_GB2312" w:hAnsi="仿宋_GB2312" w:eastAsia="仿宋_GB2312" w:cs="仿宋_GB2312"/>
          <w:szCs w:val="24"/>
          <w:u w:val="none"/>
          <w:lang w:val="en-US" w:eastAsia="zh-CN" w:bidi="ar"/>
        </w:rPr>
        <w:t>，</w:t>
      </w:r>
      <w:r>
        <w:rPr>
          <w:rFonts w:hint="eastAsia" w:ascii="仿宋_GB2312" w:hAnsi="仿宋_GB2312" w:cs="仿宋_GB2312"/>
          <w:szCs w:val="24"/>
          <w:u w:val="none"/>
          <w:lang w:val="en-US" w:eastAsia="zh-CN" w:bidi="ar"/>
        </w:rPr>
        <w:t>以生态保护为重点。</w:t>
      </w:r>
    </w:p>
    <w:p w14:paraId="31F2DD1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加强主体功能区管控</w:t>
      </w:r>
    </w:p>
    <w:p w14:paraId="687794A6">
      <w:pPr>
        <w:pStyle w:val="7"/>
        <w:ind w:firstLine="640" w:firstLineChars="200"/>
        <w:rPr>
          <w:rFonts w:hint="eastAsia" w:ascii="仿宋_GB2312" w:hAnsi="仿宋_GB2312" w:eastAsia="仿宋_GB2312" w:cs="仿宋_GB2312"/>
          <w:szCs w:val="24"/>
          <w:u w:val="none"/>
          <w:lang w:val="en-US" w:eastAsia="zh-CN" w:bidi="ar"/>
        </w:rPr>
      </w:pPr>
      <w:r>
        <w:rPr>
          <w:rFonts w:hint="eastAsia" w:ascii="仿宋_GB2312" w:hAnsi="仿宋_GB2312" w:cs="仿宋_GB2312"/>
          <w:szCs w:val="24"/>
          <w:u w:val="none"/>
          <w:lang w:val="en-US" w:eastAsia="zh-CN" w:bidi="ar"/>
        </w:rPr>
        <w:t>倒淌河</w:t>
      </w:r>
      <w:r>
        <w:rPr>
          <w:rFonts w:hint="eastAsia" w:ascii="仿宋_GB2312" w:hAnsi="仿宋_GB2312" w:eastAsia="仿宋_GB2312" w:cs="仿宋_GB2312"/>
          <w:szCs w:val="24"/>
          <w:u w:val="none"/>
          <w:lang w:val="en-US" w:eastAsia="zh-CN" w:bidi="ar"/>
        </w:rPr>
        <w:t>镇为</w:t>
      </w:r>
      <w:r>
        <w:rPr>
          <w:rFonts w:hint="eastAsia" w:ascii="仿宋_GB2312" w:hAnsi="仿宋_GB2312" w:cs="仿宋_GB2312"/>
          <w:szCs w:val="24"/>
          <w:u w:val="none"/>
          <w:lang w:val="en-US" w:eastAsia="zh-CN" w:bidi="ar"/>
        </w:rPr>
        <w:t>重点生态功能区，</w:t>
      </w:r>
      <w:r>
        <w:rPr>
          <w:rFonts w:hint="eastAsia" w:ascii="仿宋_GB2312" w:hAnsi="仿宋_GB2312" w:eastAsia="仿宋_GB2312" w:cs="仿宋_GB2312"/>
          <w:szCs w:val="24"/>
          <w:u w:val="none"/>
          <w:lang w:val="en-US" w:eastAsia="zh-CN" w:bidi="ar"/>
        </w:rPr>
        <w:t>划定青海湖生态保护区，构建青海湖草原湿地生态屏障。大力推动青海湖及周边湿地、草原、森林灌丛保护修复，治理沙化土地；保护鱼类、鸟类野生动物栖息地及繁殖地，严防外来生物入侵；加强地文景观、水域景观、生物景观、天象与气候景观等自然景观保护。</w:t>
      </w:r>
    </w:p>
    <w:p w14:paraId="412193F5">
      <w:pPr>
        <w:pStyle w:val="3"/>
        <w:keepNext/>
        <w:keepLines/>
        <w:pageBreakBefore w:val="0"/>
        <w:widowControl w:val="0"/>
        <w:numPr>
          <w:ilvl w:val="1"/>
          <w:numId w:val="6"/>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25" w:name="_Toc8037"/>
      <w:r>
        <w:rPr>
          <w:rFonts w:hint="eastAsia" w:ascii="Arial" w:hAnsi="Arial" w:eastAsia="黑体" w:cs="Times New Roman"/>
          <w:b w:val="0"/>
          <w:lang w:val="zh-CN"/>
        </w:rPr>
        <w:t>构建国土空间开发保护新格局</w:t>
      </w:r>
      <w:bookmarkEnd w:id="25"/>
    </w:p>
    <w:p w14:paraId="74A6F2B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国土空间开发保护总体格局</w:t>
      </w:r>
    </w:p>
    <w:p w14:paraId="4B422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val="en-US" w:eastAsia="zh-CN"/>
        </w:rPr>
        <w:t>构建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一核、一轴、一带、四区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总体空间</w:t>
      </w:r>
      <w:r>
        <w:rPr>
          <w:rFonts w:hint="eastAsia" w:ascii="仿宋_GB2312" w:hAnsi="仿宋_GB2312" w:eastAsia="仿宋_GB2312" w:cs="仿宋_GB2312"/>
          <w:sz w:val="32"/>
          <w:szCs w:val="32"/>
        </w:rPr>
        <w:t>格局。</w:t>
      </w:r>
    </w:p>
    <w:p w14:paraId="38EDD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一核：</w:t>
      </w:r>
      <w:r>
        <w:rPr>
          <w:rFonts w:hint="eastAsia" w:ascii="仿宋_GB2312" w:hAnsi="仿宋_GB2312" w:eastAsia="仿宋_GB2312" w:cs="仿宋_GB2312"/>
          <w:sz w:val="32"/>
          <w:szCs w:val="32"/>
        </w:rPr>
        <w:t>以镇区为中心的公共服务和旅游休闲服务核</w:t>
      </w:r>
      <w:r>
        <w:rPr>
          <w:rFonts w:hint="eastAsia" w:ascii="仿宋_GB2312" w:hAnsi="仿宋_GB2312" w:eastAsia="仿宋_GB2312" w:cs="仿宋_GB2312"/>
          <w:sz w:val="32"/>
          <w:szCs w:val="32"/>
          <w:lang w:val="en-US" w:eastAsia="zh-CN"/>
        </w:rPr>
        <w:t>心</w:t>
      </w:r>
      <w:r>
        <w:rPr>
          <w:rFonts w:hint="eastAsia" w:ascii="仿宋_GB2312" w:hAnsi="仿宋_GB2312" w:eastAsia="仿宋_GB2312" w:cs="仿宋_GB2312"/>
          <w:sz w:val="32"/>
          <w:szCs w:val="32"/>
          <w:lang w:eastAsia="zh-CN"/>
        </w:rPr>
        <w:t>。</w:t>
      </w:r>
    </w:p>
    <w:p w14:paraId="561AA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一轴：</w:t>
      </w:r>
      <w:r>
        <w:rPr>
          <w:rFonts w:hint="eastAsia" w:ascii="仿宋_GB2312" w:hAnsi="仿宋_GB2312" w:eastAsia="仿宋_GB2312" w:cs="仿宋_GB2312"/>
          <w:sz w:val="32"/>
          <w:szCs w:val="32"/>
        </w:rPr>
        <w:t>以京藏高速为基础，打造</w:t>
      </w:r>
      <w:r>
        <w:rPr>
          <w:rFonts w:hint="eastAsia" w:ascii="仿宋_GB2312" w:hAnsi="仿宋_GB2312" w:eastAsia="仿宋_GB2312" w:cs="仿宋_GB2312"/>
          <w:sz w:val="32"/>
          <w:szCs w:val="32"/>
          <w:lang w:val="en-US" w:eastAsia="zh-CN"/>
        </w:rPr>
        <w:t>联系共和县城</w:t>
      </w:r>
      <w:r>
        <w:rPr>
          <w:rFonts w:hint="eastAsia" w:ascii="仿宋_GB2312" w:hAnsi="仿宋_GB2312" w:eastAsia="仿宋_GB2312" w:cs="仿宋_GB2312"/>
          <w:sz w:val="32"/>
          <w:szCs w:val="32"/>
        </w:rPr>
        <w:t>的城镇</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发展轴。</w:t>
      </w:r>
    </w:p>
    <w:p w14:paraId="16F22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一带：</w:t>
      </w:r>
      <w:r>
        <w:rPr>
          <w:rFonts w:hint="eastAsia" w:ascii="仿宋_GB2312" w:hAnsi="仿宋_GB2312" w:eastAsia="仿宋_GB2312" w:cs="仿宋_GB2312"/>
          <w:sz w:val="32"/>
          <w:szCs w:val="32"/>
          <w:lang w:val="en-US" w:eastAsia="zh-CN"/>
        </w:rPr>
        <w:t>沿倒淌河形成滨河生态保护带。</w:t>
      </w:r>
    </w:p>
    <w:p w14:paraId="247CB7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四区：</w:t>
      </w:r>
      <w:r>
        <w:rPr>
          <w:rFonts w:hint="eastAsia" w:ascii="仿宋_GB2312" w:hAnsi="仿宋_GB2312" w:eastAsia="仿宋_GB2312" w:cs="仿宋_GB2312"/>
          <w:sz w:val="32"/>
          <w:szCs w:val="32"/>
        </w:rPr>
        <w:t>以青海湖为本底的生态涵养区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沿倒淌河河谷的</w:t>
      </w:r>
      <w:r>
        <w:rPr>
          <w:rFonts w:hint="eastAsia" w:ascii="仿宋_GB2312" w:hAnsi="仿宋_GB2312" w:eastAsia="仿宋_GB2312" w:cs="仿宋_GB2312"/>
          <w:sz w:val="32"/>
          <w:szCs w:val="32"/>
          <w:lang w:val="en-US" w:eastAsia="zh-CN"/>
        </w:rPr>
        <w:t>现代农牧业协调区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青海南山及</w:t>
      </w:r>
      <w:r>
        <w:rPr>
          <w:rFonts w:hint="eastAsia" w:ascii="仿宋_GB2312" w:hAnsi="仿宋_GB2312" w:eastAsia="仿宋_GB2312" w:cs="仿宋_GB2312"/>
          <w:sz w:val="32"/>
          <w:szCs w:val="32"/>
          <w:lang w:val="en-US" w:eastAsia="zh-CN"/>
        </w:rPr>
        <w:t>日月山为依托的高原生态畜牧区</w:t>
      </w:r>
      <w:r>
        <w:rPr>
          <w:rFonts w:hint="eastAsia" w:ascii="仿宋_GB2312" w:hAnsi="仿宋_GB2312" w:eastAsia="仿宋_GB2312" w:cs="仿宋_GB2312"/>
          <w:sz w:val="32"/>
          <w:szCs w:val="32"/>
          <w:lang w:eastAsia="zh-CN"/>
        </w:rPr>
        <w:t>。</w:t>
      </w:r>
    </w:p>
    <w:p w14:paraId="52E008FF">
      <w:pPr>
        <w:pStyle w:val="3"/>
        <w:keepNext/>
        <w:keepLines/>
        <w:pageBreakBefore w:val="0"/>
        <w:widowControl w:val="0"/>
        <w:numPr>
          <w:ilvl w:val="1"/>
          <w:numId w:val="6"/>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26" w:name="_Toc22480"/>
      <w:r>
        <w:rPr>
          <w:rFonts w:hint="eastAsia" w:ascii="Arial" w:hAnsi="Arial" w:eastAsia="黑体" w:cs="Times New Roman"/>
          <w:b w:val="0"/>
          <w:lang w:val="zh-CN"/>
        </w:rPr>
        <w:t>国土空间规划分区与用途管制</w:t>
      </w:r>
      <w:bookmarkEnd w:id="26"/>
    </w:p>
    <w:p w14:paraId="007768A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生态保护区</w:t>
      </w:r>
    </w:p>
    <w:p w14:paraId="073522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县级国土空间规划</w:t>
      </w:r>
      <w:r>
        <w:rPr>
          <w:rFonts w:hint="eastAsia" w:ascii="仿宋_GB2312" w:hAnsi="仿宋_GB2312" w:eastAsia="仿宋_GB2312" w:cs="仿宋_GB2312"/>
          <w:sz w:val="32"/>
          <w:szCs w:val="32"/>
        </w:rPr>
        <w:t>“三区三线”划定成果，对生态功能重要区域及生态环境敏感脆弱区域进行严格保护。本次规划落实上位划定的生态保护区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面积约</w:t>
      </w:r>
      <w:r>
        <w:rPr>
          <w:rFonts w:hint="eastAsia" w:ascii="仿宋_GB2312" w:hAnsi="仿宋_GB2312" w:eastAsia="仿宋_GB2312" w:cs="仿宋_GB2312"/>
          <w:sz w:val="32"/>
          <w:szCs w:val="32"/>
          <w:lang w:val="en-US" w:eastAsia="zh-CN"/>
        </w:rPr>
        <w:t>占全镇国土总面积的63.87%，主要分布在青海湖和倒淌河地区</w:t>
      </w:r>
      <w:r>
        <w:rPr>
          <w:rFonts w:hint="eastAsia" w:ascii="仿宋_GB2312" w:hAnsi="仿宋_GB2312" w:eastAsia="仿宋_GB2312" w:cs="仿宋_GB2312"/>
          <w:sz w:val="32"/>
          <w:szCs w:val="32"/>
        </w:rPr>
        <w:t>。</w:t>
      </w:r>
    </w:p>
    <w:p w14:paraId="2AD6E21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生态控制区</w:t>
      </w:r>
    </w:p>
    <w:p w14:paraId="3F0E2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生态控制区是生态保护区之外，具有特殊重要生态功能或生态敏感脆弱，需要予以保留原貌、强化生态保育和生态建设、限制开发建设的自然区域，规划划定生态控制区</w:t>
      </w:r>
      <w:r>
        <w:rPr>
          <w:rFonts w:hint="eastAsia" w:ascii="仿宋_GB2312" w:hAnsi="仿宋_GB2312" w:eastAsia="仿宋_GB2312" w:cs="仿宋_GB2312"/>
          <w:sz w:val="32"/>
          <w:szCs w:val="32"/>
          <w:lang w:val="en-US" w:eastAsia="zh-CN"/>
        </w:rPr>
        <w:t>面积占全镇国土总面积的1.03%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主要分布在倒淌河河谷地带</w:t>
      </w:r>
      <w:r>
        <w:rPr>
          <w:rFonts w:hint="eastAsia" w:ascii="仿宋_GB2312" w:hAnsi="仿宋_GB2312" w:eastAsia="仿宋_GB2312" w:cs="仿宋_GB2312"/>
          <w:sz w:val="32"/>
          <w:szCs w:val="32"/>
        </w:rPr>
        <w:t>。</w:t>
      </w:r>
    </w:p>
    <w:p w14:paraId="6196919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农田保护区</w:t>
      </w:r>
    </w:p>
    <w:p w14:paraId="5BA33A80">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县级国土空间规划</w:t>
      </w:r>
      <w:r>
        <w:rPr>
          <w:rFonts w:hint="eastAsia" w:ascii="仿宋_GB2312" w:hAnsi="仿宋_GB2312" w:eastAsia="仿宋_GB2312" w:cs="仿宋_GB2312"/>
          <w:sz w:val="32"/>
          <w:szCs w:val="32"/>
        </w:rPr>
        <w:t>“三区三线”划定成果，将相对集中需严格保护的永久基本农田纳入农田保护区，规划划定农田保护区</w:t>
      </w:r>
      <w:r>
        <w:rPr>
          <w:rFonts w:hint="eastAsia" w:ascii="仿宋_GB2312" w:hAnsi="仿宋_GB2312" w:eastAsia="仿宋_GB2312" w:cs="仿宋_GB2312"/>
          <w:sz w:val="32"/>
          <w:szCs w:val="32"/>
          <w:lang w:val="en-US" w:eastAsia="zh-CN"/>
        </w:rPr>
        <w:t>面积占全镇国土总面积的0.80%，主要分布在甲乙村和元者村</w:t>
      </w:r>
      <w:r>
        <w:rPr>
          <w:rFonts w:hint="eastAsia" w:ascii="仿宋_GB2312" w:hAnsi="仿宋_GB2312" w:eastAsia="仿宋_GB2312" w:cs="仿宋_GB2312"/>
          <w:sz w:val="32"/>
          <w:szCs w:val="32"/>
        </w:rPr>
        <w:t>。</w:t>
      </w:r>
    </w:p>
    <w:p w14:paraId="0D25663A">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城镇发展区</w:t>
      </w:r>
    </w:p>
    <w:p w14:paraId="3D65F225">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县级国土空间规划</w:t>
      </w:r>
      <w:r>
        <w:rPr>
          <w:rFonts w:hint="eastAsia" w:ascii="仿宋_GB2312" w:hAnsi="仿宋_GB2312" w:eastAsia="仿宋_GB2312" w:cs="仿宋_GB2312"/>
          <w:sz w:val="32"/>
          <w:szCs w:val="32"/>
        </w:rPr>
        <w:t>“三区三线”划定成果，</w:t>
      </w:r>
      <w:r>
        <w:rPr>
          <w:rFonts w:hint="eastAsia" w:ascii="仿宋_GB2312" w:hAnsi="仿宋_GB2312" w:eastAsia="仿宋_GB2312" w:cs="仿宋_GB2312"/>
          <w:sz w:val="32"/>
          <w:szCs w:val="32"/>
          <w:lang w:val="en-US" w:eastAsia="zh-CN"/>
        </w:rPr>
        <w:t>倒淌河镇</w:t>
      </w:r>
      <w:r>
        <w:rPr>
          <w:rFonts w:hint="eastAsia" w:ascii="仿宋_GB2312" w:hAnsi="仿宋_GB2312" w:eastAsia="仿宋_GB2312" w:cs="仿宋_GB2312"/>
          <w:sz w:val="32"/>
          <w:szCs w:val="32"/>
        </w:rPr>
        <w:t>城镇发展区</w:t>
      </w:r>
      <w:r>
        <w:rPr>
          <w:rFonts w:hint="eastAsia" w:ascii="仿宋_GB2312" w:hAnsi="仿宋_GB2312" w:eastAsia="仿宋_GB2312" w:cs="仿宋_GB2312"/>
          <w:sz w:val="32"/>
          <w:szCs w:val="32"/>
          <w:lang w:val="en-US" w:eastAsia="zh-CN"/>
        </w:rPr>
        <w:t>面积约占全镇国土总面积的0.02%，均</w:t>
      </w:r>
      <w:r>
        <w:rPr>
          <w:rFonts w:hint="eastAsia" w:ascii="仿宋_GB2312" w:hAnsi="仿宋_GB2312" w:eastAsia="仿宋_GB2312" w:cs="仿宋_GB2312"/>
          <w:sz w:val="32"/>
          <w:szCs w:val="32"/>
        </w:rPr>
        <w:t>为城镇集中建设区</w:t>
      </w:r>
      <w:r>
        <w:rPr>
          <w:rFonts w:hint="eastAsia" w:ascii="仿宋_GB2312" w:hAnsi="仿宋_GB2312" w:eastAsia="仿宋_GB2312" w:cs="仿宋_GB2312"/>
          <w:sz w:val="32"/>
          <w:szCs w:val="32"/>
          <w:lang w:val="en-US" w:eastAsia="zh-CN"/>
        </w:rPr>
        <w:t>，全部位于镇区</w:t>
      </w:r>
      <w:r>
        <w:rPr>
          <w:rFonts w:hint="eastAsia" w:ascii="仿宋_GB2312" w:hAnsi="仿宋_GB2312" w:eastAsia="仿宋_GB2312" w:cs="仿宋_GB2312"/>
          <w:sz w:val="32"/>
          <w:szCs w:val="32"/>
        </w:rPr>
        <w:t>。</w:t>
      </w:r>
    </w:p>
    <w:p w14:paraId="2D14135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乡村发展区</w:t>
      </w:r>
    </w:p>
    <w:p w14:paraId="1148B326">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将永久基本农田保护区外的一般耕地、部分林地、村庄用地等以农业生产、林地保育、乡村发展为主的区域划定为乡村发展区。规划乡村发展区</w:t>
      </w:r>
      <w:r>
        <w:rPr>
          <w:rFonts w:hint="eastAsia" w:ascii="仿宋_GB2312" w:hAnsi="仿宋_GB2312" w:eastAsia="仿宋_GB2312" w:cs="仿宋_GB2312"/>
          <w:sz w:val="32"/>
          <w:szCs w:val="32"/>
          <w:lang w:val="en-US" w:eastAsia="zh-CN"/>
        </w:rPr>
        <w:t>面积占全镇国土总面积的34.28%。</w:t>
      </w:r>
      <w:r>
        <w:rPr>
          <w:rFonts w:hint="eastAsia" w:ascii="仿宋_GB2312" w:hAnsi="仿宋_GB2312" w:eastAsia="仿宋_GB2312" w:cs="仿宋_GB2312"/>
          <w:sz w:val="32"/>
          <w:szCs w:val="32"/>
        </w:rPr>
        <w:t>其中村庄建设区</w:t>
      </w:r>
      <w:r>
        <w:rPr>
          <w:rFonts w:hint="eastAsia" w:ascii="仿宋_GB2312" w:hAnsi="仿宋_GB2312" w:eastAsia="仿宋_GB2312" w:cs="仿宋_GB2312"/>
          <w:sz w:val="32"/>
          <w:szCs w:val="32"/>
          <w:lang w:val="en-US" w:eastAsia="zh-CN"/>
        </w:rPr>
        <w:t>面积占全镇国土总面积的0.21%；</w:t>
      </w:r>
      <w:r>
        <w:rPr>
          <w:rFonts w:hint="eastAsia" w:ascii="仿宋_GB2312" w:hAnsi="仿宋_GB2312" w:eastAsia="仿宋_GB2312" w:cs="仿宋_GB2312"/>
          <w:sz w:val="32"/>
          <w:szCs w:val="32"/>
        </w:rPr>
        <w:t>一般农业区</w:t>
      </w:r>
      <w:r>
        <w:rPr>
          <w:rFonts w:hint="eastAsia" w:ascii="仿宋_GB2312" w:hAnsi="仿宋_GB2312" w:eastAsia="仿宋_GB2312" w:cs="仿宋_GB2312"/>
          <w:sz w:val="32"/>
          <w:szCs w:val="32"/>
          <w:lang w:val="en-US" w:eastAsia="zh-CN"/>
        </w:rPr>
        <w:t>面积占全镇国土总面积的3.06%；</w:t>
      </w:r>
      <w:r>
        <w:rPr>
          <w:rFonts w:hint="eastAsia" w:ascii="仿宋_GB2312" w:hAnsi="仿宋_GB2312" w:eastAsia="仿宋_GB2312" w:cs="仿宋_GB2312"/>
          <w:sz w:val="32"/>
          <w:szCs w:val="32"/>
        </w:rPr>
        <w:t>林业发展区</w:t>
      </w:r>
      <w:r>
        <w:rPr>
          <w:rFonts w:hint="eastAsia" w:ascii="仿宋_GB2312" w:hAnsi="仿宋_GB2312" w:eastAsia="仿宋_GB2312" w:cs="仿宋_GB2312"/>
          <w:sz w:val="32"/>
          <w:szCs w:val="32"/>
          <w:lang w:val="en-US" w:eastAsia="zh-CN"/>
        </w:rPr>
        <w:t>面积占全镇国土总面积的2.33%；</w:t>
      </w:r>
      <w:r>
        <w:rPr>
          <w:rFonts w:hint="eastAsia" w:ascii="仿宋_GB2312" w:hAnsi="仿宋_GB2312" w:eastAsia="仿宋_GB2312" w:cs="仿宋_GB2312"/>
          <w:sz w:val="32"/>
          <w:szCs w:val="32"/>
        </w:rPr>
        <w:t>牧业发展区</w:t>
      </w:r>
      <w:r>
        <w:rPr>
          <w:rFonts w:hint="eastAsia" w:ascii="仿宋_GB2312" w:hAnsi="仿宋_GB2312" w:eastAsia="仿宋_GB2312" w:cs="仿宋_GB2312"/>
          <w:sz w:val="32"/>
          <w:szCs w:val="32"/>
          <w:lang w:val="en-US" w:eastAsia="zh-CN"/>
        </w:rPr>
        <w:t>面积占全镇国土总面积的28.68%</w:t>
      </w:r>
      <w:r>
        <w:rPr>
          <w:rFonts w:hint="eastAsia" w:ascii="仿宋_GB2312" w:hAnsi="仿宋_GB2312" w:eastAsia="仿宋_GB2312" w:cs="仿宋_GB2312"/>
          <w:sz w:val="32"/>
          <w:szCs w:val="32"/>
        </w:rPr>
        <w:t>。乡村发展区重点优化农业产业结构，合理确定村庄建设边界，控制村庄建设用地总量，科学划定宅基地范围，优化宅基地布局，按一户一宅要求保障合理的宅基地需求，有序推进村庄用地更新改造，提升农村人居环境。</w:t>
      </w:r>
    </w:p>
    <w:p w14:paraId="620F8B99">
      <w:pPr>
        <w:pStyle w:val="3"/>
        <w:keepNext/>
        <w:keepLines/>
        <w:pageBreakBefore w:val="0"/>
        <w:widowControl w:val="0"/>
        <w:numPr>
          <w:ilvl w:val="1"/>
          <w:numId w:val="6"/>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27" w:name="_Toc17786"/>
      <w:bookmarkStart w:id="28" w:name="_Toc31825"/>
      <w:bookmarkStart w:id="29" w:name="_Toc8601"/>
      <w:r>
        <w:rPr>
          <w:rFonts w:hint="eastAsia" w:ascii="Arial" w:hAnsi="Arial" w:eastAsia="黑体" w:cs="Times New Roman"/>
          <w:b w:val="0"/>
          <w:lang w:val="en-US" w:eastAsia="zh-CN"/>
        </w:rPr>
        <w:t>国土空间用途结构</w:t>
      </w:r>
      <w:bookmarkEnd w:id="27"/>
      <w:bookmarkEnd w:id="28"/>
      <w:bookmarkEnd w:id="29"/>
    </w:p>
    <w:p w14:paraId="2D7B190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bookmarkStart w:id="30" w:name="_Toc16220"/>
      <w:bookmarkStart w:id="31" w:name="_Toc15731"/>
      <w:r>
        <w:rPr>
          <w:rFonts w:hint="eastAsia" w:ascii="楷体_GB2312" w:hAnsi="Times New Roman" w:eastAsia="楷体_GB2312" w:cs="Times New Roman"/>
          <w:bCs/>
          <w:sz w:val="32"/>
          <w:szCs w:val="32"/>
          <w:lang w:val="en-US" w:eastAsia="zh-CN"/>
        </w:rPr>
        <w:t>国土空间用途功能调整</w:t>
      </w:r>
      <w:bookmarkEnd w:id="30"/>
      <w:bookmarkEnd w:id="31"/>
    </w:p>
    <w:p w14:paraId="51EC7B99">
      <w:pPr>
        <w:spacing w:line="600" w:lineRule="exact"/>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统筹安排各类用地，落实</w:t>
      </w:r>
      <w:r>
        <w:rPr>
          <w:rFonts w:hint="eastAsia" w:ascii="仿宋_GB2312" w:hAnsi="仿宋_GB2312" w:eastAsia="仿宋_GB2312" w:cs="仿宋_GB2312"/>
          <w:sz w:val="32"/>
          <w:szCs w:val="24"/>
          <w:lang w:val="en-US" w:eastAsia="zh-CN"/>
        </w:rPr>
        <w:t>上位</w:t>
      </w:r>
      <w:r>
        <w:rPr>
          <w:rFonts w:hint="eastAsia" w:ascii="仿宋_GB2312" w:hAnsi="仿宋_GB2312" w:eastAsia="仿宋_GB2312" w:cs="仿宋_GB2312"/>
          <w:sz w:val="32"/>
          <w:szCs w:val="24"/>
        </w:rPr>
        <w:t>规划确定的各类约束性指标，在县域范围内依次考虑满足粮食生产、保障农业、满足生态保护需求，严格控制各类建设占用生态和农业用地</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确保耕地面积不少于37.70平方千米，林地面积不少于99.47平方千米，农业设施建设用地面积不少于7.58平方千米。严格基本草原保护制度，实施草畜平衡，协调州级、县级重大项目用地需求，适当调整草地面积。</w:t>
      </w:r>
    </w:p>
    <w:p w14:paraId="78399EA2">
      <w:pPr>
        <w:spacing w:line="600" w:lineRule="exact"/>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优化调整建设用地，</w:t>
      </w:r>
      <w:r>
        <w:rPr>
          <w:rFonts w:hint="eastAsia" w:ascii="仿宋_GB2312" w:hAnsi="仿宋_GB2312" w:eastAsia="仿宋_GB2312" w:cs="仿宋_GB2312"/>
          <w:color w:val="000000"/>
          <w:sz w:val="32"/>
          <w:szCs w:val="24"/>
        </w:rPr>
        <w:t>优化各类设施用地规模、结构与布局，优先安排服务于国土安全、对外开放、社会民生重大项目需求，提高重大设施用地集约节约水平。</w:t>
      </w:r>
      <w:r>
        <w:rPr>
          <w:rFonts w:hint="eastAsia" w:ascii="仿宋_GB2312" w:hAnsi="仿宋_GB2312" w:eastAsia="仿宋_GB2312" w:cs="仿宋_GB2312"/>
          <w:sz w:val="32"/>
          <w:szCs w:val="24"/>
        </w:rPr>
        <w:t>适度扩大城镇建设用地规模，城镇建设用地</w:t>
      </w:r>
      <w:r>
        <w:rPr>
          <w:rFonts w:hint="eastAsia" w:ascii="仿宋_GB2312" w:hAnsi="仿宋_GB2312" w:eastAsia="仿宋_GB2312" w:cs="仿宋_GB2312"/>
          <w:sz w:val="32"/>
          <w:szCs w:val="24"/>
          <w:lang w:val="en-US" w:eastAsia="zh-CN"/>
        </w:rPr>
        <w:t>控制在1.19平方千米，</w:t>
      </w:r>
      <w:r>
        <w:rPr>
          <w:rFonts w:hint="eastAsia" w:ascii="仿宋_GB2312" w:hAnsi="仿宋_GB2312" w:eastAsia="仿宋_GB2312" w:cs="仿宋_GB2312"/>
          <w:sz w:val="32"/>
          <w:szCs w:val="24"/>
        </w:rPr>
        <w:t>主要用于</w:t>
      </w:r>
      <w:r>
        <w:rPr>
          <w:rFonts w:hint="eastAsia" w:ascii="仿宋_GB2312" w:hAnsi="仿宋_GB2312" w:eastAsia="仿宋_GB2312" w:cs="仿宋_GB2312"/>
          <w:sz w:val="32"/>
          <w:szCs w:val="24"/>
          <w:lang w:val="en-US" w:eastAsia="zh-CN"/>
        </w:rPr>
        <w:t>镇区</w:t>
      </w:r>
      <w:r>
        <w:rPr>
          <w:rFonts w:hint="eastAsia" w:ascii="仿宋_GB2312" w:hAnsi="仿宋_GB2312" w:eastAsia="仿宋_GB2312" w:cs="仿宋_GB2312"/>
          <w:sz w:val="32"/>
          <w:szCs w:val="24"/>
        </w:rPr>
        <w:t>发展，以推动城镇化进程。村庄建设用地总量</w:t>
      </w:r>
      <w:r>
        <w:rPr>
          <w:rFonts w:hint="eastAsia" w:ascii="仿宋_GB2312" w:hAnsi="仿宋_GB2312" w:eastAsia="仿宋_GB2312" w:cs="仿宋_GB2312"/>
          <w:sz w:val="32"/>
          <w:szCs w:val="24"/>
          <w:lang w:val="en-US" w:eastAsia="zh-CN"/>
        </w:rPr>
        <w:t>适当</w:t>
      </w:r>
      <w:r>
        <w:rPr>
          <w:rFonts w:hint="eastAsia" w:ascii="仿宋_GB2312" w:hAnsi="仿宋_GB2312" w:eastAsia="仿宋_GB2312" w:cs="仿宋_GB2312"/>
          <w:sz w:val="32"/>
          <w:szCs w:val="24"/>
        </w:rPr>
        <w:t>增加的前提下，优化村庄用地布局，</w:t>
      </w:r>
      <w:r>
        <w:rPr>
          <w:rFonts w:hint="eastAsia" w:ascii="仿宋_GB2312" w:hAnsi="仿宋_GB2312" w:eastAsia="仿宋_GB2312" w:cs="仿宋_GB2312"/>
          <w:sz w:val="32"/>
          <w:szCs w:val="24"/>
          <w:lang w:val="en-US" w:eastAsia="zh-CN"/>
        </w:rPr>
        <w:t>积极稳妥推进零散农村居民点复垦，支持乡村振兴发展空间，合理保障重点中心村用地需要，</w:t>
      </w:r>
      <w:r>
        <w:rPr>
          <w:rFonts w:hint="eastAsia" w:ascii="仿宋_GB2312" w:hAnsi="仿宋_GB2312" w:eastAsia="仿宋_GB2312" w:cs="仿宋_GB2312"/>
          <w:sz w:val="32"/>
          <w:szCs w:val="24"/>
        </w:rPr>
        <w:t>有效保障</w:t>
      </w:r>
      <w:r>
        <w:rPr>
          <w:rFonts w:hint="eastAsia" w:ascii="仿宋_GB2312" w:hAnsi="仿宋_GB2312" w:eastAsia="仿宋_GB2312" w:cs="仿宋_GB2312"/>
          <w:sz w:val="32"/>
          <w:szCs w:val="24"/>
          <w:lang w:val="en-US" w:eastAsia="zh-CN"/>
        </w:rPr>
        <w:t>重大基础设施</w:t>
      </w:r>
      <w:r>
        <w:rPr>
          <w:rFonts w:hint="eastAsia" w:ascii="仿宋_GB2312" w:hAnsi="仿宋_GB2312" w:eastAsia="仿宋_GB2312" w:cs="仿宋_GB2312"/>
          <w:sz w:val="32"/>
          <w:szCs w:val="24"/>
        </w:rPr>
        <w:t>用地需求</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村庄建设用地面积控制在2.84平方千米内。</w:t>
      </w:r>
      <w:r>
        <w:rPr>
          <w:rFonts w:hint="eastAsia" w:ascii="仿宋_GB2312" w:hAnsi="仿宋_GB2312" w:eastAsia="仿宋_GB2312" w:cs="仿宋_GB2312"/>
          <w:sz w:val="32"/>
          <w:szCs w:val="24"/>
        </w:rPr>
        <w:t>有效保障交通、能源、水利等</w:t>
      </w:r>
      <w:r>
        <w:rPr>
          <w:rFonts w:hint="eastAsia" w:ascii="仿宋_GB2312" w:hAnsi="仿宋_GB2312" w:eastAsia="仿宋_GB2312" w:cs="仿宋_GB2312"/>
          <w:sz w:val="32"/>
          <w:szCs w:val="24"/>
          <w:lang w:val="en-US" w:eastAsia="zh-CN"/>
        </w:rPr>
        <w:t>重大</w:t>
      </w:r>
      <w:r>
        <w:rPr>
          <w:rFonts w:hint="eastAsia" w:ascii="仿宋_GB2312" w:hAnsi="仿宋_GB2312" w:eastAsia="仿宋_GB2312" w:cs="仿宋_GB2312"/>
          <w:sz w:val="32"/>
          <w:szCs w:val="24"/>
        </w:rPr>
        <w:t>基础设施用地需求</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加快推进城际铁路、公路等运输枢纽建设，推进水土保持工程建设，区域基础设施用地面积控制在4.92平方千米内。</w:t>
      </w:r>
    </w:p>
    <w:p w14:paraId="1B9305BF">
      <w:pPr>
        <w:spacing w:line="60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适度调整其他土地，</w:t>
      </w:r>
      <w:r>
        <w:rPr>
          <w:rFonts w:hint="eastAsia" w:ascii="仿宋_GB2312" w:hAnsi="仿宋_GB2312" w:eastAsia="仿宋_GB2312" w:cs="仿宋_GB2312"/>
          <w:color w:val="000000"/>
          <w:sz w:val="32"/>
          <w:szCs w:val="24"/>
        </w:rPr>
        <w:t>加大全地区重要湖泊、水系、湿地等重要生态空间保护力度，严格限制用地改变用途，持续推进生态保护与修复，逐步实现</w:t>
      </w:r>
      <w:r>
        <w:rPr>
          <w:rFonts w:hint="eastAsia" w:ascii="仿宋_GB2312" w:hAnsi="仿宋_GB2312" w:eastAsia="仿宋_GB2312" w:cs="仿宋_GB2312"/>
          <w:color w:val="000000"/>
          <w:sz w:val="32"/>
          <w:szCs w:val="24"/>
          <w:lang w:val="en-US" w:eastAsia="zh-CN"/>
        </w:rPr>
        <w:t>其他土地</w:t>
      </w:r>
      <w:r>
        <w:rPr>
          <w:rFonts w:hint="eastAsia" w:ascii="仿宋_GB2312" w:hAnsi="仿宋_GB2312" w:eastAsia="仿宋_GB2312" w:cs="仿宋_GB2312"/>
          <w:color w:val="000000"/>
          <w:sz w:val="32"/>
          <w:szCs w:val="24"/>
        </w:rPr>
        <w:t>面积</w:t>
      </w:r>
      <w:r>
        <w:rPr>
          <w:rFonts w:hint="eastAsia" w:ascii="仿宋_GB2312" w:hAnsi="仿宋_GB2312" w:eastAsia="仿宋_GB2312" w:cs="仿宋_GB2312"/>
          <w:color w:val="000000"/>
          <w:sz w:val="32"/>
          <w:szCs w:val="24"/>
          <w:lang w:val="en-US" w:eastAsia="zh-CN"/>
        </w:rPr>
        <w:t>保持</w:t>
      </w:r>
      <w:r>
        <w:rPr>
          <w:rFonts w:hint="eastAsia" w:ascii="仿宋_GB2312" w:hAnsi="仿宋_GB2312" w:eastAsia="仿宋_GB2312" w:cs="仿宋_GB2312"/>
          <w:color w:val="000000"/>
          <w:sz w:val="32"/>
          <w:szCs w:val="24"/>
        </w:rPr>
        <w:t>稳定、</w:t>
      </w:r>
      <w:r>
        <w:rPr>
          <w:rFonts w:hint="eastAsia" w:ascii="仿宋_GB2312" w:hAnsi="仿宋_GB2312" w:eastAsia="仿宋_GB2312" w:cs="仿宋_GB2312"/>
          <w:sz w:val="32"/>
          <w:szCs w:val="24"/>
          <w:lang w:val="en-US" w:eastAsia="zh-CN"/>
        </w:rPr>
        <w:t>沟渠面积适当减少。</w:t>
      </w:r>
    </w:p>
    <w:p w14:paraId="457B0AD0">
      <w:pPr>
        <w:rPr>
          <w:rFonts w:hint="eastAsia"/>
        </w:rPr>
      </w:pPr>
      <w:r>
        <w:rPr>
          <w:rFonts w:hint="eastAsia"/>
        </w:rPr>
        <w:br w:type="page"/>
      </w:r>
    </w:p>
    <w:p w14:paraId="62FA60F6">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32" w:name="_Toc9556"/>
      <w:r>
        <w:rPr>
          <w:rFonts w:hint="eastAsia" w:ascii="Times New Roman" w:hAnsi="Times New Roman" w:eastAsia="方正小标宋简体" w:cs="Times New Roman"/>
          <w:b w:val="0"/>
          <w:bCs w:val="0"/>
          <w:sz w:val="36"/>
          <w:szCs w:val="36"/>
        </w:rPr>
        <w:t>保护生态空间，筑牢生态安全屏障</w:t>
      </w:r>
      <w:bookmarkEnd w:id="32"/>
    </w:p>
    <w:p w14:paraId="0631457A">
      <w:pPr>
        <w:pStyle w:val="3"/>
        <w:keepNext/>
        <w:keepLines/>
        <w:pageBreakBefore w:val="0"/>
        <w:widowControl w:val="0"/>
        <w:numPr>
          <w:ilvl w:val="1"/>
          <w:numId w:val="7"/>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33" w:name="_Toc2129"/>
      <w:r>
        <w:rPr>
          <w:rFonts w:hint="eastAsia" w:ascii="Arial" w:hAnsi="Arial" w:eastAsia="黑体" w:cs="Times New Roman"/>
          <w:b w:val="0"/>
          <w:lang w:val="zh-CN"/>
        </w:rPr>
        <w:t>保护生态空间，构建山清水秀的良好生态景观</w:t>
      </w:r>
      <w:bookmarkEnd w:id="33"/>
    </w:p>
    <w:p w14:paraId="1BD86E3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落实以国家公园为主体的自然保护地体系</w:t>
      </w:r>
    </w:p>
    <w:p w14:paraId="050BA068">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自然保护地体系。</w:t>
      </w:r>
      <w:r>
        <w:rPr>
          <w:rFonts w:hint="eastAsia" w:ascii="仿宋_GB2312" w:hAnsi="仿宋_GB2312" w:eastAsia="仿宋_GB2312" w:cs="仿宋_GB2312"/>
          <w:sz w:val="32"/>
          <w:szCs w:val="32"/>
          <w:lang w:val="en-US" w:eastAsia="zh-CN"/>
        </w:rPr>
        <w:t>倒淌河镇自然保护地总面积3395.75平方千米，其中青海湖国家级自然保护区面积2475.20平方千米，青海湖国家级风景名胜区面积920.55平方千米。</w:t>
      </w:r>
    </w:p>
    <w:p w14:paraId="1A0A9739">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助力国家公园创建。</w:t>
      </w:r>
      <w:r>
        <w:rPr>
          <w:rFonts w:hint="eastAsia" w:ascii="仿宋_GB2312" w:hAnsi="仿宋_GB2312" w:eastAsia="仿宋_GB2312" w:cs="仿宋_GB2312"/>
          <w:sz w:val="32"/>
          <w:szCs w:val="32"/>
          <w:lang w:val="en-US" w:eastAsia="zh-CN"/>
        </w:rPr>
        <w:t>高站位高标准助力青海湖国家公园创建工作，统筹湖里和岸上、水源和流域，全面实施山水林田湖草沙一体化保护和系统治理，使创建国家公园和打造国际生态旅游目的地相得益彰。通过环湖流域生态综合治理，恢复林草植被，治理风沙，防止荒漠化，稳定并逐步增加环湖河流入湖流量，遏制地区生态环境恶化状况，拯救濒危物种普氏原羚栖息环境，不断提升青海湖生态系统的多样性、稳定性和持续性。</w:t>
      </w:r>
    </w:p>
    <w:p w14:paraId="0FA2E63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加强自然保护地管控</w:t>
      </w:r>
    </w:p>
    <w:p w14:paraId="76670B84">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对自然保护地核心保护区和一般控制区的管控要求。加强自然保护地管控，保护生态系统的原真性和完整性，维持和恢复珍稀濒危野生动植物种群数量及赖以生存的栖息环境。坚持生态优先、绿色发展，巩固和扩大生态安全屏障建设成果。以助力青海湖国家公园创建为重点，全面提升自然生态系统稳定性和生态功能，打造山水林田湖草沙生命共同体。</w:t>
      </w:r>
    </w:p>
    <w:p w14:paraId="3BA4A42F">
      <w:pPr>
        <w:pStyle w:val="3"/>
        <w:keepNext/>
        <w:keepLines/>
        <w:pageBreakBefore w:val="0"/>
        <w:widowControl w:val="0"/>
        <w:numPr>
          <w:ilvl w:val="1"/>
          <w:numId w:val="7"/>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34" w:name="_Toc8318"/>
      <w:r>
        <w:rPr>
          <w:rFonts w:hint="eastAsia" w:ascii="Arial" w:hAnsi="Arial" w:eastAsia="黑体" w:cs="Times New Roman"/>
          <w:b w:val="0"/>
          <w:lang w:val="zh-CN"/>
        </w:rPr>
        <w:t>建设生物多样性保护网络</w:t>
      </w:r>
      <w:bookmarkEnd w:id="34"/>
    </w:p>
    <w:p w14:paraId="7933401C">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加强生物多样性关键区建设</w:t>
      </w:r>
    </w:p>
    <w:p w14:paraId="2519BC54">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河湖、森林、湿地、高山草甸等生态空间，以国家公园建设为重点，按照维护自然生态系统完整性、原真性的要求，推进环青海湖地区、青海湖湖东生物多样性建设，提高自然生态系统的稳定性。加强现有生物多样性分布空间保护力度，落实物种迁地保护，保障野生动植物园、野生动物繁育基地、监测站点等保护用地。</w:t>
      </w:r>
    </w:p>
    <w:p w14:paraId="117F9761">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环青海湖地区。</w:t>
      </w:r>
      <w:r>
        <w:rPr>
          <w:rFonts w:hint="eastAsia" w:ascii="仿宋_GB2312" w:hAnsi="仿宋_GB2312" w:eastAsia="仿宋_GB2312" w:cs="仿宋_GB2312"/>
          <w:sz w:val="32"/>
          <w:szCs w:val="32"/>
          <w:lang w:val="en-US" w:eastAsia="zh-CN"/>
        </w:rPr>
        <w:t>促进流域、林地、草地、湿地生态系统和生物多样性生态系统良性循环，加强裸鲤、鸟类以及其他珍稀野生动物保护，加大沙漠化土地治理力度。</w:t>
      </w:r>
    </w:p>
    <w:p w14:paraId="2CCA8ED2">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青海湖湖东区域。</w:t>
      </w:r>
      <w:r>
        <w:rPr>
          <w:rFonts w:hint="eastAsia" w:ascii="仿宋_GB2312" w:hAnsi="仿宋_GB2312" w:eastAsia="仿宋_GB2312" w:cs="仿宋_GB2312"/>
          <w:sz w:val="32"/>
          <w:szCs w:val="32"/>
          <w:lang w:val="en-US" w:eastAsia="zh-CN"/>
        </w:rPr>
        <w:t>保护候鸟、湟鱼洄游等重点空间，落实第六次青海湖封湖育鱼行动，畅通河流洄游通道，加强产卵场保护。</w:t>
      </w:r>
    </w:p>
    <w:p w14:paraId="6A1AEF6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保护水生生物资源</w:t>
      </w:r>
    </w:p>
    <w:p w14:paraId="790D74B6">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重点珍稀水生生物重要栖息地和水产种质资源完整性保护，保护青海湖裸鲤等主要水生生物洄游通道，改善水生生物栖息地生存环境，推进水产种质资源保护区建设。严格执行涉及青海湖禁渔期、禁渔区管理等有关法律法规及政策规定，依法查处非法捕捞、销售珍稀水生生物行为。科学规范开展土著鱼类增殖放流，补充和恢复天然水域鱼类种质资源，维护水生生物多样性。</w:t>
      </w:r>
    </w:p>
    <w:p w14:paraId="2AD3B07C">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完善生物多样性保护措施</w:t>
      </w:r>
    </w:p>
    <w:p w14:paraId="6C8DE5F2">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生物多样性调查与监测，开展珍稀濒危野生动植物调查、监测与评估，编制野生动植物名录，完善生物多样性监测网络体系和救助体系。强化栖息地整体系统保护，建设野生动植物及栖息地保护监测平台，实施受损栖息地修复、野生动物廊道建设等专项工程，健全野生动植物保护基地、迁徙廊道、救护站等，营造适宜野生动物栖息的环境。实施迁地人工繁育保护，开展人工种群繁育野化实验，保存恢复和扩大野生种群。强化草原生物灾害监测预警，加强草原有害生物及外来入侵物种防治，不断提高绿色防治水平。加强生物遗传资源保护基础能力建设，推动建立野生生物遗传资源基因库，积极建设作物种质资源库。</w:t>
      </w:r>
    </w:p>
    <w:p w14:paraId="28329E49">
      <w:pPr>
        <w:pStyle w:val="3"/>
        <w:keepNext/>
        <w:keepLines/>
        <w:pageBreakBefore w:val="0"/>
        <w:widowControl w:val="0"/>
        <w:numPr>
          <w:ilvl w:val="1"/>
          <w:numId w:val="7"/>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35" w:name="_Toc12672"/>
      <w:r>
        <w:rPr>
          <w:rFonts w:hint="eastAsia" w:ascii="Arial" w:hAnsi="Arial" w:eastAsia="黑体" w:cs="Times New Roman"/>
          <w:b w:val="0"/>
          <w:lang w:val="zh-CN"/>
        </w:rPr>
        <w:t>增强水资源刚性约束和管控</w:t>
      </w:r>
      <w:bookmarkEnd w:id="35"/>
    </w:p>
    <w:p w14:paraId="21A34C5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严格水资源刚性约束</w:t>
      </w:r>
    </w:p>
    <w:p w14:paraId="0319235D">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坚持以水定地、以水定产、以水定城、以水定人，严格落实用水总量、用水效率和水环境功能区限制纳污“三条红线”，落实水资源消耗总量和强度双控制，以水资源最大刚性约束抑制不合理用水需求，促进发展规模、产业布局与水资源承载能力相协调。</w:t>
      </w:r>
      <w:r>
        <w:rPr>
          <w:rFonts w:hint="eastAsia" w:ascii="仿宋_GB2312" w:hAnsi="仿宋_GB2312" w:eastAsia="仿宋_GB2312" w:cs="仿宋_GB2312"/>
          <w:sz w:val="32"/>
          <w:szCs w:val="32"/>
          <w:u w:val="single"/>
          <w:lang w:val="en-US" w:eastAsia="zh-CN"/>
        </w:rPr>
        <w:t>2035年，倒淌河镇用水总量控制在县级下达指标内。</w:t>
      </w:r>
    </w:p>
    <w:p w14:paraId="704034DA">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强化水资源节约利用</w:t>
      </w:r>
    </w:p>
    <w:p w14:paraId="2D5B1794">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粮食安全，提高农业节水水平支撑灌面增长，逐步降低农业用水占比，筑牢生态屏障,推进沙化土地治理，预留生态环境用水，坚持底线约束，提高用水效率，保障城乡生活用水，提高生活节水水平，推进倒淌河镇节水型社会建设。</w:t>
      </w:r>
    </w:p>
    <w:p w14:paraId="48C09A6C">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加强河湖水域空间管控</w:t>
      </w:r>
    </w:p>
    <w:p w14:paraId="62233E2D">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河湖水域布局。</w:t>
      </w:r>
      <w:r>
        <w:rPr>
          <w:rFonts w:hint="eastAsia" w:ascii="仿宋_GB2312" w:hAnsi="仿宋_GB2312" w:eastAsia="仿宋_GB2312" w:cs="仿宋_GB2312"/>
          <w:sz w:val="32"/>
          <w:szCs w:val="32"/>
          <w:lang w:val="en-US" w:eastAsia="zh-CN"/>
        </w:rPr>
        <w:t>倒淌河镇水域主要由青海湖和倒淌河及其支流以及高山流水径流组成，倒淌河属于青海湖水系。</w:t>
      </w:r>
    </w:p>
    <w:p w14:paraId="615E6ABC">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楷体_GB2312" w:hAnsi="Times New Roman" w:eastAsia="楷体_GB2312" w:cs="Times New Roman"/>
          <w:bCs/>
          <w:sz w:val="32"/>
          <w:szCs w:val="32"/>
        </w:rPr>
      </w:pPr>
      <w:r>
        <w:rPr>
          <w:rFonts w:hint="eastAsia" w:ascii="楷体_GB2312" w:hAnsi="楷体_GB2312" w:eastAsia="楷体_GB2312" w:cs="楷体_GB2312"/>
          <w:sz w:val="32"/>
          <w:szCs w:val="32"/>
          <w:lang w:val="en-US" w:eastAsia="zh-CN"/>
        </w:rPr>
        <w:t>河湖水域空间管控。</w:t>
      </w:r>
      <w:r>
        <w:rPr>
          <w:rFonts w:hint="eastAsia" w:ascii="仿宋_GB2312" w:hAnsi="仿宋_GB2312" w:eastAsia="仿宋_GB2312" w:cs="仿宋_GB2312"/>
          <w:sz w:val="32"/>
          <w:szCs w:val="32"/>
          <w:lang w:val="en-US" w:eastAsia="zh-CN"/>
        </w:rPr>
        <w:t>强化河湖水域岸线空间管控，保护河湖水域岸线资源，严格落实青海湖、倒淌河等河湖管理范围线。严格水域岸线空间管控，有效保护岸线资源，落实河湖岸线保护与利用规划，明确岸线功能分区、优化岸线空间布局、规范岸线开发利用活动。</w:t>
      </w:r>
    </w:p>
    <w:p w14:paraId="3431CAE4">
      <w:pPr>
        <w:pStyle w:val="3"/>
        <w:keepNext/>
        <w:keepLines/>
        <w:pageBreakBefore w:val="0"/>
        <w:widowControl w:val="0"/>
        <w:numPr>
          <w:ilvl w:val="1"/>
          <w:numId w:val="7"/>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36" w:name="_Toc23312"/>
      <w:r>
        <w:rPr>
          <w:rFonts w:hint="eastAsia" w:ascii="Arial" w:hAnsi="Arial" w:eastAsia="黑体" w:cs="Times New Roman"/>
          <w:b w:val="0"/>
          <w:lang w:val="zh-CN"/>
        </w:rPr>
        <w:t>加强生态资源保护与利用</w:t>
      </w:r>
      <w:bookmarkEnd w:id="36"/>
    </w:p>
    <w:p w14:paraId="3DFD73E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森林资源保护与利用</w:t>
      </w:r>
    </w:p>
    <w:p w14:paraId="2E94AA49">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以水土保持林、水源涵养林为主体的森林生态体系，加大重点地区生态治理力度，有效遏制水土流失，改善生态环境；稳定自然保护区面积，部分退化湿地生态系统得到治理与恢复；继续深化集体林权制度改革，实施森林经营、低效林改造，充分发挥林地生产潜力，提高林地质量；规范林地、林木流转制度；</w:t>
      </w:r>
      <w:bookmarkStart w:id="37" w:name="_Hlk149991856"/>
      <w:r>
        <w:rPr>
          <w:rFonts w:hint="eastAsia" w:ascii="仿宋_GB2312" w:hAnsi="仿宋_GB2312" w:eastAsia="仿宋_GB2312" w:cs="仿宋_GB2312"/>
          <w:sz w:val="32"/>
          <w:szCs w:val="32"/>
          <w:lang w:val="en-US" w:eastAsia="zh-CN"/>
        </w:rPr>
        <w:t>促进发展林下产业，推进体制机制创新。</w:t>
      </w:r>
      <w:bookmarkEnd w:id="37"/>
      <w:r>
        <w:rPr>
          <w:rFonts w:hint="eastAsia" w:ascii="仿宋_GB2312" w:hAnsi="仿宋_GB2312" w:eastAsia="仿宋_GB2312" w:cs="仿宋_GB2312"/>
          <w:sz w:val="32"/>
          <w:szCs w:val="32"/>
          <w:lang w:val="en-US" w:eastAsia="zh-CN"/>
        </w:rPr>
        <w:t>重点加强天然公益林、生态林的保护，严格控制天然林地转为其他用途，除国防建设、国家重大工程项目建设特殊需要外，禁止占用保护重点区域的天然林地，林地保有量保持稳定。到2035年，全镇森林覆盖率不低于2.57%。</w:t>
      </w:r>
    </w:p>
    <w:p w14:paraId="6EE6C39A">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湿地资源保护与利用</w:t>
      </w:r>
    </w:p>
    <w:p w14:paraId="4357A65D">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保护优先、严格管理、系统治理、科学修复、合理利用的原则，加强湿地保护，保持既有空间不减少，并通过生态修复逐步恢复增加湿地面积，健全湿地保护体系，维护湿地生态功能及生物多样性。依托生态本底优势，扎实推进山水林田湖草沙生态保护和修复，强化青海湖自然岸线湿地生态系统的保护与恢复。重点保护青海湖自然保护地湿地资源。通过推进湿地生态恢复、湿地生物多样性恢复、青海湖水生态保护修复等建设工程，恢复和扩大蓄水面积，加强湖滩湖荡湿地保护，开展退化湿地修复、湿地植被修复，提升水源涵养和水土保持功能。到2035年，倒淌河镇湿地保护率达到上级下达指标。</w:t>
      </w:r>
    </w:p>
    <w:p w14:paraId="521AF0BA">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荒漠资源保护与利用</w:t>
      </w:r>
    </w:p>
    <w:p w14:paraId="075ACF6C">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推进青海湖周边沙漠生态系统的复原、保护和利用，维护沙漠生态系统功能，增强沙漠生物多样性。在保护生态系统的前提下，发展沙漠生态观光旅游，打造生态沙漠游憩胜地。推进清洁能源发展与防沙治沙相结合，实现太阳能产业、生态环境保护、生态畜牧业发展有机结合。</w:t>
      </w:r>
    </w:p>
    <w:p w14:paraId="1506F8E7">
      <w:pPr>
        <w:pStyle w:val="3"/>
        <w:keepNext/>
        <w:keepLines/>
        <w:pageBreakBefore w:val="0"/>
        <w:widowControl w:val="0"/>
        <w:numPr>
          <w:ilvl w:val="1"/>
          <w:numId w:val="7"/>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38" w:name="_Toc19724"/>
      <w:r>
        <w:rPr>
          <w:rFonts w:hint="eastAsia" w:ascii="Arial" w:hAnsi="Arial" w:eastAsia="黑体" w:cs="Times New Roman"/>
          <w:b w:val="0"/>
          <w:lang w:val="zh-CN"/>
        </w:rPr>
        <w:t>实施山水林田湖草沙一体化保护和系统治理</w:t>
      </w:r>
      <w:bookmarkEnd w:id="38"/>
    </w:p>
    <w:p w14:paraId="622D8B1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加强重点生态功能区生态保护修复</w:t>
      </w:r>
    </w:p>
    <w:p w14:paraId="1DF6CACB">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山水林田湖草沙生命共同体理念，遵循自然生态系统的整体性、系统性及其内在规律，以自然恢复为主、人工修复为辅，强化自然生态系统原真性与完整性的保护和修复。针对倒淌河镇生态脆弱、功能退化的现实问题，按照因地制宜、分区施策的原则，实施山水林田湖草沙一体化保护和系统治理，提升生态系统稳定性。</w:t>
      </w:r>
    </w:p>
    <w:p w14:paraId="2990687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实施山水林田湖草沙治理工程</w:t>
      </w:r>
    </w:p>
    <w:p w14:paraId="37E3B1E0">
      <w:pPr>
        <w:pStyle w:val="7"/>
        <w:ind w:firstLine="640"/>
      </w:pPr>
      <w:r>
        <w:rPr>
          <w:rFonts w:hint="eastAsia"/>
        </w:rPr>
        <w:t>推进青海湖流域水环境综合治理工程，提升草原、森林、湿地、河湖、荒漠等自然生态系统自我修复能力，筑牢生态安全格局。统筹协调推进“三北”防护林、天然林保护工程，鼓励乔灌草结合、工程和生物措施相统一的生态修复工程，促进各项生态工程实施相得益彰。加大乡村河湖湿地生态系统保护和恢复力度。大力推进荒漠化、水土流失综合治理，加强生态清洁小流域建设，推进绿色小水电改造。实施生物多样性保护工程，加强野生动植物保护。</w:t>
      </w:r>
    </w:p>
    <w:p w14:paraId="54AD767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强化水生态保护与水环境治理</w:t>
      </w:r>
    </w:p>
    <w:p w14:paraId="12A336EF">
      <w:pPr>
        <w:pStyle w:val="7"/>
        <w:ind w:firstLine="640"/>
        <w:rPr>
          <w:rFonts w:hint="eastAsia"/>
        </w:rPr>
      </w:pPr>
      <w:r>
        <w:rPr>
          <w:rFonts w:hint="eastAsia" w:ascii="楷体_GB2312" w:hAnsi="楷体_GB2312" w:eastAsia="楷体_GB2312" w:cs="楷体_GB2312"/>
        </w:rPr>
        <w:t>强化水生态保护与修复。</w:t>
      </w:r>
      <w:r>
        <w:rPr>
          <w:rFonts w:hint="eastAsia"/>
        </w:rPr>
        <w:t>构建流域尺度的生态保护与修复单元，统筹实施水生态保护与修复工程。推进小流域生态综合治理，实施城镇周边水系连通等水生态保护修复项目，实现水生态保护与修复精细化管理，系统推进</w:t>
      </w:r>
      <w:r>
        <w:rPr>
          <w:rFonts w:hint="eastAsia"/>
          <w:lang w:val="en-US" w:eastAsia="zh-CN"/>
        </w:rPr>
        <w:t>倒淌河</w:t>
      </w:r>
      <w:r>
        <w:rPr>
          <w:rFonts w:hint="eastAsia"/>
        </w:rPr>
        <w:t>流域水环境保护、水生态修复、水污染防治和水资源管理。</w:t>
      </w:r>
    </w:p>
    <w:p w14:paraId="7CABA617">
      <w:pPr>
        <w:pStyle w:val="7"/>
        <w:ind w:firstLine="640"/>
        <w:rPr>
          <w:rFonts w:hint="eastAsia"/>
        </w:rPr>
      </w:pPr>
      <w:r>
        <w:rPr>
          <w:rFonts w:hint="eastAsia" w:ascii="楷体_GB2312" w:hAnsi="楷体_GB2312" w:eastAsia="楷体_GB2312" w:cs="楷体_GB2312"/>
        </w:rPr>
        <w:t>加大水环境污染防治。</w:t>
      </w:r>
      <w:r>
        <w:rPr>
          <w:rFonts w:hint="eastAsia"/>
        </w:rPr>
        <w:t>从严核定水环境功能区纳污能力，严格控制入河湖排污总量，加强水污染防治和污染减排。持续推进水环境污染综合治理。推进</w:t>
      </w:r>
      <w:r>
        <w:rPr>
          <w:rFonts w:hint="eastAsia"/>
          <w:lang w:val="en-US" w:eastAsia="zh-CN"/>
        </w:rPr>
        <w:t>倒淌</w:t>
      </w:r>
      <w:r>
        <w:rPr>
          <w:rFonts w:hint="eastAsia"/>
        </w:rPr>
        <w:t>河治理，开展生态清洁小流域建设。倒淌河水环境功能区水质目标为Ⅱ类。至2035年，</w:t>
      </w:r>
      <w:r>
        <w:rPr>
          <w:rFonts w:hint="eastAsia"/>
          <w:lang w:val="en-US" w:eastAsia="zh-CN"/>
        </w:rPr>
        <w:t>倒淌河</w:t>
      </w:r>
      <w:r>
        <w:rPr>
          <w:rFonts w:hint="eastAsia"/>
        </w:rPr>
        <w:t>水环境功能区水质达标率达到100%。</w:t>
      </w:r>
    </w:p>
    <w:p w14:paraId="37021394">
      <w:pPr>
        <w:pStyle w:val="7"/>
        <w:ind w:firstLine="640"/>
        <w:rPr>
          <w:rFonts w:hint="eastAsia"/>
        </w:rPr>
      </w:pPr>
      <w:r>
        <w:rPr>
          <w:rFonts w:hint="eastAsia" w:ascii="楷体_GB2312" w:hAnsi="楷体_GB2312" w:eastAsia="楷体_GB2312" w:cs="楷体_GB2312"/>
        </w:rPr>
        <w:t>严格保护饮用水水源地。</w:t>
      </w:r>
      <w:r>
        <w:rPr>
          <w:rFonts w:hint="eastAsia"/>
        </w:rPr>
        <w:t>加强饮用水水源地保护，划定</w:t>
      </w:r>
      <w:r>
        <w:rPr>
          <w:rFonts w:hint="eastAsia"/>
          <w:lang w:val="en-US" w:eastAsia="zh-CN"/>
        </w:rPr>
        <w:t>娄拉</w:t>
      </w:r>
      <w:r>
        <w:rPr>
          <w:rFonts w:hint="eastAsia"/>
        </w:rPr>
        <w:t>水库水源地饮用水水源保护区，严格水源保护管理。实施</w:t>
      </w:r>
      <w:r>
        <w:rPr>
          <w:rFonts w:hint="eastAsia"/>
          <w:lang w:val="en-US" w:eastAsia="zh-CN"/>
        </w:rPr>
        <w:t>娄拉</w:t>
      </w:r>
      <w:r>
        <w:rPr>
          <w:rFonts w:hint="eastAsia"/>
        </w:rPr>
        <w:t>水库水源地生态保护及规范化建设。至2035年，</w:t>
      </w:r>
      <w:r>
        <w:rPr>
          <w:rFonts w:hint="eastAsia"/>
          <w:lang w:val="en-US" w:eastAsia="zh-CN"/>
        </w:rPr>
        <w:t>倒淌河镇</w:t>
      </w:r>
      <w:r>
        <w:rPr>
          <w:rFonts w:hint="eastAsia"/>
        </w:rPr>
        <w:t>饮用水水源地水质达标率保持在100%。</w:t>
      </w:r>
    </w:p>
    <w:p w14:paraId="04E5316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加强水土流失防治</w:t>
      </w:r>
    </w:p>
    <w:p w14:paraId="2CA927E6">
      <w:pPr>
        <w:pStyle w:val="7"/>
        <w:ind w:firstLine="640"/>
        <w:rPr>
          <w:rFonts w:hint="eastAsia"/>
        </w:rPr>
      </w:pPr>
      <w:r>
        <w:rPr>
          <w:rFonts w:hint="eastAsia" w:ascii="楷体_GB2312" w:hAnsi="楷体_GB2312" w:eastAsia="楷体_GB2312" w:cs="楷体_GB2312"/>
        </w:rPr>
        <w:t>重点加强青海湖区域的水土流失防治，</w:t>
      </w:r>
      <w:r>
        <w:rPr>
          <w:rFonts w:hint="eastAsia"/>
        </w:rPr>
        <w:t>以地表植被建设、侵蚀沟道治理为重点，完善流域水土流失预防和治理措施体系，适时推进高标准淤地坝建设，因地制宜推进生态清洁小流域建设，着力构建城镇及其周边小流域生态优美、生活宜居的生态环境，维护水土资源可持续利用。深化水土保持生态建设，实施水土保持工程，突出加强青海湖</w:t>
      </w:r>
      <w:r>
        <w:rPr>
          <w:rFonts w:hint="eastAsia"/>
          <w:lang w:val="en-US" w:eastAsia="zh-CN"/>
        </w:rPr>
        <w:t>区域</w:t>
      </w:r>
      <w:r>
        <w:rPr>
          <w:rFonts w:hint="eastAsia"/>
        </w:rPr>
        <w:t>水蚀生态维护保土区水土流失治理。到2035年，严格落实</w:t>
      </w:r>
      <w:r>
        <w:rPr>
          <w:rFonts w:hint="eastAsia"/>
          <w:lang w:val="en-US" w:eastAsia="zh-CN"/>
        </w:rPr>
        <w:t>上</w:t>
      </w:r>
      <w:r>
        <w:rPr>
          <w:rFonts w:hint="eastAsia"/>
        </w:rPr>
        <w:t>级下达的水土流失治理任务。</w:t>
      </w:r>
    </w:p>
    <w:p w14:paraId="10F40D0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实施沙化土地综合治理</w:t>
      </w:r>
    </w:p>
    <w:p w14:paraId="0DE8693D">
      <w:pPr>
        <w:pStyle w:val="7"/>
        <w:ind w:firstLine="640"/>
        <w:rPr>
          <w:rFonts w:hint="eastAsia" w:ascii="仿宋_GB2312" w:hAnsi="仿宋_GB2312" w:eastAsia="仿宋_GB2312" w:cs="仿宋_GB2312"/>
        </w:rPr>
      </w:pPr>
      <w:r>
        <w:rPr>
          <w:rFonts w:hint="eastAsia" w:ascii="楷体_GB2312" w:hAnsi="楷体_GB2312" w:eastAsia="楷体_GB2312" w:cs="楷体_GB2312"/>
        </w:rPr>
        <w:t>实施环青海湖地区荒漠化土地治理。</w:t>
      </w:r>
      <w:r>
        <w:rPr>
          <w:rFonts w:hint="eastAsia" w:ascii="仿宋_GB2312" w:hAnsi="仿宋_GB2312" w:eastAsia="仿宋_GB2312" w:cs="仿宋_GB2312"/>
        </w:rPr>
        <w:t>对</w:t>
      </w:r>
      <w:r>
        <w:rPr>
          <w:rFonts w:hint="eastAsia" w:ascii="仿宋_GB2312" w:hAnsi="仿宋_GB2312" w:cs="仿宋_GB2312"/>
          <w:lang w:val="en-US" w:eastAsia="zh-CN"/>
        </w:rPr>
        <w:t>倒淌河镇</w:t>
      </w:r>
      <w:r>
        <w:rPr>
          <w:rFonts w:hint="eastAsia" w:ascii="仿宋_GB2312" w:hAnsi="仿宋_GB2312" w:eastAsia="仿宋_GB2312" w:cs="仿宋_GB2312"/>
        </w:rPr>
        <w:t>沙漠化土地实施封沙育林育草工程，遏制沙漠化蔓延。遵循自然规律，自然恢复和人工修复相结合，积极探索以放牧为主合理利用草场的生产经营方向，采取“沙漠+光伏+设施牧草种植”和飞播种草等治沙模式防止土地沙化，构建以林为主、林草结合的防风固沙林体系。</w:t>
      </w:r>
    </w:p>
    <w:p w14:paraId="77006A8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强化土壤污染防治</w:t>
      </w:r>
    </w:p>
    <w:p w14:paraId="4BC67A02">
      <w:pPr>
        <w:pStyle w:val="7"/>
        <w:ind w:firstLine="640"/>
        <w:rPr>
          <w:rFonts w:hint="eastAsia" w:ascii="仿宋_GB2312" w:hAnsi="仿宋_GB2312" w:eastAsia="仿宋_GB2312" w:cs="仿宋_GB2312"/>
        </w:rPr>
      </w:pPr>
      <w:r>
        <w:rPr>
          <w:rFonts w:hint="eastAsia" w:ascii="楷体_GB2312" w:hAnsi="楷体_GB2312" w:eastAsia="楷体_GB2312" w:cs="楷体_GB2312"/>
        </w:rPr>
        <w:t>完成</w:t>
      </w:r>
      <w:r>
        <w:rPr>
          <w:rFonts w:hint="eastAsia" w:ascii="楷体_GB2312" w:hAnsi="楷体_GB2312" w:eastAsia="楷体_GB2312" w:cs="楷体_GB2312"/>
          <w:lang w:val="en-US" w:eastAsia="zh-CN"/>
        </w:rPr>
        <w:t>全镇</w:t>
      </w:r>
      <w:r>
        <w:rPr>
          <w:rFonts w:hint="eastAsia" w:ascii="楷体_GB2312" w:hAnsi="楷体_GB2312" w:eastAsia="楷体_GB2312" w:cs="楷体_GB2312"/>
        </w:rPr>
        <w:t>土壤污染源排查与整治，</w:t>
      </w:r>
      <w:r>
        <w:rPr>
          <w:rFonts w:hint="eastAsia" w:ascii="仿宋_GB2312" w:hAnsi="仿宋_GB2312" w:eastAsia="仿宋_GB2312" w:cs="仿宋_GB2312"/>
        </w:rPr>
        <w:t>按照“分区分类”的原则，实施以风险管控为主的治理策略，加强土壤污染源头防控，严格控制新增污染，实施重点污染源综合防控，推动受污染耕地安全利用，加强污染地块风险管控与修复，防控重点区域土壤污染风险。保障工业园区环保基础设施用地，实施关闭搬迁企业或历史遗留污染源整治，持续推进重金属污染综合防控治理，加强固体废物污染防治，实行污染地块全过程闭环管理。</w:t>
      </w:r>
    </w:p>
    <w:p w14:paraId="2EA03FE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积极推进国土绿化工程</w:t>
      </w:r>
    </w:p>
    <w:p w14:paraId="1758EBB1">
      <w:pPr>
        <w:pStyle w:val="7"/>
        <w:ind w:firstLine="640"/>
        <w:rPr>
          <w:rFonts w:hint="eastAsia" w:ascii="仿宋_GB2312" w:hAnsi="仿宋_GB2312" w:eastAsia="仿宋_GB2312" w:cs="仿宋_GB2312"/>
        </w:rPr>
      </w:pPr>
      <w:r>
        <w:rPr>
          <w:rFonts w:hint="eastAsia" w:ascii="仿宋_GB2312" w:hAnsi="仿宋_GB2312" w:eastAsia="仿宋_GB2312" w:cs="仿宋_GB2312"/>
        </w:rPr>
        <w:t>深入开展国土绿化巩固提升行动，增强生态系统功能和生态产品供给能力，提升生态系统碳汇增量，筑牢国土生态安全屏障，增进人民生态福祉。依托三北防护林、天然林保护、防沙治沙等国家重点工程，结合实际情况，按照宜林则林、宜草则草的原则实施人工造林，继续推进国土绿化。不断拓展绿化空间，对重点生态脆弱区、宜林沙化土地、裸土地等实施造林绿化，有序安排年度绿化任务。到2035年，森林覆盖率不低于</w:t>
      </w:r>
      <w:r>
        <w:rPr>
          <w:rFonts w:hint="eastAsia" w:ascii="仿宋_GB2312" w:hAnsi="仿宋_GB2312" w:cs="仿宋_GB2312"/>
          <w:lang w:val="en-US" w:eastAsia="zh-CN"/>
        </w:rPr>
        <w:t>2.57</w:t>
      </w:r>
      <w:r>
        <w:rPr>
          <w:rFonts w:hint="eastAsia" w:ascii="仿宋_GB2312" w:hAnsi="仿宋_GB2312" w:eastAsia="仿宋_GB2312" w:cs="仿宋_GB2312"/>
        </w:rPr>
        <w:t>%。规划造林绿化空间</w:t>
      </w:r>
      <w:r>
        <w:rPr>
          <w:rFonts w:hint="eastAsia" w:ascii="仿宋_GB2312" w:hAnsi="仿宋_GB2312" w:cs="仿宋_GB2312"/>
          <w:lang w:val="en-US" w:eastAsia="zh-CN"/>
        </w:rPr>
        <w:t>13582.52公顷</w:t>
      </w:r>
      <w:r>
        <w:rPr>
          <w:rFonts w:hint="eastAsia" w:ascii="仿宋_GB2312" w:hAnsi="仿宋_GB2312" w:eastAsia="仿宋_GB2312" w:cs="仿宋_GB2312"/>
        </w:rPr>
        <w:t>，主要分布在青海湖东沙漠地区，并落实到国土空间规划“一张图”上。</w:t>
      </w:r>
    </w:p>
    <w:p w14:paraId="69466AEA">
      <w:pPr>
        <w:rPr>
          <w:rFonts w:hint="eastAsia" w:ascii="仿宋_GB2312" w:hAnsi="仿宋_GB2312" w:eastAsia="仿宋_GB2312" w:cs="仿宋_GB2312"/>
        </w:rPr>
      </w:pPr>
      <w:r>
        <w:rPr>
          <w:rFonts w:hint="eastAsia" w:ascii="仿宋_GB2312" w:hAnsi="仿宋_GB2312" w:eastAsia="仿宋_GB2312" w:cs="仿宋_GB2312"/>
        </w:rPr>
        <w:br w:type="page"/>
      </w:r>
    </w:p>
    <w:p w14:paraId="743D3685">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39" w:name="_Toc23999"/>
      <w:r>
        <w:rPr>
          <w:rFonts w:hint="eastAsia" w:ascii="Times New Roman" w:hAnsi="Times New Roman" w:eastAsia="方正小标宋简体" w:cs="Times New Roman"/>
          <w:b w:val="0"/>
          <w:bCs w:val="0"/>
          <w:sz w:val="36"/>
          <w:szCs w:val="36"/>
        </w:rPr>
        <w:t>巩固农业空间，提标升级绿色有机农畜产品</w:t>
      </w:r>
      <w:bookmarkEnd w:id="39"/>
    </w:p>
    <w:p w14:paraId="67371791">
      <w:pPr>
        <w:pStyle w:val="3"/>
        <w:keepNext/>
        <w:keepLines/>
        <w:pageBreakBefore w:val="0"/>
        <w:widowControl w:val="0"/>
        <w:numPr>
          <w:ilvl w:val="1"/>
          <w:numId w:val="8"/>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40" w:name="_Toc8091"/>
      <w:r>
        <w:rPr>
          <w:rFonts w:hint="eastAsia" w:ascii="Arial" w:hAnsi="Arial" w:eastAsia="黑体" w:cs="Times New Roman"/>
          <w:b w:val="0"/>
          <w:lang w:val="zh-CN"/>
        </w:rPr>
        <w:t>实施耕地数量、质量、生态“三位一体”保护</w:t>
      </w:r>
      <w:bookmarkEnd w:id="40"/>
    </w:p>
    <w:p w14:paraId="2599EB8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坚持最严格的耕地保护制度</w:t>
      </w:r>
    </w:p>
    <w:p w14:paraId="1269C07C">
      <w:pPr>
        <w:pStyle w:val="7"/>
        <w:ind w:firstLine="640"/>
        <w:rPr>
          <w:rFonts w:hint="eastAsia" w:ascii="仿宋_GB2312" w:hAnsi="仿宋_GB2312" w:eastAsia="仿宋_GB2312" w:cs="仿宋_GB2312"/>
        </w:rPr>
      </w:pPr>
      <w:r>
        <w:rPr>
          <w:rFonts w:hint="eastAsia" w:ascii="楷体_GB2312" w:hAnsi="楷体_GB2312" w:eastAsia="楷体_GB2312" w:cs="楷体_GB2312"/>
        </w:rPr>
        <w:t>落实“合理利用土地、切实保护耕地”的基本国策，</w:t>
      </w:r>
      <w:r>
        <w:rPr>
          <w:rFonts w:hint="eastAsia" w:ascii="仿宋_GB2312" w:hAnsi="仿宋_GB2312" w:eastAsia="仿宋_GB2312" w:cs="仿宋_GB2312"/>
        </w:rPr>
        <w:t>切实保护耕地资源，将5.2819万亩耕地和4.3553万亩永久基本农田带位置下达至各</w:t>
      </w:r>
      <w:r>
        <w:rPr>
          <w:rFonts w:hint="eastAsia" w:ascii="仿宋_GB2312" w:hAnsi="仿宋_GB2312" w:cs="仿宋_GB2312"/>
          <w:lang w:eastAsia="zh-CN"/>
        </w:rPr>
        <w:t>村</w:t>
      </w:r>
      <w:r>
        <w:rPr>
          <w:rFonts w:hint="eastAsia" w:ascii="仿宋_GB2312" w:hAnsi="仿宋_GB2312" w:eastAsia="仿宋_GB2312" w:cs="仿宋_GB2312"/>
        </w:rPr>
        <w:t>，健全落实耕地保护和粮食安全责任考核机制，签订耕地保护和粮食安全责任书，压实耕地保护主体责任，对耕地保护和粮食安全完成情况定期考核，实行耕地保护党政同责、终身追责。严守耕地保护红线，突出耕地数量、质量、生态“三位一体”保护。强化耕地种植用途管控，依法落实耕地利用优先序，合理引导农业种植结构调整，耕地主要用于粮食和油料、蔬菜及饲草饲料生产，永久基本农田主要用于粮食生产，高标准农田原则上全部用于粮食生产。严格控制非农建设占用耕地，确需占用耕地的，应尽量占用等级较低的耕地，实施建设项目占用耕地表土剥离再利用。建立耕地污染风险评估和污染土壤修复制度，有效保护优质耕地，逐步提高现有耕地质量。因地制宜，分类规划，综合配套，全面提高农业抗御自然灾害的能力。</w:t>
      </w:r>
    </w:p>
    <w:p w14:paraId="0C965BF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严格落实耕地占补平衡</w:t>
      </w:r>
    </w:p>
    <w:p w14:paraId="2E4D5DC8">
      <w:pPr>
        <w:pStyle w:val="7"/>
        <w:ind w:firstLine="640"/>
        <w:rPr>
          <w:rFonts w:hint="eastAsia" w:ascii="仿宋_GB2312" w:hAnsi="仿宋_GB2312" w:eastAsia="仿宋_GB2312" w:cs="仿宋_GB2312"/>
        </w:rPr>
      </w:pPr>
      <w:r>
        <w:rPr>
          <w:rFonts w:hint="eastAsia" w:ascii="仿宋_GB2312" w:hAnsi="仿宋_GB2312" w:eastAsia="仿宋_GB2312" w:cs="仿宋_GB2312"/>
        </w:rPr>
        <w:t>各类非农建设、农业结构调整、造林种树等各类占用耕地行为统一纳入耕地占补平衡管理，优先将适宜恢复为优质耕地的园地、林地、草地等其他农用地以及盐碱地等未利用地、低效闲置建设用地统筹作为补充耕地来源。</w:t>
      </w:r>
    </w:p>
    <w:p w14:paraId="726891D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提升耕地综合生产能力</w:t>
      </w:r>
    </w:p>
    <w:p w14:paraId="5E370659">
      <w:pPr>
        <w:pStyle w:val="7"/>
        <w:ind w:firstLine="640"/>
        <w:rPr>
          <w:rFonts w:hint="eastAsia" w:ascii="仿宋_GB2312" w:hAnsi="仿宋_GB2312" w:eastAsia="仿宋_GB2312" w:cs="仿宋_GB2312"/>
        </w:rPr>
      </w:pPr>
      <w:r>
        <w:rPr>
          <w:rFonts w:hint="eastAsia" w:ascii="仿宋_GB2312" w:hAnsi="仿宋_GB2312" w:eastAsia="仿宋_GB2312" w:cs="仿宋_GB2312"/>
        </w:rPr>
        <w:t>加强农田基础设施建设，改善田间道路、灌排渠道、电力系统并种植农田防护林，开展耕地提质改造，综合运用工程、技术和生物措施，积极开展全域土地综合整治，促进耕地集中连片。开展旱改水、农田连片整治、土壤培肥改良等重大工程，加强高效节水灌溉设施建设和节水技术推广，提高耕地综合生产能力。以种植业生产适宜区为基础，结合永久基本农田集中分布情况，大力推进高标准农田建设，加强灌排设施和田间道路设施配套，培肥土壤，促进零散耕地集中连片和耕地数量、质量、生态</w:t>
      </w:r>
      <w:r>
        <w:rPr>
          <w:rFonts w:hint="eastAsia" w:ascii="仿宋_GB2312" w:hAnsi="仿宋_GB2312" w:cs="仿宋_GB2312"/>
          <w:lang w:eastAsia="zh-CN"/>
        </w:rPr>
        <w:t>“</w:t>
      </w:r>
      <w:r>
        <w:rPr>
          <w:rFonts w:hint="eastAsia" w:ascii="仿宋_GB2312" w:hAnsi="仿宋_GB2312" w:eastAsia="仿宋_GB2312" w:cs="仿宋_GB2312"/>
        </w:rPr>
        <w:t>三位一体</w:t>
      </w:r>
      <w:r>
        <w:rPr>
          <w:rFonts w:hint="eastAsia" w:ascii="仿宋_GB2312" w:hAnsi="仿宋_GB2312" w:cs="仿宋_GB2312"/>
          <w:lang w:eastAsia="zh-CN"/>
        </w:rPr>
        <w:t>”</w:t>
      </w:r>
      <w:r>
        <w:rPr>
          <w:rFonts w:hint="eastAsia" w:ascii="仿宋_GB2312" w:hAnsi="仿宋_GB2312" w:eastAsia="仿宋_GB2312" w:cs="仿宋_GB2312"/>
        </w:rPr>
        <w:t>保护。加强优质耕地储备，土地整治和新建高标准农田增加的耕地，集中连片、规模较大、有良好的水利和水土保持设施的耕地，应优先划入永久基本农田储备区。在永久基本农田集中分布地区，不得规划新建可能造成污染的建设项目。</w:t>
      </w:r>
    </w:p>
    <w:p w14:paraId="405213B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持续推进宜耕后备资源开发</w:t>
      </w:r>
    </w:p>
    <w:p w14:paraId="2864FC51">
      <w:pPr>
        <w:pStyle w:val="7"/>
        <w:ind w:firstLine="640"/>
        <w:rPr>
          <w:rFonts w:hint="default" w:ascii="仿宋_GB2312" w:hAnsi="仿宋_GB2312" w:eastAsia="仿宋_GB2312" w:cs="仿宋_GB2312"/>
          <w:lang w:val="en-US" w:eastAsia="zh-CN"/>
        </w:rPr>
      </w:pPr>
      <w:r>
        <w:rPr>
          <w:rFonts w:hint="eastAsia" w:ascii="仿宋_GB2312" w:hAnsi="仿宋_GB2312" w:eastAsia="仿宋_GB2312" w:cs="仿宋_GB2312"/>
        </w:rPr>
        <w:t>在对生态环境不造成不良影响和水资源承载范围内，大力推进耕地后备资源分布潜力较大的重点区域耕地开垦工程。充分利用其他草地、沙地、盐碱地等耕地后备资源，大力实施宜耕后备资源开发，增加有效耕地面积，促进耕地集中连片。以</w:t>
      </w:r>
      <w:r>
        <w:rPr>
          <w:rFonts w:hint="eastAsia" w:ascii="仿宋_GB2312" w:hAnsi="仿宋_GB2312" w:cs="仿宋_GB2312"/>
          <w:lang w:val="en-US" w:eastAsia="zh-CN"/>
        </w:rPr>
        <w:t>倒淌河河谷地带</w:t>
      </w:r>
      <w:r>
        <w:rPr>
          <w:rFonts w:hint="eastAsia" w:ascii="仿宋_GB2312" w:hAnsi="仿宋_GB2312" w:eastAsia="仿宋_GB2312" w:cs="仿宋_GB2312"/>
        </w:rPr>
        <w:t>为重点，选择规模较大、与现状耕地连片分布、有较好的水源灌溉条件的宜耕地农用地、未利用地，优先划入耕地战略储备区。</w:t>
      </w:r>
      <w:r>
        <w:rPr>
          <w:rFonts w:hint="eastAsia" w:ascii="仿宋_GB2312" w:hAnsi="仿宋_GB2312" w:cs="仿宋_GB2312"/>
          <w:lang w:val="en-US" w:eastAsia="zh-CN"/>
        </w:rPr>
        <w:t>倒淌河镇划定耕地后备资源面积约708亩，位于次汉达哇村。</w:t>
      </w:r>
    </w:p>
    <w:p w14:paraId="31A6DF32">
      <w:pPr>
        <w:pStyle w:val="3"/>
        <w:keepNext/>
        <w:keepLines/>
        <w:pageBreakBefore w:val="0"/>
        <w:widowControl w:val="0"/>
        <w:numPr>
          <w:ilvl w:val="1"/>
          <w:numId w:val="8"/>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41" w:name="_Toc18012"/>
      <w:r>
        <w:rPr>
          <w:rFonts w:hint="eastAsia" w:ascii="Arial" w:hAnsi="Arial" w:eastAsia="黑体" w:cs="Times New Roman"/>
          <w:b w:val="0"/>
          <w:lang w:val="zh-CN"/>
        </w:rPr>
        <w:t>重点拓展农畜产品生产空间</w:t>
      </w:r>
      <w:bookmarkEnd w:id="41"/>
    </w:p>
    <w:p w14:paraId="0670C8C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提高</w:t>
      </w:r>
      <w:r>
        <w:rPr>
          <w:rFonts w:hint="eastAsia" w:ascii="楷体_GB2312" w:hAnsi="Times New Roman" w:eastAsia="楷体_GB2312" w:cs="Times New Roman"/>
          <w:bCs/>
          <w:sz w:val="32"/>
          <w:szCs w:val="32"/>
          <w:lang w:val="en-US" w:eastAsia="zh-CN"/>
        </w:rPr>
        <w:t>镇区周边</w:t>
      </w:r>
      <w:r>
        <w:rPr>
          <w:rFonts w:hint="eastAsia" w:ascii="楷体_GB2312" w:hAnsi="Times New Roman" w:eastAsia="楷体_GB2312" w:cs="Times New Roman"/>
          <w:bCs/>
          <w:sz w:val="32"/>
          <w:szCs w:val="32"/>
        </w:rPr>
        <w:t>农业生产能力</w:t>
      </w:r>
    </w:p>
    <w:p w14:paraId="6A65A7B5">
      <w:pPr>
        <w:pStyle w:val="7"/>
        <w:ind w:firstLine="640"/>
        <w:rPr>
          <w:rFonts w:hint="eastAsia" w:ascii="仿宋_GB2312" w:hAnsi="仿宋_GB2312" w:eastAsia="仿宋_GB2312" w:cs="仿宋_GB2312"/>
        </w:rPr>
      </w:pPr>
      <w:r>
        <w:rPr>
          <w:rFonts w:hint="eastAsia" w:ascii="仿宋_GB2312" w:hAnsi="仿宋_GB2312" w:eastAsia="仿宋_GB2312" w:cs="仿宋_GB2312"/>
        </w:rPr>
        <w:t>严格保护</w:t>
      </w:r>
      <w:r>
        <w:rPr>
          <w:rFonts w:hint="eastAsia" w:ascii="仿宋_GB2312" w:hAnsi="仿宋_GB2312" w:cs="仿宋_GB2312"/>
          <w:lang w:val="en-US" w:eastAsia="zh-CN"/>
        </w:rPr>
        <w:t>镇区</w:t>
      </w:r>
      <w:r>
        <w:rPr>
          <w:rFonts w:hint="eastAsia" w:ascii="仿宋_GB2312" w:hAnsi="仿宋_GB2312" w:eastAsia="仿宋_GB2312" w:cs="仿宋_GB2312"/>
        </w:rPr>
        <w:t>周边农业空间，以城镇开发边界为约束有序引导城镇建设。加强</w:t>
      </w:r>
      <w:r>
        <w:rPr>
          <w:rFonts w:hint="eastAsia" w:ascii="仿宋_GB2312" w:hAnsi="仿宋_GB2312" w:cs="仿宋_GB2312"/>
          <w:lang w:val="en-US" w:eastAsia="zh-CN"/>
        </w:rPr>
        <w:t>镇区</w:t>
      </w:r>
      <w:r>
        <w:rPr>
          <w:rFonts w:hint="eastAsia" w:ascii="仿宋_GB2312" w:hAnsi="仿宋_GB2312" w:eastAsia="仿宋_GB2312" w:cs="仿宋_GB2312"/>
        </w:rPr>
        <w:t>周边的农业生产区的水利建设，包括建设灌溉设施，保护水源等。通过流转方式集中形成规模化的农业生产基地，提高土地利用效益；应用高新技术，推广先进农业生产方式，提高农民生产效益，提高农业生产精细化和智能化水平。</w:t>
      </w:r>
    </w:p>
    <w:p w14:paraId="5C4AF0F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发展优质高效特色农业</w:t>
      </w:r>
    </w:p>
    <w:p w14:paraId="3878C7F9">
      <w:pPr>
        <w:pStyle w:val="7"/>
        <w:ind w:firstLine="640"/>
        <w:rPr>
          <w:rFonts w:hint="eastAsia" w:ascii="仿宋_GB2312" w:hAnsi="仿宋_GB2312" w:eastAsia="仿宋_GB2312" w:cs="仿宋_GB2312"/>
        </w:rPr>
      </w:pPr>
      <w:r>
        <w:rPr>
          <w:rFonts w:hint="eastAsia" w:ascii="仿宋_GB2312" w:hAnsi="仿宋_GB2312" w:eastAsia="仿宋_GB2312" w:cs="仿宋_GB2312"/>
        </w:rPr>
        <w:t>深入实施“藏粮于地、藏粮于技”战略，大力发展青稞、油菜、小麦、蔬菜、饲草产业，稳固粮食生产和重要农产品生产地位，实现绿色有机农畜产品输出和重要农畜产品保障等功能，增加优质农畜产品供给。</w:t>
      </w:r>
      <w:bookmarkStart w:id="42" w:name="_Hlk135522491"/>
      <w:r>
        <w:rPr>
          <w:rFonts w:hint="eastAsia" w:ascii="仿宋_GB2312" w:hAnsi="仿宋_GB2312" w:eastAsia="仿宋_GB2312" w:cs="仿宋_GB2312"/>
        </w:rPr>
        <w:t>优化农业产业布局，加大扶持力度，保障农牧区基础设施建设和设施农业发展用地需要，建设国家现代农业产业园，保障特色农产品发展空间，打造设施农产品品牌。</w:t>
      </w:r>
      <w:bookmarkEnd w:id="42"/>
    </w:p>
    <w:p w14:paraId="2467F0C8">
      <w:pPr>
        <w:pStyle w:val="3"/>
        <w:keepNext/>
        <w:keepLines/>
        <w:pageBreakBefore w:val="0"/>
        <w:widowControl w:val="0"/>
        <w:numPr>
          <w:ilvl w:val="1"/>
          <w:numId w:val="8"/>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43" w:name="_Toc29840"/>
      <w:r>
        <w:rPr>
          <w:rFonts w:hint="eastAsia" w:ascii="Arial" w:hAnsi="Arial" w:eastAsia="黑体" w:cs="Times New Roman"/>
          <w:b w:val="0"/>
          <w:lang w:val="zh-CN"/>
        </w:rPr>
        <w:t>强化草地资源保护利用</w:t>
      </w:r>
      <w:bookmarkEnd w:id="43"/>
    </w:p>
    <w:p w14:paraId="3979503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从严落实基本草原保护制度</w:t>
      </w:r>
    </w:p>
    <w:p w14:paraId="047229D8">
      <w:pPr>
        <w:pStyle w:val="7"/>
        <w:ind w:firstLine="640"/>
        <w:rPr>
          <w:rFonts w:hint="eastAsia" w:ascii="仿宋_GB2312" w:hAnsi="仿宋_GB2312" w:eastAsia="仿宋_GB2312" w:cs="仿宋_GB2312"/>
        </w:rPr>
      </w:pPr>
      <w:bookmarkStart w:id="44" w:name="_Hlk135522544"/>
      <w:r>
        <w:rPr>
          <w:rFonts w:hint="eastAsia" w:ascii="仿宋_GB2312" w:hAnsi="仿宋_GB2312" w:eastAsia="仿宋_GB2312" w:cs="仿宋_GB2312"/>
        </w:rPr>
        <w:t>落实基本草原保护制度，实施更加严格的基本草原保护和管理，确保基本草原面积不减少、质量不下降、用途不改变。加强基本草原保护力度，对基本草原实施严格的轮牧休牧和草畜平衡制度。科学合理利用草原，禁止乱采乱挖草原野生植物和破坏草原植被的其他活动。加强草原监管体系建设，提升执法监督工作水平。</w:t>
      </w:r>
      <w:bookmarkEnd w:id="44"/>
      <w:bookmarkStart w:id="45" w:name="_Hlk135522554"/>
      <w:r>
        <w:rPr>
          <w:rFonts w:hint="eastAsia" w:ascii="仿宋_GB2312" w:hAnsi="仿宋_GB2312" w:eastAsia="仿宋_GB2312" w:cs="仿宋_GB2312"/>
        </w:rPr>
        <w:t>到2035年，</w:t>
      </w:r>
      <w:r>
        <w:rPr>
          <w:rFonts w:hint="eastAsia" w:ascii="仿宋_GB2312" w:hAnsi="仿宋_GB2312" w:cs="仿宋_GB2312"/>
          <w:lang w:val="en-US" w:eastAsia="zh-CN"/>
        </w:rPr>
        <w:t>倒淌河镇</w:t>
      </w:r>
      <w:r>
        <w:rPr>
          <w:rFonts w:hint="eastAsia" w:ascii="仿宋_GB2312" w:hAnsi="仿宋_GB2312" w:eastAsia="仿宋_GB2312" w:cs="仿宋_GB2312"/>
        </w:rPr>
        <w:t>基本草原面积保持在草原面积的80%以上</w:t>
      </w:r>
      <w:bookmarkEnd w:id="45"/>
      <w:r>
        <w:rPr>
          <w:rFonts w:hint="eastAsia" w:ascii="仿宋_GB2312" w:hAnsi="仿宋_GB2312" w:eastAsia="仿宋_GB2312" w:cs="仿宋_GB2312"/>
        </w:rPr>
        <w:t>。</w:t>
      </w:r>
    </w:p>
    <w:p w14:paraId="48E7766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合理利用草地资源，保障畜牧业生产空间</w:t>
      </w:r>
    </w:p>
    <w:p w14:paraId="15DED947">
      <w:pPr>
        <w:pStyle w:val="7"/>
        <w:ind w:firstLine="640"/>
        <w:rPr>
          <w:rFonts w:hint="eastAsia" w:ascii="仿宋_GB2312" w:hAnsi="仿宋_GB2312" w:eastAsia="仿宋_GB2312" w:cs="仿宋_GB2312"/>
        </w:rPr>
      </w:pPr>
      <w:r>
        <w:rPr>
          <w:rFonts w:hint="eastAsia" w:ascii="仿宋_GB2312" w:hAnsi="仿宋_GB2312" w:eastAsia="仿宋_GB2312" w:cs="仿宋_GB2312"/>
        </w:rPr>
        <w:t>对牧区生态环境恶劣，退化、沙化、盐渍化严重，不宜放牧，以及位于生态涵养区的草原，继续实施天然草原禁牧补助政策，实行禁牧封育。对禁牧区以外的天然草原根据承载能力核定合理载畜量，继续实施草畜平衡管理，落实奖励政策。以草定畜，优化牧区、农牧结合区和农区资源配置，推行“舍饲圈养、种养结合、农牧互补、牧繁农育”等循环生产模式。高效利用土地种植人工饲草，提升饲草料供给能力。支持暖棚、饲草基地、贮草棚等基础设施建设，引导草场合理放牧和鼓励</w:t>
      </w:r>
      <w:r>
        <w:rPr>
          <w:rFonts w:hint="eastAsia" w:ascii="仿宋_GB2312" w:hAnsi="仿宋_GB2312" w:cs="仿宋_GB2312"/>
          <w:lang w:eastAsia="zh-CN"/>
        </w:rPr>
        <w:t>饲</w:t>
      </w:r>
      <w:r>
        <w:rPr>
          <w:rFonts w:hint="eastAsia" w:ascii="仿宋_GB2312" w:hAnsi="仿宋_GB2312" w:eastAsia="仿宋_GB2312" w:cs="仿宋_GB2312"/>
        </w:rPr>
        <w:t>畜结合。</w:t>
      </w:r>
    </w:p>
    <w:p w14:paraId="02899B0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加强退化草地综合治理</w:t>
      </w:r>
    </w:p>
    <w:p w14:paraId="3A577CA1">
      <w:pPr>
        <w:pStyle w:val="7"/>
        <w:ind w:firstLine="640"/>
        <w:rPr>
          <w:rFonts w:hint="eastAsia" w:ascii="仿宋_GB2312" w:hAnsi="仿宋_GB2312" w:eastAsia="仿宋_GB2312" w:cs="仿宋_GB2312"/>
        </w:rPr>
      </w:pPr>
      <w:r>
        <w:rPr>
          <w:rFonts w:hint="eastAsia" w:ascii="仿宋_GB2312" w:hAnsi="仿宋_GB2312" w:eastAsia="仿宋_GB2312" w:cs="仿宋_GB2312"/>
        </w:rPr>
        <w:t>根据高寒天然草地退化演替阶段和生态环境的不同，采用封育、松耙补播、施肥、防除毒杂草和鼠害防治等技术措施，以快速恢复退化的草地植被和提高初级生产力。针对草原建设过程中存在的问题，通过实施退化草地、沙化草地综合治理，废弃定居点治理和修复，退化草场补播改良等项目，促进退化草原植被恢复，全面提升草原生态系统功能。到2035年，</w:t>
      </w:r>
      <w:r>
        <w:rPr>
          <w:rFonts w:hint="eastAsia" w:ascii="仿宋_GB2312" w:hAnsi="仿宋_GB2312" w:cs="仿宋_GB2312"/>
          <w:lang w:val="en-US" w:eastAsia="zh-CN"/>
        </w:rPr>
        <w:t>全镇</w:t>
      </w:r>
      <w:r>
        <w:rPr>
          <w:rFonts w:hint="eastAsia" w:ascii="仿宋_GB2312" w:hAnsi="仿宋_GB2312" w:eastAsia="仿宋_GB2312" w:cs="仿宋_GB2312"/>
        </w:rPr>
        <w:t>退化草原得到有效治理和修复，草原生态环境持续向好，综合服务功能显著提升，草原综合植被盖度不低于56.03%。</w:t>
      </w:r>
    </w:p>
    <w:p w14:paraId="2E8618C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积极推进草原复合利用</w:t>
      </w:r>
    </w:p>
    <w:p w14:paraId="307D9BA6">
      <w:pPr>
        <w:pStyle w:val="7"/>
        <w:ind w:firstLine="640"/>
        <w:rPr>
          <w:rFonts w:hint="eastAsia" w:ascii="仿宋_GB2312" w:hAnsi="仿宋_GB2312" w:eastAsia="仿宋_GB2312" w:cs="仿宋_GB2312"/>
        </w:rPr>
      </w:pPr>
      <w:bookmarkStart w:id="46" w:name="_Hlk135522906"/>
      <w:r>
        <w:rPr>
          <w:rFonts w:hint="eastAsia" w:ascii="仿宋_GB2312" w:hAnsi="仿宋_GB2312" w:eastAsia="仿宋_GB2312" w:cs="仿宋_GB2312"/>
        </w:rPr>
        <w:t>充分利用农牧交错带农林草多种资源，提高耦合性发展草牧业，在水资源充足，技术保障能力较好的地区，鼓励和支持利用农闲田、退耕还草地、饲草料地等土地资源，发展人工草地，增强饲草料就地供给保障能力。在生态红线范围外，依靠良好的生态资源，有序推进“绿水青山”向“金山银山”转化，鼓励打造一批草原旅游景区、度假地和精品旅游线路，推动草原旅游和生态康养产业发展，拓宽牧民增收渠道。采取草原轮牧和草场休养等措施，利用牧光互补和科学养殖提高草原复合利用效益。引进现代化的养殖技术和管理方法，提升农牧民的养殖技能和管理水平，有效提高草原畜牧业的效益和可持续性。</w:t>
      </w:r>
      <w:bookmarkEnd w:id="46"/>
    </w:p>
    <w:p w14:paraId="6429750F">
      <w:pPr>
        <w:pStyle w:val="3"/>
        <w:keepNext/>
        <w:keepLines/>
        <w:pageBreakBefore w:val="0"/>
        <w:widowControl w:val="0"/>
        <w:numPr>
          <w:ilvl w:val="1"/>
          <w:numId w:val="8"/>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47" w:name="_Toc3136"/>
      <w:r>
        <w:rPr>
          <w:rFonts w:hint="eastAsia" w:ascii="Arial" w:hAnsi="Arial" w:eastAsia="黑体" w:cs="Times New Roman"/>
          <w:b w:val="0"/>
          <w:lang w:val="zh-CN"/>
        </w:rPr>
        <w:t>有序实施</w:t>
      </w:r>
      <w:r>
        <w:rPr>
          <w:rFonts w:hint="eastAsia" w:ascii="Arial" w:hAnsi="Arial" w:eastAsia="黑体" w:cs="Times New Roman"/>
          <w:b w:val="0"/>
          <w:lang w:val="en-US" w:eastAsia="zh-CN"/>
        </w:rPr>
        <w:t>农用地</w:t>
      </w:r>
      <w:r>
        <w:rPr>
          <w:rFonts w:hint="eastAsia" w:ascii="Arial" w:hAnsi="Arial" w:eastAsia="黑体" w:cs="Times New Roman"/>
          <w:b w:val="0"/>
          <w:lang w:val="zh-CN"/>
        </w:rPr>
        <w:t>综合整治</w:t>
      </w:r>
      <w:bookmarkEnd w:id="47"/>
    </w:p>
    <w:p w14:paraId="1FAB4DE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统筹推进农用地综合整治</w:t>
      </w:r>
    </w:p>
    <w:p w14:paraId="2657D299">
      <w:pPr>
        <w:pStyle w:val="7"/>
        <w:ind w:firstLine="640"/>
        <w:rPr>
          <w:rFonts w:hint="eastAsia" w:ascii="仿宋_GB2312" w:hAnsi="仿宋_GB2312" w:eastAsia="仿宋_GB2312" w:cs="仿宋_GB2312"/>
        </w:rPr>
      </w:pPr>
      <w:r>
        <w:rPr>
          <w:rFonts w:hint="eastAsia" w:ascii="仿宋_GB2312" w:hAnsi="仿宋_GB2312" w:eastAsia="仿宋_GB2312" w:cs="仿宋_GB2312"/>
        </w:rPr>
        <w:t>突出耕地“三位一体”保护，适应发展现代农业和适度规模经营的需要，统筹推进低效林草地整理、农田基础设施建设、现有耕地提质改造等，增加耕地数量，提高耕地质量，改善农田生态。推进高标准农田建设，实施耕地质量提升行动，加强土地整理、灌</w:t>
      </w:r>
      <w:r>
        <w:rPr>
          <w:rFonts w:hint="eastAsia" w:ascii="仿宋_GB2312" w:hAnsi="仿宋_GB2312" w:cs="仿宋_GB2312"/>
          <w:lang w:eastAsia="zh-CN"/>
        </w:rPr>
        <w:t>排</w:t>
      </w:r>
      <w:r>
        <w:rPr>
          <w:rFonts w:hint="eastAsia" w:ascii="仿宋_GB2312" w:hAnsi="仿宋_GB2312" w:eastAsia="仿宋_GB2312" w:cs="仿宋_GB2312"/>
        </w:rPr>
        <w:t>水、田间道路、农田防护林建设，提高高标准农田比重。加大中低产田改造力度，实施耕地修复工程和土壤治理项目，积极开展土壤有机质提升。开展全域综合整治，推进</w:t>
      </w:r>
      <w:r>
        <w:rPr>
          <w:rFonts w:hint="eastAsia" w:ascii="仿宋_GB2312" w:hAnsi="仿宋_GB2312" w:cs="仿宋_GB2312"/>
          <w:lang w:val="en-US" w:eastAsia="zh-CN"/>
        </w:rPr>
        <w:t>倒淌河</w:t>
      </w:r>
      <w:r>
        <w:rPr>
          <w:rFonts w:hint="eastAsia" w:ascii="仿宋_GB2312" w:hAnsi="仿宋_GB2312" w:eastAsia="仿宋_GB2312" w:cs="仿宋_GB2312"/>
        </w:rPr>
        <w:t>河道治理工程、农田水利配套及整治工程等重点工程建设，提高农田水利配套。适度开发耕地后备资源，建设高原生态良田。</w:t>
      </w:r>
    </w:p>
    <w:p w14:paraId="3BC5C927">
      <w:pPr>
        <w:rPr>
          <w:rFonts w:hint="eastAsia" w:ascii="仿宋_GB2312" w:hAnsi="仿宋_GB2312" w:eastAsia="仿宋_GB2312" w:cs="仿宋_GB2312"/>
        </w:rPr>
      </w:pPr>
      <w:r>
        <w:rPr>
          <w:rFonts w:hint="eastAsia" w:ascii="仿宋_GB2312" w:hAnsi="仿宋_GB2312" w:eastAsia="仿宋_GB2312" w:cs="仿宋_GB2312"/>
        </w:rPr>
        <w:br w:type="page"/>
      </w:r>
    </w:p>
    <w:p w14:paraId="01290812">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48" w:name="_Toc314"/>
      <w:r>
        <w:rPr>
          <w:rFonts w:hint="eastAsia" w:ascii="Times New Roman" w:hAnsi="Times New Roman" w:eastAsia="方正小标宋简体" w:cs="Times New Roman"/>
          <w:b w:val="0"/>
          <w:bCs w:val="0"/>
          <w:sz w:val="36"/>
          <w:szCs w:val="36"/>
        </w:rPr>
        <w:t>优化建设空间，推进以人为本的新型城镇化</w:t>
      </w:r>
      <w:bookmarkEnd w:id="48"/>
    </w:p>
    <w:p w14:paraId="60E5987F">
      <w:pPr>
        <w:pStyle w:val="3"/>
        <w:keepNext/>
        <w:keepLines/>
        <w:pageBreakBefore w:val="0"/>
        <w:widowControl w:val="0"/>
        <w:numPr>
          <w:ilvl w:val="1"/>
          <w:numId w:val="9"/>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49" w:name="_Toc17752"/>
      <w:r>
        <w:rPr>
          <w:rFonts w:hint="eastAsia" w:ascii="Arial" w:hAnsi="Arial" w:eastAsia="黑体" w:cs="Times New Roman"/>
          <w:b w:val="0"/>
          <w:lang w:val="zh-CN"/>
        </w:rPr>
        <w:t>优化镇村空间体系</w:t>
      </w:r>
      <w:bookmarkEnd w:id="49"/>
    </w:p>
    <w:p w14:paraId="2B8DB6EC">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明确镇村等级规模</w:t>
      </w:r>
    </w:p>
    <w:p w14:paraId="0D8CA126">
      <w:pPr>
        <w:pStyle w:val="7"/>
        <w:ind w:firstLine="640"/>
        <w:rPr>
          <w:rFonts w:hint="eastAsia" w:ascii="仿宋_GB2312" w:hAnsi="仿宋_GB2312" w:eastAsia="仿宋_GB2312" w:cs="仿宋_GB2312"/>
        </w:rPr>
      </w:pPr>
      <w:r>
        <w:rPr>
          <w:rFonts w:hint="eastAsia" w:ascii="楷体_GB2312" w:hAnsi="楷体_GB2312" w:eastAsia="楷体_GB2312" w:cs="楷体_GB2312"/>
        </w:rPr>
        <w:t>引导三级规模</w:t>
      </w:r>
      <w:r>
        <w:rPr>
          <w:rFonts w:hint="eastAsia" w:ascii="楷体_GB2312" w:hAnsi="楷体_GB2312" w:eastAsia="楷体_GB2312" w:cs="楷体_GB2312"/>
          <w:lang w:val="en-US" w:eastAsia="zh-CN"/>
        </w:rPr>
        <w:t>镇村</w:t>
      </w:r>
      <w:r>
        <w:rPr>
          <w:rFonts w:hint="eastAsia" w:ascii="楷体_GB2312" w:hAnsi="楷体_GB2312" w:eastAsia="楷体_GB2312" w:cs="楷体_GB2312"/>
        </w:rPr>
        <w:t>协调发展。</w:t>
      </w:r>
      <w:r>
        <w:rPr>
          <w:rFonts w:hint="eastAsia" w:ascii="仿宋_GB2312" w:hAnsi="仿宋_GB2312" w:eastAsia="仿宋_GB2312" w:cs="仿宋_GB2312"/>
        </w:rPr>
        <w:t>规划形成</w:t>
      </w:r>
      <w:r>
        <w:rPr>
          <w:rFonts w:hint="eastAsia" w:ascii="仿宋_GB2312" w:hAnsi="仿宋_GB2312" w:cs="仿宋_GB2312"/>
          <w:lang w:val="en-US" w:eastAsia="zh-CN"/>
        </w:rPr>
        <w:t>镇区</w:t>
      </w:r>
      <w:r>
        <w:rPr>
          <w:rFonts w:hint="eastAsia" w:ascii="仿宋_GB2312" w:hAnsi="仿宋_GB2312" w:eastAsia="仿宋_GB2312" w:cs="仿宋_GB2312"/>
        </w:rPr>
        <w:t>、中心</w:t>
      </w:r>
      <w:r>
        <w:rPr>
          <w:rFonts w:hint="eastAsia" w:ascii="仿宋_GB2312" w:hAnsi="仿宋_GB2312" w:cs="仿宋_GB2312"/>
          <w:lang w:eastAsia="zh-CN"/>
        </w:rPr>
        <w:t>村</w:t>
      </w:r>
      <w:r>
        <w:rPr>
          <w:rFonts w:hint="eastAsia" w:ascii="仿宋_GB2312" w:hAnsi="仿宋_GB2312" w:eastAsia="仿宋_GB2312" w:cs="仿宋_GB2312"/>
        </w:rPr>
        <w:t>、</w:t>
      </w:r>
      <w:r>
        <w:rPr>
          <w:rFonts w:hint="eastAsia" w:ascii="仿宋_GB2312" w:hAnsi="仿宋_GB2312" w:cs="仿宋_GB2312"/>
          <w:lang w:val="en-US" w:eastAsia="zh-CN"/>
        </w:rPr>
        <w:t>基层村</w:t>
      </w:r>
      <w:r>
        <w:rPr>
          <w:rFonts w:hint="eastAsia" w:ascii="仿宋_GB2312" w:hAnsi="仿宋_GB2312" w:eastAsia="仿宋_GB2312" w:cs="仿宋_GB2312"/>
        </w:rPr>
        <w:t>3个规模等级，推动</w:t>
      </w:r>
      <w:r>
        <w:rPr>
          <w:rFonts w:hint="eastAsia" w:ascii="仿宋_GB2312" w:hAnsi="仿宋_GB2312" w:cs="仿宋_GB2312"/>
          <w:lang w:eastAsia="zh-CN"/>
        </w:rPr>
        <w:t>镇</w:t>
      </w:r>
      <w:r>
        <w:rPr>
          <w:rFonts w:hint="eastAsia" w:ascii="仿宋_GB2312" w:hAnsi="仿宋_GB2312" w:eastAsia="仿宋_GB2312" w:cs="仿宋_GB2312"/>
        </w:rPr>
        <w:t>域人口向</w:t>
      </w:r>
      <w:r>
        <w:rPr>
          <w:rFonts w:hint="eastAsia" w:ascii="仿宋_GB2312" w:hAnsi="仿宋_GB2312" w:cs="仿宋_GB2312"/>
          <w:lang w:val="en-US" w:eastAsia="zh-CN"/>
        </w:rPr>
        <w:t>镇区</w:t>
      </w:r>
      <w:r>
        <w:rPr>
          <w:rFonts w:hint="eastAsia" w:ascii="仿宋_GB2312" w:hAnsi="仿宋_GB2312" w:eastAsia="仿宋_GB2312" w:cs="仿宋_GB2312"/>
        </w:rPr>
        <w:t>集中。</w:t>
      </w:r>
      <w:r>
        <w:rPr>
          <w:rFonts w:hint="eastAsia" w:ascii="仿宋_GB2312" w:hAnsi="仿宋_GB2312" w:eastAsia="仿宋_GB2312" w:cs="仿宋_GB2312"/>
          <w:sz w:val="32"/>
          <w:szCs w:val="32"/>
        </w:rPr>
        <w:t>镇区</w:t>
      </w:r>
      <w:r>
        <w:rPr>
          <w:rFonts w:hint="eastAsia" w:ascii="仿宋_GB2312" w:hAnsi="仿宋_GB2312" w:cs="仿宋_GB2312"/>
          <w:sz w:val="32"/>
          <w:szCs w:val="32"/>
          <w:lang w:val="en-US" w:eastAsia="zh-CN"/>
        </w:rPr>
        <w:t>即</w:t>
      </w:r>
      <w:r>
        <w:rPr>
          <w:rFonts w:hint="eastAsia" w:ascii="仿宋_GB2312" w:hAnsi="仿宋_GB2312" w:eastAsia="仿宋_GB2312" w:cs="仿宋_GB2312"/>
          <w:sz w:val="32"/>
          <w:szCs w:val="32"/>
        </w:rPr>
        <w:t>倒淌河镇区，人口规模约0.36万人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中心村</w:t>
      </w:r>
      <w:r>
        <w:rPr>
          <w:rFonts w:hint="eastAsia" w:ascii="仿宋_GB2312" w:hAnsi="仿宋_GB2312" w:eastAsia="仿宋_GB2312" w:cs="仿宋_GB2312"/>
          <w:sz w:val="32"/>
          <w:szCs w:val="32"/>
          <w:lang w:val="en-US" w:eastAsia="zh-CN"/>
        </w:rPr>
        <w:t>4个，即</w:t>
      </w:r>
      <w:r>
        <w:rPr>
          <w:rFonts w:hint="eastAsia" w:ascii="仿宋_GB2312" w:hAnsi="仿宋_GB2312" w:eastAsia="仿宋_GB2312" w:cs="仿宋_GB2312"/>
          <w:sz w:val="32"/>
          <w:szCs w:val="32"/>
        </w:rPr>
        <w:t>甲乙村、黄科村、拉乙亥麻村、湖东种羊场，规划人口规模0.54万人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基层村6个，即元者村、黑科村、次汉达哇村、蒙古村、东卫村、哈乙亥村，规划人口规模0.6万人。</w:t>
      </w:r>
    </w:p>
    <w:p w14:paraId="7322316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提升</w:t>
      </w:r>
      <w:r>
        <w:rPr>
          <w:rFonts w:hint="eastAsia" w:ascii="楷体_GB2312" w:hAnsi="Times New Roman" w:eastAsia="楷体_GB2312" w:cs="Times New Roman"/>
          <w:bCs/>
          <w:sz w:val="32"/>
          <w:szCs w:val="32"/>
          <w:lang w:val="en-US" w:eastAsia="zh-CN"/>
        </w:rPr>
        <w:t>城镇</w:t>
      </w:r>
      <w:r>
        <w:rPr>
          <w:rFonts w:hint="eastAsia" w:ascii="楷体_GB2312" w:hAnsi="Times New Roman" w:eastAsia="楷体_GB2312" w:cs="Times New Roman"/>
          <w:bCs/>
          <w:sz w:val="32"/>
          <w:szCs w:val="32"/>
        </w:rPr>
        <w:t>职能定位</w:t>
      </w:r>
    </w:p>
    <w:p w14:paraId="7B4A2E63">
      <w:pPr>
        <w:pStyle w:val="7"/>
        <w:ind w:firstLine="64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倒淌河镇为</w:t>
      </w:r>
      <w:r>
        <w:rPr>
          <w:rFonts w:hint="eastAsia" w:ascii="仿宋_GB2312" w:hAnsi="仿宋_GB2312" w:cs="仿宋_GB2312"/>
          <w:lang w:val="en-US" w:eastAsia="zh-CN"/>
        </w:rPr>
        <w:t>县域中心镇，</w:t>
      </w:r>
      <w:r>
        <w:rPr>
          <w:rFonts w:hint="eastAsia" w:ascii="仿宋_GB2312" w:hAnsi="仿宋_GB2312" w:eastAsia="仿宋_GB2312" w:cs="仿宋_GB2312"/>
        </w:rPr>
        <w:t>文化旅游型城镇</w:t>
      </w:r>
      <w:bookmarkStart w:id="50" w:name="_Hlk136295212"/>
      <w:r>
        <w:rPr>
          <w:rFonts w:hint="eastAsia" w:ascii="仿宋_GB2312" w:hAnsi="仿宋_GB2312" w:cs="仿宋_GB2312"/>
          <w:lang w:eastAsia="zh-CN"/>
        </w:rPr>
        <w:t>，</w:t>
      </w:r>
      <w:r>
        <w:rPr>
          <w:rFonts w:hint="eastAsia" w:ascii="仿宋_GB2312" w:hAnsi="仿宋_GB2312" w:eastAsia="仿宋_GB2312" w:cs="仿宋_GB2312"/>
        </w:rPr>
        <w:t>在保障环湖生态保护相关要求前提下，以生态价值转换为引领，</w:t>
      </w:r>
      <w:bookmarkEnd w:id="50"/>
      <w:r>
        <w:rPr>
          <w:rFonts w:hint="eastAsia" w:ascii="仿宋_GB2312" w:hAnsi="仿宋_GB2312" w:eastAsia="仿宋_GB2312" w:cs="仿宋_GB2312"/>
        </w:rPr>
        <w:t>重点发展“文化+</w:t>
      </w:r>
      <w:r>
        <w:rPr>
          <w:rFonts w:hint="eastAsia" w:ascii="仿宋_GB2312" w:hAnsi="仿宋_GB2312" w:cs="仿宋_GB2312"/>
          <w:lang w:eastAsia="zh-CN"/>
        </w:rPr>
        <w:t>”“</w:t>
      </w:r>
      <w:r>
        <w:rPr>
          <w:rFonts w:hint="eastAsia" w:ascii="仿宋_GB2312" w:hAnsi="仿宋_GB2312" w:eastAsia="仿宋_GB2312" w:cs="仿宋_GB2312"/>
        </w:rPr>
        <w:t>旅游+”产业，促进文旅融合，城景联动</w:t>
      </w:r>
      <w:r>
        <w:rPr>
          <w:rFonts w:hint="eastAsia" w:ascii="仿宋_GB2312" w:hAnsi="仿宋_GB2312" w:cs="仿宋_GB2312"/>
          <w:lang w:eastAsia="zh-CN"/>
        </w:rPr>
        <w:t>。</w:t>
      </w:r>
    </w:p>
    <w:p w14:paraId="13094AA4">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强化村庄分类引导</w:t>
      </w:r>
    </w:p>
    <w:p w14:paraId="1A5B8128">
      <w:pPr>
        <w:pStyle w:val="7"/>
        <w:ind w:firstLine="640"/>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分类引导、有序推进乡村振兴发展。</w:t>
      </w:r>
      <w:r>
        <w:rPr>
          <w:rFonts w:hint="eastAsia" w:ascii="仿宋_GB2312" w:hAnsi="仿宋_GB2312" w:eastAsia="仿宋_GB2312" w:cs="仿宋_GB2312"/>
          <w:lang w:val="en-US" w:eastAsia="zh-CN"/>
        </w:rPr>
        <w:t>充分尊重、顺应乡村发展规律和演变趋势，根据村庄经济社会发展条件、建设现状、区位条件、资源禀赋等因素，将全镇的</w:t>
      </w:r>
      <w:r>
        <w:rPr>
          <w:rFonts w:hint="eastAsia" w:ascii="仿宋_GB2312" w:hAnsi="仿宋_GB2312" w:cs="仿宋_GB2312"/>
          <w:lang w:val="en-US" w:eastAsia="zh-CN"/>
        </w:rPr>
        <w:t>9</w:t>
      </w:r>
      <w:r>
        <w:rPr>
          <w:rFonts w:hint="eastAsia" w:ascii="仿宋_GB2312" w:hAnsi="仿宋_GB2312" w:eastAsia="仿宋_GB2312" w:cs="仿宋_GB2312"/>
          <w:lang w:val="en-US" w:eastAsia="zh-CN"/>
        </w:rPr>
        <w:t>个行政村和2个国有牧场生产大队，按照集聚提升类、城郊融合类、稳定发展类</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种类型，突出重点、分类施策、梯次推进，有序实现乡村振兴。</w:t>
      </w:r>
    </w:p>
    <w:p w14:paraId="32FF7424">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集聚提升类村庄：拉乙亥麻村、湖东种羊场一大队二大队、次汉达哇村。</w:t>
      </w:r>
    </w:p>
    <w:p w14:paraId="16DCC036">
      <w:pPr>
        <w:pStyle w:val="7"/>
        <w:ind w:firstLine="640"/>
        <w:rPr>
          <w:rFonts w:hint="eastAsia"/>
          <w:lang w:eastAsia="zh-CN" w:bidi="ar"/>
        </w:rPr>
      </w:pPr>
      <w:r>
        <w:rPr>
          <w:rFonts w:hint="eastAsia" w:ascii="仿宋_GB2312" w:hAnsi="仿宋_GB2312" w:cs="仿宋_GB2312"/>
          <w:lang w:val="en-US" w:eastAsia="zh-CN"/>
        </w:rPr>
        <w:t>城郊融合类村庄：</w:t>
      </w:r>
      <w:r>
        <w:rPr>
          <w:rFonts w:hint="eastAsia"/>
          <w:lang w:bidi="ar"/>
        </w:rPr>
        <w:t>哈乙亥村、东卫村、蒙古村</w:t>
      </w:r>
      <w:r>
        <w:rPr>
          <w:rFonts w:hint="eastAsia"/>
          <w:lang w:eastAsia="zh-CN" w:bidi="ar"/>
        </w:rPr>
        <w:t>。</w:t>
      </w:r>
    </w:p>
    <w:p w14:paraId="28768091">
      <w:pPr>
        <w:pStyle w:val="7"/>
        <w:ind w:firstLine="640"/>
        <w:rPr>
          <w:rFonts w:hint="eastAsia"/>
          <w:lang w:eastAsia="zh-CN" w:bidi="ar"/>
        </w:rPr>
      </w:pPr>
      <w:r>
        <w:rPr>
          <w:rFonts w:hint="eastAsia"/>
          <w:lang w:val="en-US" w:eastAsia="zh-CN" w:bidi="ar"/>
        </w:rPr>
        <w:t>稳定发展类村庄：</w:t>
      </w:r>
      <w:r>
        <w:rPr>
          <w:rFonts w:hint="eastAsia"/>
          <w:lang w:bidi="ar"/>
        </w:rPr>
        <w:t>黑科村、甲乙村、黄科村、元者村</w:t>
      </w:r>
      <w:r>
        <w:rPr>
          <w:rFonts w:hint="eastAsia"/>
          <w:lang w:eastAsia="zh-CN" w:bidi="ar"/>
        </w:rPr>
        <w:t>。</w:t>
      </w:r>
    </w:p>
    <w:p w14:paraId="55C6DBFB">
      <w:pPr>
        <w:pStyle w:val="3"/>
        <w:keepNext/>
        <w:keepLines/>
        <w:pageBreakBefore w:val="0"/>
        <w:widowControl w:val="0"/>
        <w:numPr>
          <w:ilvl w:val="1"/>
          <w:numId w:val="9"/>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1" w:name="_Toc19020"/>
      <w:r>
        <w:rPr>
          <w:rFonts w:hint="eastAsia" w:ascii="Arial" w:hAnsi="Arial" w:eastAsia="黑体" w:cs="Times New Roman"/>
          <w:b w:val="0"/>
          <w:lang w:val="zh-CN"/>
        </w:rPr>
        <w:t>统筹优化乡村空间布局</w:t>
      </w:r>
      <w:bookmarkEnd w:id="51"/>
    </w:p>
    <w:p w14:paraId="1C0E1C9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明确乡村振兴策略</w:t>
      </w:r>
    </w:p>
    <w:p w14:paraId="595F8C62">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以新型城镇化为动力，乡村产业现代化为支撑，乡村数字化为手段。坚持城乡融合发展，按照“点—轴”开发模式，以小城镇建设为节点，重要交通廊道为轴线，辐射和带动乡村振兴发展。坚持农业农村优先发展，加快建设农业强国，全方位夯实粮食安全根基，逐步把永久基本农田全部建成高标准农田，强化农业科技和装备支撑，树立大食物观，发展设施农业，构建多元化食物供给体系；充分发挥高原旅游资源和高原特色农牧产品优势，调整农业产业布局和结构，发展新型农业经营主体和社会化服务，发展农业适度规模经营，推动现代服务业同现代农业深度融合，推进旅游业、农牧产业现代化发展。积极推进共和数字乡村国家示范镇建设，统筹乡村基础设施和公共服务布局，以大数据产业平台为依托，加快乡村基础设施数字化转型，助力乡村振兴。科学合理布局，分类施策，突出重点，开展高原美丽宜居乡村建设，有序推进乡村振兴战略稳步实施营造宜居适度的乡村生活空间，建设宜居宜业和美乡村。</w:t>
      </w:r>
    </w:p>
    <w:p w14:paraId="64E4370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构建城乡融合的乡村振兴发展模式</w:t>
      </w:r>
    </w:p>
    <w:p w14:paraId="2BDABE04">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因地制宜，统筹乡镇发展定位和主导产业功能，以青海湖旅游专用公路、G109国道等主要交通道路沿线区域为引导，着力推进城乡融合和区域协调发展，促进城乡要素流动，以旅串文带农带牧，积极推进特色镇村联动发展，全域乡村空间发展逐渐演化形成以城乡融合发展单元为基础的乡村振兴发展模式。</w:t>
      </w:r>
    </w:p>
    <w:p w14:paraId="5882877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保障乡村建设用地</w:t>
      </w:r>
    </w:p>
    <w:p w14:paraId="71684779">
      <w:pPr>
        <w:pStyle w:val="7"/>
        <w:ind w:firstLine="640"/>
        <w:rPr>
          <w:rFonts w:hint="eastAsia" w:ascii="仿宋_GB2312" w:hAnsi="仿宋_GB2312" w:cs="仿宋_GB2312"/>
          <w:lang w:val="en-US" w:eastAsia="zh-CN"/>
        </w:rPr>
      </w:pPr>
      <w:r>
        <w:rPr>
          <w:rFonts w:hint="eastAsia" w:ascii="楷体_GB2312" w:hAnsi="楷体_GB2312" w:eastAsia="楷体_GB2312" w:cs="楷体_GB2312"/>
          <w:lang w:val="en-US" w:eastAsia="zh-CN"/>
        </w:rPr>
        <w:t>优先使用闲置用地，提高乡村居民点用地集约水平。</w:t>
      </w:r>
      <w:r>
        <w:rPr>
          <w:rFonts w:hint="eastAsia" w:ascii="仿宋_GB2312" w:hAnsi="仿宋_GB2312" w:cs="仿宋_GB2312"/>
          <w:lang w:val="en-US" w:eastAsia="zh-CN"/>
        </w:rPr>
        <w:t>倒淌河镇位于重点生态功能区，应分类有序推进搬迁撤并，可适度保留部分独立定居点，缓解生态压力，维护和提升生态价值。合理管控农村居民点用地，保障宅基地合理空间需求；在充分尊重群众意愿的基础上，以现状农村居民点为基础，采用新建与扩建的形式规划布局农村集中居民点。</w:t>
      </w:r>
    </w:p>
    <w:p w14:paraId="69F3D43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科学划定村庄建设</w:t>
      </w:r>
      <w:r>
        <w:rPr>
          <w:rFonts w:hint="eastAsia" w:ascii="楷体_GB2312" w:hAnsi="Times New Roman" w:eastAsia="楷体_GB2312" w:cs="Times New Roman"/>
          <w:bCs/>
          <w:sz w:val="32"/>
          <w:szCs w:val="32"/>
          <w:lang w:val="en-US" w:eastAsia="zh-CN"/>
        </w:rPr>
        <w:t>边界</w:t>
      </w:r>
    </w:p>
    <w:p w14:paraId="52A0A85C">
      <w:pPr>
        <w:spacing w:line="600" w:lineRule="exact"/>
        <w:ind w:firstLine="640" w:firstLineChars="200"/>
        <w:rPr>
          <w:rFonts w:hint="eastAsia" w:ascii="仿宋_GB2312" w:hAnsi="Times New Roman" w:eastAsia="仿宋_GB2312" w:cs="Times New Roman"/>
          <w:bCs/>
          <w:sz w:val="32"/>
          <w:szCs w:val="24"/>
        </w:rPr>
      </w:pPr>
      <w:r>
        <w:rPr>
          <w:rFonts w:hint="eastAsia" w:ascii="Times New Roman" w:hAnsi="Times New Roman" w:eastAsia="仿宋_GB2312" w:cs="Times New Roman"/>
          <w:bCs/>
          <w:sz w:val="32"/>
          <w:szCs w:val="24"/>
        </w:rPr>
        <w:t>结合村庄发展布局，</w:t>
      </w:r>
      <w:r>
        <w:rPr>
          <w:rFonts w:hint="eastAsia" w:ascii="仿宋_GB2312" w:hAnsi="仿宋_GB2312" w:eastAsia="仿宋_GB2312" w:cs="仿宋_GB2312"/>
          <w:sz w:val="32"/>
          <w:szCs w:val="24"/>
          <w:lang w:bidi="ar"/>
        </w:rPr>
        <w:t>到2035年，</w:t>
      </w:r>
      <w:r>
        <w:rPr>
          <w:rFonts w:hint="eastAsia" w:ascii="仿宋_GB2312" w:hAnsi="仿宋_GB2312" w:eastAsia="仿宋_GB2312" w:cs="仿宋_GB2312"/>
          <w:sz w:val="32"/>
          <w:szCs w:val="24"/>
          <w:lang w:val="en-US" w:eastAsia="zh-CN" w:bidi="ar"/>
        </w:rPr>
        <w:t>倒淌河镇</w:t>
      </w:r>
      <w:r>
        <w:rPr>
          <w:rFonts w:hint="eastAsia" w:ascii="仿宋_GB2312" w:hAnsi="仿宋_GB2312" w:eastAsia="仿宋_GB2312" w:cs="仿宋_GB2312"/>
          <w:sz w:val="32"/>
          <w:szCs w:val="24"/>
          <w:lang w:bidi="ar"/>
        </w:rPr>
        <w:t>村庄建设边界面积控制在</w:t>
      </w:r>
      <w:r>
        <w:rPr>
          <w:rFonts w:hint="eastAsia" w:ascii="仿宋_GB2312" w:hAnsi="Times New Roman" w:eastAsia="仿宋_GB2312" w:cs="Times New Roman"/>
          <w:bCs/>
          <w:sz w:val="32"/>
          <w:szCs w:val="24"/>
          <w:lang w:val="en-US" w:eastAsia="zh-CN"/>
        </w:rPr>
        <w:t>295.58</w:t>
      </w:r>
      <w:r>
        <w:rPr>
          <w:rFonts w:hint="eastAsia" w:ascii="仿宋_GB2312" w:hAnsi="Times New Roman" w:eastAsia="仿宋_GB2312" w:cs="Times New Roman"/>
          <w:bCs/>
          <w:sz w:val="32"/>
          <w:szCs w:val="24"/>
        </w:rPr>
        <w:t>公顷。</w:t>
      </w:r>
    </w:p>
    <w:p w14:paraId="00007FE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统筹农村一二三产业融合发展空间</w:t>
      </w:r>
    </w:p>
    <w:p w14:paraId="1009A0E0">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强化全域用途管制引导，结合乡村振兴发展产业需求，合理安排乡村产业建设用地指标，保障乡村产业发展用地。支持农产品加工流通、电子商务、冷链物流、乡村旅游、休闲农业、民宿经济等新产业新业态用地需求，促进乡村振兴战略实施。引导农产品初加工、产地直销等产业在重点特色村庄合理布局、适度集中。探索集体经营性建设用地入市配套政策和点状供地实施政策，建立土地要素保障制度。积极开展全域土地综合整治专项行动为发展提供建设用地保障，挖潜低效存量集体建设用地，保障旅游用地、一二三产融合发展用地。</w:t>
      </w:r>
    </w:p>
    <w:p w14:paraId="607B109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明确村庄建设管控和风貌指引</w:t>
      </w:r>
    </w:p>
    <w:p w14:paraId="2E7D1BC6">
      <w:pPr>
        <w:pStyle w:val="7"/>
        <w:ind w:firstLine="640"/>
        <w:rPr>
          <w:rFonts w:hint="eastAsia" w:ascii="仿宋_GB2312" w:hAnsi="仿宋_GB2312" w:cs="仿宋_GB2312"/>
          <w:lang w:val="en-US" w:eastAsia="zh-CN"/>
        </w:rPr>
      </w:pPr>
      <w:r>
        <w:rPr>
          <w:rFonts w:hint="eastAsia" w:ascii="楷体_GB2312" w:hAnsi="楷体_GB2312" w:eastAsia="楷体_GB2312" w:cs="楷体_GB2312"/>
          <w:lang w:val="en-US" w:eastAsia="zh-CN"/>
        </w:rPr>
        <w:t>村庄建设管控和风貌指引。</w:t>
      </w:r>
      <w:r>
        <w:rPr>
          <w:rFonts w:hint="eastAsia" w:ascii="仿宋_GB2312" w:hAnsi="仿宋_GB2312" w:cs="仿宋_GB2312"/>
          <w:lang w:val="en-US" w:eastAsia="zh-CN"/>
        </w:rPr>
        <w:t>在体现地域和农村特色的前提下，利用村庄的地形地貌和历史文化资源，协调好村庄与周边自然景观资源关系、注重村庄文化传承和保护，因地制宜分类提出村庄建设管控和风貌指引要求，落实村庄建筑面积、高度、建房风貌空间形态等内容，形成有机交融的空间关系，塑造富有地域特色的村庄建筑文化与风貌特色。严禁在山地高、陡无防护措施切坡建房。同时明确农业设施用地的面积、用途管制规定。</w:t>
      </w:r>
    </w:p>
    <w:p w14:paraId="40A71E25">
      <w:pPr>
        <w:pStyle w:val="7"/>
        <w:ind w:firstLine="640"/>
        <w:rPr>
          <w:rFonts w:hint="eastAsia" w:ascii="仿宋_GB2312" w:hAnsi="仿宋_GB2312" w:cs="仿宋_GB2312"/>
          <w:lang w:val="en-US" w:eastAsia="zh-CN"/>
        </w:rPr>
      </w:pPr>
      <w:r>
        <w:rPr>
          <w:rFonts w:hint="eastAsia" w:ascii="楷体_GB2312" w:hAnsi="楷体_GB2312" w:eastAsia="楷体_GB2312" w:cs="楷体_GB2312"/>
          <w:szCs w:val="32"/>
          <w:lang w:bidi="ar"/>
        </w:rPr>
        <w:t>公共和基础设施配套指引</w:t>
      </w:r>
      <w:r>
        <w:rPr>
          <w:rFonts w:hint="eastAsia" w:ascii="楷体_GB2312" w:hAnsi="楷体_GB2312" w:eastAsia="楷体_GB2312" w:cs="楷体_GB2312"/>
          <w:szCs w:val="32"/>
          <w:lang w:eastAsia="zh-CN" w:bidi="ar"/>
        </w:rPr>
        <w:t>。</w:t>
      </w:r>
      <w:r>
        <w:rPr>
          <w:rFonts w:hint="eastAsia" w:ascii="仿宋_GB2312" w:hAnsi="仿宋_GB2312" w:cs="仿宋_GB2312"/>
          <w:lang w:val="en-US" w:eastAsia="zh-CN"/>
        </w:rPr>
        <w:t>落实乡村振兴战略，促进城乡公共服务资源均衡配置和农民农村共同富裕的要求，结合村庄类型，分类提出不同村庄公共和基础设施配置要求和标准。</w:t>
      </w:r>
    </w:p>
    <w:p w14:paraId="6DEC6F14">
      <w:pPr>
        <w:pStyle w:val="7"/>
        <w:ind w:firstLine="640"/>
        <w:rPr>
          <w:rFonts w:hint="eastAsia" w:ascii="仿宋_GB2312" w:hAnsi="仿宋_GB2312" w:cs="仿宋_GB2312"/>
          <w:lang w:val="en-US" w:eastAsia="zh-CN"/>
        </w:rPr>
      </w:pPr>
      <w:r>
        <w:rPr>
          <w:rFonts w:hint="eastAsia" w:ascii="楷体_GB2312" w:hAnsi="楷体_GB2312" w:eastAsia="楷体_GB2312" w:cs="楷体_GB2312"/>
          <w:szCs w:val="32"/>
          <w:lang w:bidi="ar"/>
        </w:rPr>
        <w:t>国土综合整治与生态修复指引</w:t>
      </w:r>
      <w:r>
        <w:rPr>
          <w:rFonts w:hint="eastAsia" w:ascii="楷体_GB2312" w:hAnsi="楷体_GB2312" w:eastAsia="楷体_GB2312" w:cs="楷体_GB2312"/>
          <w:szCs w:val="32"/>
          <w:lang w:eastAsia="zh-CN" w:bidi="ar"/>
        </w:rPr>
        <w:t>。</w:t>
      </w:r>
      <w:r>
        <w:rPr>
          <w:rFonts w:hint="eastAsia" w:ascii="仿宋_GB2312" w:hAnsi="仿宋_GB2312" w:cs="仿宋_GB2312"/>
          <w:lang w:val="en-US" w:eastAsia="zh-CN"/>
        </w:rPr>
        <w:t>严格落实上位国土空间总体规划明确的各村域范围内国土综合整治与生态修复区域，分类提出不同村庄国土综合整治与生态修复要求和措施。</w:t>
      </w:r>
    </w:p>
    <w:p w14:paraId="6B7086B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有效推进乡村振兴发展</w:t>
      </w:r>
    </w:p>
    <w:p w14:paraId="2A7CEF35">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到2035年，80%以上的村庄基本实现农牧业农牧区现代化；乡村现代化水平显著提升，农牧业结构更加优化，产业体系更加完善，生态环境更加优良；城乡基本公共服务实现均等化，城乡融合发展体制机制全面建立，社会文明程度达到新高度，乡村治理体系更加完善，人的全面发展、共同富裕取得实质性进展。到2050年，生产美产业强、生态美环境优、生活美家园好的乡村蓝图全面呈现，乡村产业、人才、文化、生态和组织全面振兴，全部村庄基本实现乡村现代化发展。</w:t>
      </w:r>
    </w:p>
    <w:p w14:paraId="417EF5E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稳步推进农村建设用地综合整治</w:t>
      </w:r>
    </w:p>
    <w:p w14:paraId="3D877682">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规范有序开展农村建设用地整治，通过中心村建设、闲散居民点复垦、生态移民搬迁整治，优化农村居民点布局，同时稳妥推进农村危房改造、集体建设用地流转、废弃建设用地复垦等多种措施，改善农村人居环境和农业生产条件，促进美丽宜居乡村建设和城乡发展一体化。农业发展区乡村重点加快新农村建设，原址就地改造农业区分散的小规模农村危房，改善生产生活条件，合理引导居民点集中布局。牧业发展区乡村总体遵循“大分散、小集中”的空间布局模式，形成季节性定居点，鼓励独立定居点牧民向周边城镇和中心村集中。生态保护区内乡村应尊重农牧民意愿，实施游牧民定居点建设，逐步搬出生态保护区，也可保留部分独立定居点，注重与区域生态环境相协调。稳妥推进城乡建设用地增减挂钩，按照先批准后实施的要求，稳妥慎重推进村庄建设用地的复垦，着力优化国土空间格局，严格控制城乡建设用地规模。</w:t>
      </w:r>
    </w:p>
    <w:p w14:paraId="3D1F59BA">
      <w:pPr>
        <w:pStyle w:val="7"/>
        <w:ind w:firstLine="640"/>
        <w:rPr>
          <w:rFonts w:hint="default" w:ascii="仿宋_GB2312" w:hAnsi="仿宋_GB2312" w:cs="仿宋_GB2312"/>
          <w:lang w:val="en-US" w:eastAsia="zh-CN"/>
        </w:rPr>
      </w:pPr>
      <w:r>
        <w:rPr>
          <w:rFonts w:hint="eastAsia" w:ascii="仿宋_GB2312" w:hAnsi="仿宋_GB2312" w:cs="仿宋_GB2312"/>
          <w:lang w:val="en-US" w:eastAsia="zh-CN"/>
        </w:rPr>
        <w:t>倒淌河镇生态移民搬迁涉及村民303户，</w:t>
      </w:r>
      <w:r>
        <w:rPr>
          <w:rFonts w:hint="eastAsia" w:ascii="仿宋_GB2312" w:hAnsi="仿宋_GB2312" w:eastAsia="仿宋_GB2312" w:cs="仿宋_GB2312"/>
          <w:kern w:val="2"/>
          <w:sz w:val="32"/>
          <w:szCs w:val="22"/>
          <w:lang w:val="en-US" w:eastAsia="zh-CN" w:bidi="ar-SA"/>
        </w:rPr>
        <w:t>规划按照户均宅基地面积不高于267平方米进行安置，安置地点拟选址在</w:t>
      </w:r>
      <w:r>
        <w:rPr>
          <w:rFonts w:hint="eastAsia" w:ascii="仿宋_GB2312" w:hAnsi="仿宋_GB2312" w:cs="仿宋_GB2312"/>
          <w:kern w:val="2"/>
          <w:sz w:val="32"/>
          <w:szCs w:val="22"/>
          <w:lang w:val="en-US" w:eastAsia="zh-CN" w:bidi="ar-SA"/>
        </w:rPr>
        <w:t>甲乙村六社、七社、八社和倒淌河镇第二社区；湖东种羊场环湖搬迁安置110户，安置点拟选址在湖东种羊场场部。</w:t>
      </w:r>
    </w:p>
    <w:p w14:paraId="79AFCF6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推进农村人居环境改善</w:t>
      </w:r>
    </w:p>
    <w:p w14:paraId="1539C8B5">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依据乡村生态格局、自然肌理、乡土风情、建筑风格等，实施乡村生态保护修复。按照山水林田湖草整体保护、系统修复、综合治理的要求，结合农村人居环境整治，优化调整生态用地布局，保护和恢复乡村生态功能，维护生物多样性，提高防御自然灾害能力，保持乡村自然景观。推动农牧区生活污水分散处理和生活垃圾分类减量及资源化利用，保障农牧区中小型规模垃圾填埋场、中转站和收集站建设。合理确定乡村建设用地规模，严格落实“一户一宅”，严控生态空间转为农牧空间，实现乡村“留得住乡愁，守得住青山”的美丽乡村，助推全县乡村振兴。</w:t>
      </w:r>
    </w:p>
    <w:p w14:paraId="287C47B9">
      <w:pPr>
        <w:pStyle w:val="3"/>
        <w:keepNext/>
        <w:keepLines/>
        <w:pageBreakBefore w:val="0"/>
        <w:widowControl w:val="0"/>
        <w:numPr>
          <w:ilvl w:val="1"/>
          <w:numId w:val="9"/>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2" w:name="_Toc22585"/>
      <w:r>
        <w:rPr>
          <w:rFonts w:hint="eastAsia" w:ascii="Arial" w:hAnsi="Arial" w:eastAsia="黑体" w:cs="Times New Roman"/>
          <w:b w:val="0"/>
          <w:lang w:val="zh-CN"/>
        </w:rPr>
        <w:t>引导产业空间布局</w:t>
      </w:r>
      <w:bookmarkEnd w:id="52"/>
    </w:p>
    <w:p w14:paraId="6507A48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产业发展定位</w:t>
      </w:r>
    </w:p>
    <w:p w14:paraId="3DB95523">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以环青海湖地区生态本底和高原特色农牧业为基础，以草原观光农牧业、生态农牧产品加工、民俗文化旅游、乡村生态旅游和数字化商贸旅游服务主导，以山林、草原、文化体验旅游为特色，打造：青藏高原生态综合型旅游示范镇、环青海湖地区特色生态观光旅游品牌、唐蕃古道文化交流传承地。</w:t>
      </w:r>
    </w:p>
    <w:p w14:paraId="7862761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优化产业结构体系</w:t>
      </w:r>
    </w:p>
    <w:p w14:paraId="186A3172">
      <w:pPr>
        <w:pStyle w:val="7"/>
        <w:ind w:firstLine="640"/>
        <w:rPr>
          <w:rFonts w:hint="eastAsia" w:ascii="仿宋_GB2312" w:hAnsi="仿宋_GB2312" w:cs="仿宋_GB2312"/>
          <w:lang w:val="en-US" w:eastAsia="zh-CN"/>
        </w:rPr>
      </w:pPr>
      <w:r>
        <w:rPr>
          <w:rFonts w:hint="eastAsia" w:ascii="楷体_GB2312" w:hAnsi="楷体_GB2312" w:eastAsia="楷体_GB2312" w:cs="楷体_GB2312"/>
          <w:lang w:val="en-US" w:eastAsia="zh-CN"/>
        </w:rPr>
        <w:t>以生态农牧业基地建设为依托，发展特色观光农牧业。</w:t>
      </w:r>
      <w:r>
        <w:rPr>
          <w:rFonts w:hint="eastAsia" w:ascii="仿宋_GB2312" w:hAnsi="仿宋_GB2312" w:cs="仿宋_GB2312"/>
          <w:lang w:val="en-US" w:eastAsia="zh-CN"/>
        </w:rPr>
        <w:t>第一产业是倒淌河镇的基础产业，加大科技和资金投入力度，打造自身绿色品牌，形成一定规模的生态农牧业示范基地，发展特色观光农牧业，一、三产互动融合，农业旅游和牧业旅游融合，促进草原畜牧业转型升级。</w:t>
      </w:r>
    </w:p>
    <w:p w14:paraId="124D2BDB">
      <w:pPr>
        <w:pStyle w:val="7"/>
        <w:ind w:firstLine="640"/>
        <w:rPr>
          <w:rFonts w:hint="eastAsia" w:ascii="仿宋_GB2312" w:hAnsi="仿宋_GB2312" w:eastAsia="仿宋_GB2312" w:cs="仿宋_GB2312"/>
          <w:sz w:val="32"/>
          <w:szCs w:val="32"/>
        </w:rPr>
      </w:pPr>
      <w:r>
        <w:rPr>
          <w:rFonts w:hint="eastAsia" w:ascii="楷体_GB2312" w:hAnsi="楷体_GB2312" w:eastAsia="楷体_GB2312" w:cs="楷体_GB2312"/>
          <w:lang w:val="en-US" w:eastAsia="zh-CN"/>
        </w:rPr>
        <w:t>立足生态农牧业基础，适度发展生态型农牧产品加工。</w:t>
      </w:r>
      <w:r>
        <w:rPr>
          <w:rFonts w:hint="eastAsia" w:ascii="仿宋_GB2312" w:hAnsi="仿宋_GB2312" w:eastAsia="仿宋_GB2312" w:cs="仿宋_GB2312"/>
          <w:sz w:val="32"/>
          <w:szCs w:val="32"/>
        </w:rPr>
        <w:t>积极发展生态农牧业，强调小型生态型农产品加工。结合现有产业门类生产一些与其他产业相联系的商品，比如特色肉制品、奶制品及手工制品的加工等，同时可以开放加工过程，让游客参与其中，增加游客的参与性和趣味性。</w:t>
      </w:r>
    </w:p>
    <w:p w14:paraId="0C2CB7FE">
      <w:pPr>
        <w:pStyle w:val="7"/>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以藏文化和唐蕃文化为支撑，大力发展生态旅游业。</w:t>
      </w:r>
      <w:r>
        <w:rPr>
          <w:rFonts w:hint="eastAsia" w:ascii="仿宋_GB2312" w:hAnsi="仿宋_GB2312" w:eastAsia="仿宋_GB2312" w:cs="仿宋_GB2312"/>
          <w:sz w:val="32"/>
          <w:szCs w:val="32"/>
        </w:rPr>
        <w:t>倒淌河镇是青海湖旅游的第一站，区位条件非常优越。同时拥有文成公主、唐蕃古道这些独有的历史文化资源底蕴，非常适合旅游产业的发展。应大力发展旅游业为主导的第三产业，提高旅游接待能力，发展休闲游、文化游、生态游等多样化旅游，提升现有产业基础，促进其精品化发展。</w:t>
      </w:r>
    </w:p>
    <w:p w14:paraId="7A94DB6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统筹产业空间布局</w:t>
      </w:r>
    </w:p>
    <w:p w14:paraId="52616D2F">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规划形成“一心引领、四区协调、轴带连接、多点支撑”的产业空间布局。</w:t>
      </w:r>
    </w:p>
    <w:p w14:paraId="2A27EEAD">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一心引领：依托现有镇区形成的综合服务能力，打造倒淌河镇综合服务核心。</w:t>
      </w:r>
    </w:p>
    <w:p w14:paraId="38186C07">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四区协调：高原特色农牧区、人文生态旅游区、环湖滨水体验区、青海湖生态涵养区。</w:t>
      </w:r>
    </w:p>
    <w:p w14:paraId="159E846C">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轴带连接：通过G109、京藏高速、青海湖旅游专线、环湖东路等构建轴带成环的产业发展通道。</w:t>
      </w:r>
    </w:p>
    <w:p w14:paraId="3EAF6519">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多点支撑：依托各个村庄特色和文化旅游资源形成的多个产业节点。</w:t>
      </w:r>
    </w:p>
    <w:p w14:paraId="7B05B240">
      <w:pPr>
        <w:pStyle w:val="3"/>
        <w:keepNext/>
        <w:keepLines/>
        <w:pageBreakBefore w:val="0"/>
        <w:widowControl w:val="0"/>
        <w:numPr>
          <w:ilvl w:val="1"/>
          <w:numId w:val="9"/>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3" w:name="_Toc26116"/>
      <w:r>
        <w:rPr>
          <w:rFonts w:hint="eastAsia" w:ascii="Arial" w:hAnsi="Arial" w:eastAsia="黑体" w:cs="Times New Roman"/>
          <w:b w:val="0"/>
          <w:lang w:val="zh-CN"/>
        </w:rPr>
        <w:t>完善公共服务设施布局</w:t>
      </w:r>
      <w:bookmarkEnd w:id="53"/>
    </w:p>
    <w:p w14:paraId="05865994">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推进公共服务均等化，充分保障用地供给</w:t>
      </w:r>
    </w:p>
    <w:p w14:paraId="2BB75BC0">
      <w:pPr>
        <w:pStyle w:val="7"/>
        <w:ind w:firstLine="640"/>
        <w:rPr>
          <w:rFonts w:hint="eastAsia" w:ascii="仿宋_GB2312" w:hAnsi="仿宋_GB2312" w:cs="仿宋_GB2312"/>
          <w:lang w:val="en-US" w:eastAsia="zh-CN"/>
        </w:rPr>
      </w:pPr>
      <w:r>
        <w:rPr>
          <w:rFonts w:hint="eastAsia" w:ascii="楷体_GB2312" w:hAnsi="楷体_GB2312" w:eastAsia="楷体_GB2312" w:cs="楷体_GB2312"/>
          <w:lang w:val="en-US" w:eastAsia="zh-CN"/>
        </w:rPr>
        <w:t>推进公共服务均等化。</w:t>
      </w:r>
      <w:r>
        <w:rPr>
          <w:rFonts w:hint="eastAsia" w:ascii="仿宋_GB2312" w:hAnsi="仿宋_GB2312" w:cs="仿宋_GB2312"/>
          <w:lang w:val="en-US" w:eastAsia="zh-CN"/>
        </w:rPr>
        <w:t>围绕“幼有所育、学有所教、劳有所得、病有所医、老有所养、住有所居、弱有所扶”总体思路，持续推动基本公共服务均等化，丰富多层次多样化生活服务供给，构建优质均衡的公共服务体系。统筹落实县级公共服务设施，规划形成“县级—乡镇级—村级”三级公共服务设施布局体系。</w:t>
      </w:r>
    </w:p>
    <w:p w14:paraId="09E926E9">
      <w:pPr>
        <w:pStyle w:val="7"/>
        <w:ind w:firstLine="640"/>
        <w:rPr>
          <w:rFonts w:hint="eastAsia" w:ascii="仿宋_GB2312" w:hAnsi="仿宋_GB2312" w:cs="仿宋_GB2312"/>
          <w:lang w:val="en-US" w:eastAsia="zh-CN"/>
        </w:rPr>
      </w:pPr>
      <w:r>
        <w:rPr>
          <w:rFonts w:hint="eastAsia" w:ascii="楷体_GB2312" w:hAnsi="楷体_GB2312" w:eastAsia="楷体_GB2312" w:cs="楷体_GB2312"/>
          <w:lang w:val="en-US" w:eastAsia="zh-CN"/>
        </w:rPr>
        <w:t>充分保障用地供给。</w:t>
      </w:r>
      <w:r>
        <w:rPr>
          <w:rFonts w:hint="eastAsia" w:ascii="仿宋_GB2312" w:hAnsi="仿宋_GB2312" w:cs="仿宋_GB2312"/>
          <w:lang w:val="en-US" w:eastAsia="zh-CN"/>
        </w:rPr>
        <w:t>统筹布局重要公共服务设施和功能性设施，根据多层次多样化公共服务需求，优化土地供应调控机制，充分保障重要公共服务用地供给。将公共服务机构和设施用地纳入相关规划和年度用地计划并充分予以保障，农用地转用指标、新增建设用地指标分配要保障公共服务机构和设施建设用地。</w:t>
      </w:r>
    </w:p>
    <w:p w14:paraId="05D126D8">
      <w:pPr>
        <w:pStyle w:val="7"/>
        <w:ind w:firstLine="640"/>
        <w:rPr>
          <w:rFonts w:hint="eastAsia" w:ascii="仿宋_GB2312" w:hAnsi="仿宋_GB2312" w:cs="仿宋_GB2312"/>
          <w:lang w:val="en-US" w:eastAsia="zh-CN"/>
        </w:rPr>
      </w:pPr>
    </w:p>
    <w:p w14:paraId="43D7C2C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建设城乡社区生活圈</w:t>
      </w:r>
    </w:p>
    <w:p w14:paraId="60814D4E">
      <w:pPr>
        <w:pStyle w:val="7"/>
        <w:ind w:firstLine="640"/>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镇区打造15分钟社区生活圈。</w:t>
      </w:r>
      <w:r>
        <w:rPr>
          <w:rFonts w:hint="eastAsia" w:ascii="仿宋_GB2312" w:hAnsi="仿宋_GB2312" w:eastAsia="仿宋_GB2312" w:cs="仿宋_GB2312"/>
          <w:lang w:val="en-US" w:eastAsia="zh-CN"/>
        </w:rPr>
        <w:t>规划镇区划定15分钟社区生活圈和5-10分钟社区生活圈两级服务圈层。镇区按15分钟社区生活圈进行设施补充和完善。结合</w:t>
      </w:r>
      <w:r>
        <w:rPr>
          <w:rFonts w:hint="eastAsia" w:ascii="仿宋_GB2312" w:hAnsi="仿宋_GB2312" w:cs="仿宋_GB2312"/>
          <w:lang w:val="en-US" w:eastAsia="zh-CN"/>
        </w:rPr>
        <w:t>倒淌河</w:t>
      </w:r>
      <w:r>
        <w:rPr>
          <w:rFonts w:hint="eastAsia" w:ascii="仿宋_GB2312" w:hAnsi="仿宋_GB2312" w:eastAsia="仿宋_GB2312" w:cs="仿宋_GB2312"/>
          <w:lang w:val="en-US" w:eastAsia="zh-CN"/>
        </w:rPr>
        <w:t>镇实际服务管理人口的规模、构成及生产生活需求，合理确定镇区各类公共服务设施的规模及布局，合理布局教育、医疗、卫生、防疫和社会福利等相关设施，完善公共服务设施配套。</w:t>
      </w:r>
      <w:r>
        <w:rPr>
          <w:rFonts w:hint="eastAsia" w:ascii="仿宋_GB2312" w:hAnsi="仿宋_GB2312" w:cs="仿宋_GB2312"/>
          <w:lang w:val="en-US" w:eastAsia="zh-CN"/>
        </w:rPr>
        <w:t>倒淌河镇</w:t>
      </w:r>
      <w:r>
        <w:rPr>
          <w:rFonts w:hint="eastAsia" w:ascii="仿宋_GB2312" w:hAnsi="仿宋_GB2312" w:eastAsia="仿宋_GB2312" w:cs="仿宋_GB2312"/>
          <w:lang w:val="en-US" w:eastAsia="zh-CN"/>
        </w:rPr>
        <w:t>旅游发展潜力突出，旅游服务设施可根据实际发展需求适度超前配置。规划至2035年，15分钟社区生活圈覆盖率基本达到100%。</w:t>
      </w:r>
    </w:p>
    <w:p w14:paraId="7237D3CA">
      <w:pPr>
        <w:pStyle w:val="7"/>
        <w:ind w:firstLine="640"/>
        <w:rPr>
          <w:rFonts w:hint="eastAsia" w:ascii="仿宋_GB2312" w:hAnsi="仿宋_GB2312" w:cs="仿宋_GB2312"/>
          <w:lang w:val="en-US" w:eastAsia="zh-CN"/>
        </w:rPr>
      </w:pPr>
      <w:r>
        <w:rPr>
          <w:rFonts w:hint="eastAsia" w:ascii="楷体_GB2312" w:hAnsi="楷体_GB2312" w:eastAsia="楷体_GB2312" w:cs="楷体_GB2312"/>
          <w:lang w:val="en-US" w:eastAsia="zh-CN"/>
        </w:rPr>
        <w:t>乡村打造30分钟社区生活圈。</w:t>
      </w:r>
      <w:r>
        <w:rPr>
          <w:rFonts w:hint="eastAsia" w:ascii="仿宋_GB2312" w:hAnsi="仿宋_GB2312" w:cs="仿宋_GB2312"/>
          <w:lang w:val="en-US" w:eastAsia="zh-CN"/>
        </w:rPr>
        <w:t>规划形成“基本生活圈—一次生活圈—二次生活圈”三级空间分布体系。基本生活圈以基层村为服务对象，提供最基本日常生产生活服务项目，服务半径以0.5-1.0千米为宜；一次生活圈以中心村为依托，服务半径以5-10千米为宜；二次生活圈以镇区为依托，服务半径以20-40千米为宜。根据村庄生活生产方式，兼顾考虑配置特色化服务设施。对于撤并搬迁类村庄不再配置公共服务设施，对于融入城镇类村庄以补齐基本生活圈为主。</w:t>
      </w:r>
    </w:p>
    <w:p w14:paraId="486FB36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加强公共服务用地管控和功能共享</w:t>
      </w:r>
    </w:p>
    <w:p w14:paraId="3BC34DE1">
      <w:pPr>
        <w:pStyle w:val="7"/>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在详细规划编制中应充分保障各类公共服务用地，现状闲置的各类公共服务用地优先转为</w:t>
      </w:r>
      <w:r>
        <w:rPr>
          <w:rFonts w:hint="eastAsia" w:ascii="仿宋_GB2312" w:hAnsi="仿宋_GB2312" w:cs="仿宋_GB2312"/>
          <w:lang w:val="en-US" w:eastAsia="zh-CN"/>
        </w:rPr>
        <w:t>其他</w:t>
      </w:r>
      <w:r>
        <w:rPr>
          <w:rFonts w:hint="eastAsia" w:ascii="仿宋_GB2312" w:hAnsi="仿宋_GB2312" w:eastAsia="仿宋_GB2312" w:cs="仿宋_GB2312"/>
          <w:lang w:val="en-US" w:eastAsia="zh-CN"/>
        </w:rPr>
        <w:t>公共服务功能。鼓励利用存量空间完善公共服务设施供给，鼓励多功能公共服务设施复合建设，鼓励有条件的学校运动和文化设施对外开放共享，鼓励公园绿地建设或改造中合理安排适宜的文体设施。</w:t>
      </w:r>
    </w:p>
    <w:p w14:paraId="262765DF">
      <w:pPr>
        <w:pStyle w:val="3"/>
        <w:keepNext/>
        <w:keepLines/>
        <w:pageBreakBefore w:val="0"/>
        <w:widowControl w:val="0"/>
        <w:numPr>
          <w:ilvl w:val="1"/>
          <w:numId w:val="9"/>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4" w:name="_Toc11299"/>
      <w:r>
        <w:rPr>
          <w:rFonts w:hint="eastAsia" w:ascii="Arial" w:hAnsi="Arial" w:eastAsia="黑体" w:cs="Times New Roman"/>
          <w:b w:val="0"/>
          <w:lang w:val="zh-CN"/>
        </w:rPr>
        <w:t>促进城乡建设用地节约集约</w:t>
      </w:r>
      <w:bookmarkEnd w:id="54"/>
    </w:p>
    <w:p w14:paraId="00305784">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提高建设用地节约集约用地水平</w:t>
      </w:r>
    </w:p>
    <w:p w14:paraId="5BF6999B">
      <w:pPr>
        <w:pStyle w:val="7"/>
        <w:ind w:firstLine="640"/>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强化国土空间规划的引领作用，加强新增建设用地管控。</w:t>
      </w:r>
      <w:r>
        <w:rPr>
          <w:rFonts w:hint="eastAsia" w:ascii="仿宋_GB2312" w:hAnsi="仿宋_GB2312" w:eastAsia="仿宋_GB2312" w:cs="仿宋_GB2312"/>
          <w:lang w:val="en-US" w:eastAsia="zh-CN"/>
        </w:rPr>
        <w:t>城镇空间以城镇开发边界约束，严格控制和引导城镇开发边界外城镇建设用地增长。建设项目优先利用存量土地，严格落实“增存挂钩”工作机制，引导产业向绿色产业园、人口向</w:t>
      </w:r>
      <w:r>
        <w:rPr>
          <w:rFonts w:hint="eastAsia" w:ascii="仿宋_GB2312" w:hAnsi="仿宋_GB2312" w:cs="仿宋_GB2312"/>
          <w:lang w:val="en-US" w:eastAsia="zh-CN"/>
        </w:rPr>
        <w:t>镇区</w:t>
      </w:r>
      <w:r>
        <w:rPr>
          <w:rFonts w:hint="eastAsia" w:ascii="仿宋_GB2312" w:hAnsi="仿宋_GB2312" w:eastAsia="仿宋_GB2312" w:cs="仿宋_GB2312"/>
          <w:lang w:val="en-US" w:eastAsia="zh-CN"/>
        </w:rPr>
        <w:t>集中。优化土地资源配置，促进产业节约集约用地，提高产业用地门槛，建立土地储备机制，探索实行差别化用地政策，支持高新技术产业发展，用地指标优先向基础设施和民生工程倾斜。挖掘潜力，加快处置批而未供土地，破解闲置土地处置难题，加快实施低效用地清理整治。</w:t>
      </w:r>
    </w:p>
    <w:p w14:paraId="0E316A74">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盘活利用批而未用土地</w:t>
      </w:r>
    </w:p>
    <w:p w14:paraId="02987982">
      <w:pPr>
        <w:pStyle w:val="7"/>
        <w:ind w:firstLine="640"/>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分类处置批而未供土地。</w:t>
      </w:r>
      <w:r>
        <w:rPr>
          <w:rFonts w:hint="eastAsia" w:ascii="仿宋_GB2312" w:hAnsi="仿宋_GB2312" w:eastAsia="仿宋_GB2312" w:cs="仿宋_GB2312"/>
          <w:lang w:val="en-US" w:eastAsia="zh-CN"/>
        </w:rPr>
        <w:t>推进倒淌河镇</w:t>
      </w:r>
      <w:r>
        <w:rPr>
          <w:rFonts w:hint="eastAsia" w:ascii="仿宋_GB2312" w:hAnsi="仿宋_GB2312" w:cs="仿宋_GB2312"/>
          <w:lang w:val="en-US" w:eastAsia="zh-CN"/>
        </w:rPr>
        <w:t>区</w:t>
      </w:r>
      <w:r>
        <w:rPr>
          <w:rFonts w:hint="eastAsia" w:ascii="仿宋_GB2312" w:hAnsi="仿宋_GB2312" w:eastAsia="仿宋_GB2312" w:cs="仿宋_GB2312"/>
          <w:lang w:val="en-US" w:eastAsia="zh-CN"/>
        </w:rPr>
        <w:t>内批而未供土地的开发利用，按照“一地一策”制定分类处置方案。摸清低效用地数量、类型和分布，科学合理界定低效用地再开发范围，明确改造利用的目标任务、性质用途、规模布局、时序安排和保障措施等，落实改造单元和地块，完善配套基础设施、公共服务设施，统筹城镇功能再造、产业结构调整，确保城镇低效用地再开发健康有序推进。</w:t>
      </w:r>
    </w:p>
    <w:p w14:paraId="2156959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稳妥推进城乡建设用地增减挂钩</w:t>
      </w:r>
    </w:p>
    <w:p w14:paraId="527FBDDA">
      <w:pPr>
        <w:tabs>
          <w:tab w:val="left" w:pos="353"/>
        </w:tabs>
        <w:spacing w:line="60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顺应城乡发展规律和演变趋势，因地制宜、量力而行，统筹规划、有序推进城乡建设用地增减挂钩。完善城乡建设用地增减挂钩制度，充分尊重农民意愿，稳妥有序推进农村低效建设用地整治。整合利用人口流出后腾出的各类土地，增加农业生产空间特别是耕地面积。</w:t>
      </w:r>
    </w:p>
    <w:p w14:paraId="5E08B948">
      <w:pPr>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br w:type="page"/>
      </w:r>
    </w:p>
    <w:p w14:paraId="24E700E9">
      <w:pPr>
        <w:pStyle w:val="3"/>
        <w:keepNext/>
        <w:keepLines/>
        <w:pageBreakBefore w:val="0"/>
        <w:widowControl w:val="0"/>
        <w:numPr>
          <w:ilvl w:val="1"/>
          <w:numId w:val="9"/>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55" w:name="_Toc2229"/>
      <w:r>
        <w:rPr>
          <w:rFonts w:hint="eastAsia" w:ascii="Arial" w:hAnsi="Arial" w:eastAsia="黑体" w:cs="Times New Roman"/>
          <w:b w:val="0"/>
          <w:lang w:val="en-US" w:eastAsia="zh-CN"/>
        </w:rPr>
        <w:t>湖东种羊场规划</w:t>
      </w:r>
      <w:bookmarkEnd w:id="55"/>
    </w:p>
    <w:p w14:paraId="751871A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划定重要控制线</w:t>
      </w:r>
    </w:p>
    <w:p w14:paraId="14BB8E35">
      <w:pPr>
        <w:pStyle w:val="7"/>
        <w:ind w:firstLine="640"/>
        <w:rPr>
          <w:rFonts w:hint="eastAsia" w:ascii="仿宋_GB2312" w:hAnsi="仿宋_GB2312" w:eastAsia="仿宋_GB2312" w:cs="仿宋_GB2312"/>
          <w:lang w:val="en-US" w:eastAsia="zh-CN"/>
        </w:rPr>
      </w:pPr>
      <w:r>
        <w:rPr>
          <w:rFonts w:hint="eastAsia" w:ascii="楷体" w:hAnsi="楷体" w:eastAsia="楷体" w:cs="楷体"/>
          <w:lang w:val="en-US" w:eastAsia="zh-CN"/>
        </w:rPr>
        <w:t>严格落实耕地和永久基本农田保护红线。</w:t>
      </w:r>
      <w:r>
        <w:rPr>
          <w:rFonts w:hint="eastAsia" w:ascii="仿宋_GB2312" w:hAnsi="仿宋_GB2312" w:eastAsia="仿宋_GB2312" w:cs="仿宋_GB2312"/>
          <w:lang w:val="en-US" w:eastAsia="zh-CN"/>
        </w:rPr>
        <w:t>到2035年，</w:t>
      </w:r>
      <w:r>
        <w:rPr>
          <w:rFonts w:hint="eastAsia" w:ascii="仿宋_GB2312" w:hAnsi="仿宋_GB2312" w:cs="仿宋_GB2312"/>
          <w:lang w:val="en-US" w:eastAsia="zh-CN"/>
        </w:rPr>
        <w:t>湖东种羊场</w:t>
      </w:r>
      <w:r>
        <w:rPr>
          <w:rFonts w:hint="eastAsia" w:ascii="仿宋_GB2312" w:hAnsi="仿宋_GB2312" w:eastAsia="仿宋_GB2312" w:cs="仿宋_GB2312"/>
          <w:lang w:val="en-US" w:eastAsia="zh-CN"/>
        </w:rPr>
        <w:t>耕地保护任务不少于</w:t>
      </w:r>
      <w:r>
        <w:rPr>
          <w:rFonts w:hint="eastAsia" w:ascii="仿宋_GB2312" w:hAnsi="仿宋_GB2312" w:cs="仿宋_GB2312"/>
          <w:lang w:val="en-US" w:eastAsia="zh-CN"/>
        </w:rPr>
        <w:t>921.76</w:t>
      </w:r>
      <w:r>
        <w:rPr>
          <w:rFonts w:hint="eastAsia" w:ascii="仿宋_GB2312" w:hAnsi="仿宋_GB2312" w:eastAsia="仿宋_GB2312" w:cs="仿宋_GB2312"/>
          <w:lang w:val="en-US" w:eastAsia="zh-CN"/>
        </w:rPr>
        <w:t>亩，永久基本农田保护面积不少于</w:t>
      </w:r>
      <w:r>
        <w:rPr>
          <w:rFonts w:hint="eastAsia" w:ascii="仿宋_GB2312" w:hAnsi="仿宋_GB2312" w:cs="仿宋_GB2312"/>
          <w:lang w:val="en-US" w:eastAsia="zh-CN"/>
        </w:rPr>
        <w:t>752.78</w:t>
      </w:r>
      <w:r>
        <w:rPr>
          <w:rFonts w:hint="eastAsia" w:ascii="仿宋_GB2312" w:hAnsi="仿宋_GB2312" w:eastAsia="仿宋_GB2312" w:cs="仿宋_GB2312"/>
          <w:lang w:val="en-US" w:eastAsia="zh-CN"/>
        </w:rPr>
        <w:t>亩，主要分布在青海湖周边区域。</w:t>
      </w:r>
    </w:p>
    <w:p w14:paraId="2E8CE493">
      <w:pPr>
        <w:pStyle w:val="7"/>
        <w:ind w:firstLine="640"/>
        <w:rPr>
          <w:rFonts w:hint="eastAsia" w:ascii="仿宋_GB2312" w:hAnsi="仿宋_GB2312" w:cs="仿宋_GB2312"/>
          <w:lang w:val="en-US" w:eastAsia="zh-CN"/>
        </w:rPr>
      </w:pPr>
      <w:r>
        <w:rPr>
          <w:rFonts w:hint="eastAsia" w:ascii="楷体" w:hAnsi="楷体" w:eastAsia="楷体" w:cs="楷体"/>
          <w:lang w:val="en-US" w:eastAsia="zh-CN"/>
        </w:rPr>
        <w:t>严格落实生态保护红线。</w:t>
      </w:r>
      <w:r>
        <w:rPr>
          <w:rFonts w:hint="eastAsia" w:ascii="仿宋_GB2312" w:hAnsi="仿宋_GB2312" w:cs="仿宋_GB2312"/>
          <w:lang w:val="en-US" w:eastAsia="zh-CN"/>
        </w:rPr>
        <w:t>到2035年，湖东种羊场生态保护红线面积108.8097平方千米，全部为青海湖国家级自然保护区。</w:t>
      </w:r>
    </w:p>
    <w:p w14:paraId="0EDF09B9">
      <w:pPr>
        <w:pStyle w:val="7"/>
        <w:ind w:firstLine="640"/>
        <w:rPr>
          <w:rFonts w:hint="eastAsia" w:ascii="仿宋_GB2312" w:hAnsi="仿宋_GB2312" w:cs="仿宋_GB2312"/>
          <w:lang w:val="en-US" w:eastAsia="zh-CN"/>
        </w:rPr>
      </w:pPr>
      <w:r>
        <w:rPr>
          <w:rFonts w:hint="eastAsia" w:ascii="楷体" w:hAnsi="楷体" w:eastAsia="楷体" w:cs="楷体"/>
          <w:lang w:val="en-US" w:eastAsia="zh-CN"/>
        </w:rPr>
        <w:t>洪涝风险控制线。</w:t>
      </w:r>
      <w:r>
        <w:rPr>
          <w:rFonts w:hint="eastAsia" w:ascii="仿宋_GB2312" w:hAnsi="仿宋_GB2312" w:cs="仿宋_GB2312"/>
          <w:lang w:val="en-US" w:eastAsia="zh-CN"/>
        </w:rPr>
        <w:t>落实倒淌河、果措、小北湖沟等主要河流洪涝风险控制线，总面积达4.73平方千米，包括主河道、湿地洼地等，保障防洪排涝系统完整性和通达性。</w:t>
      </w:r>
    </w:p>
    <w:p w14:paraId="72E7D536">
      <w:pPr>
        <w:pStyle w:val="7"/>
        <w:ind w:firstLine="640"/>
        <w:rPr>
          <w:rFonts w:hint="eastAsia" w:ascii="仿宋_GB2312" w:hAnsi="仿宋_GB2312" w:cs="仿宋_GB2312"/>
          <w:lang w:val="en-US" w:eastAsia="zh-CN"/>
        </w:rPr>
      </w:pPr>
      <w:r>
        <w:rPr>
          <w:rFonts w:hint="eastAsia" w:ascii="楷体" w:hAnsi="楷体" w:eastAsia="楷体" w:cs="楷体"/>
          <w:lang w:val="en-US" w:eastAsia="zh-CN"/>
        </w:rPr>
        <w:t>村庄建设边界。</w:t>
      </w:r>
      <w:r>
        <w:rPr>
          <w:rFonts w:hint="eastAsia" w:ascii="仿宋_GB2312" w:hAnsi="仿宋_GB2312" w:cs="仿宋_GB2312"/>
          <w:lang w:val="en-US" w:eastAsia="zh-CN"/>
        </w:rPr>
        <w:t>合理划定湖东种羊场村庄建设边界面积86.60公顷，规划村庄建设用地面积75.90公顷。</w:t>
      </w:r>
    </w:p>
    <w:p w14:paraId="493D5CB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default"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场域国土空间结构调整</w:t>
      </w:r>
    </w:p>
    <w:p w14:paraId="63AC3422">
      <w:pPr>
        <w:spacing w:line="600" w:lineRule="exact"/>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统筹安排各类用地，落实</w:t>
      </w:r>
      <w:r>
        <w:rPr>
          <w:rFonts w:hint="eastAsia" w:ascii="仿宋_GB2312" w:hAnsi="仿宋_GB2312" w:eastAsia="仿宋_GB2312" w:cs="仿宋_GB2312"/>
          <w:sz w:val="32"/>
          <w:szCs w:val="24"/>
          <w:lang w:val="en-US" w:eastAsia="zh-CN"/>
        </w:rPr>
        <w:t>上位</w:t>
      </w:r>
      <w:r>
        <w:rPr>
          <w:rFonts w:hint="eastAsia" w:ascii="仿宋_GB2312" w:hAnsi="仿宋_GB2312" w:eastAsia="仿宋_GB2312" w:cs="仿宋_GB2312"/>
          <w:sz w:val="32"/>
          <w:szCs w:val="24"/>
        </w:rPr>
        <w:t>规划确定的各类约束性指标，依次考虑满足粮食生产、保障农业、满足生态保护需求，严格控制各类建设占用生态和农业用地</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确保耕地面积不少于61.02公顷，林地面积不少于3422.53公顷，农业设施建设用地面积不少于118.47公顷。严格基本草原保护制度，实施草畜平衡，协调州级、县级重大项目用地需求，适当调整草地面积。</w:t>
      </w:r>
    </w:p>
    <w:p w14:paraId="028F9592">
      <w:pPr>
        <w:spacing w:line="600" w:lineRule="exact"/>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优化调整建设用地，</w:t>
      </w:r>
      <w:r>
        <w:rPr>
          <w:rFonts w:hint="eastAsia" w:ascii="仿宋_GB2312" w:hAnsi="仿宋_GB2312" w:eastAsia="仿宋_GB2312" w:cs="仿宋_GB2312"/>
          <w:color w:val="000000"/>
          <w:sz w:val="32"/>
          <w:szCs w:val="24"/>
        </w:rPr>
        <w:t>优化各类设施用地规模、结构与布局，优先安排服务于国土安全、对外开放、社会民生重大项目需求，提高重大设施用地集约节约水平。</w:t>
      </w:r>
      <w:r>
        <w:rPr>
          <w:rFonts w:hint="eastAsia" w:ascii="仿宋_GB2312" w:hAnsi="仿宋_GB2312" w:eastAsia="仿宋_GB2312" w:cs="仿宋_GB2312"/>
          <w:sz w:val="32"/>
          <w:szCs w:val="24"/>
        </w:rPr>
        <w:t>城镇建设用地</w:t>
      </w:r>
      <w:r>
        <w:rPr>
          <w:rFonts w:hint="eastAsia" w:ascii="仿宋_GB2312" w:hAnsi="仿宋_GB2312" w:eastAsia="仿宋_GB2312" w:cs="仿宋_GB2312"/>
          <w:sz w:val="32"/>
          <w:szCs w:val="24"/>
          <w:lang w:val="en-US" w:eastAsia="zh-CN"/>
        </w:rPr>
        <w:t>控制在38.99公顷，</w:t>
      </w:r>
      <w:r>
        <w:rPr>
          <w:rFonts w:hint="eastAsia" w:ascii="仿宋_GB2312" w:hAnsi="仿宋_GB2312" w:eastAsia="仿宋_GB2312" w:cs="仿宋_GB2312"/>
          <w:sz w:val="32"/>
          <w:szCs w:val="24"/>
        </w:rPr>
        <w:t>主要用于</w:t>
      </w:r>
      <w:r>
        <w:rPr>
          <w:rFonts w:hint="eastAsia" w:ascii="仿宋_GB2312" w:hAnsi="仿宋_GB2312" w:eastAsia="仿宋_GB2312" w:cs="仿宋_GB2312"/>
          <w:sz w:val="32"/>
          <w:szCs w:val="24"/>
          <w:lang w:val="en-US" w:eastAsia="zh-CN"/>
        </w:rPr>
        <w:t>城镇</w:t>
      </w:r>
      <w:r>
        <w:rPr>
          <w:rFonts w:hint="eastAsia" w:ascii="仿宋_GB2312" w:hAnsi="仿宋_GB2312" w:eastAsia="仿宋_GB2312" w:cs="仿宋_GB2312"/>
          <w:sz w:val="32"/>
          <w:szCs w:val="24"/>
        </w:rPr>
        <w:t>发展，以推动城镇化进程。村庄建设用地总量</w:t>
      </w:r>
      <w:r>
        <w:rPr>
          <w:rFonts w:hint="eastAsia" w:ascii="仿宋_GB2312" w:hAnsi="仿宋_GB2312" w:eastAsia="仿宋_GB2312" w:cs="仿宋_GB2312"/>
          <w:sz w:val="32"/>
          <w:szCs w:val="24"/>
          <w:lang w:val="en-US" w:eastAsia="zh-CN"/>
        </w:rPr>
        <w:t>适当</w:t>
      </w:r>
      <w:r>
        <w:rPr>
          <w:rFonts w:hint="eastAsia" w:ascii="仿宋_GB2312" w:hAnsi="仿宋_GB2312" w:eastAsia="仿宋_GB2312" w:cs="仿宋_GB2312"/>
          <w:sz w:val="32"/>
          <w:szCs w:val="24"/>
        </w:rPr>
        <w:t>增加的前提下，优化村庄用地布局，</w:t>
      </w:r>
      <w:r>
        <w:rPr>
          <w:rFonts w:hint="eastAsia" w:ascii="仿宋_GB2312" w:hAnsi="仿宋_GB2312" w:eastAsia="仿宋_GB2312" w:cs="仿宋_GB2312"/>
          <w:sz w:val="32"/>
          <w:szCs w:val="24"/>
          <w:lang w:val="en-US" w:eastAsia="zh-CN"/>
        </w:rPr>
        <w:t>积极稳妥推进零散农村居民点复垦，支持乡村振兴发展空间，合理保障用地需要，</w:t>
      </w:r>
      <w:r>
        <w:rPr>
          <w:rFonts w:hint="eastAsia" w:ascii="仿宋_GB2312" w:hAnsi="仿宋_GB2312" w:eastAsia="仿宋_GB2312" w:cs="仿宋_GB2312"/>
          <w:sz w:val="32"/>
          <w:szCs w:val="24"/>
        </w:rPr>
        <w:t>有效保障</w:t>
      </w:r>
      <w:r>
        <w:rPr>
          <w:rFonts w:hint="eastAsia" w:ascii="仿宋_GB2312" w:hAnsi="仿宋_GB2312" w:eastAsia="仿宋_GB2312" w:cs="仿宋_GB2312"/>
          <w:sz w:val="32"/>
          <w:szCs w:val="24"/>
          <w:lang w:val="en-US" w:eastAsia="zh-CN"/>
        </w:rPr>
        <w:t>重大基础设施</w:t>
      </w:r>
      <w:r>
        <w:rPr>
          <w:rFonts w:hint="eastAsia" w:ascii="仿宋_GB2312" w:hAnsi="仿宋_GB2312" w:eastAsia="仿宋_GB2312" w:cs="仿宋_GB2312"/>
          <w:sz w:val="32"/>
          <w:szCs w:val="24"/>
        </w:rPr>
        <w:t>用地需求</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村庄建设用地面积控制在75.91公顷内。</w:t>
      </w:r>
      <w:r>
        <w:rPr>
          <w:rFonts w:hint="eastAsia" w:ascii="仿宋_GB2312" w:hAnsi="仿宋_GB2312" w:eastAsia="仿宋_GB2312" w:cs="仿宋_GB2312"/>
          <w:sz w:val="32"/>
          <w:szCs w:val="24"/>
        </w:rPr>
        <w:t>有效保障交通、能源、水利等</w:t>
      </w:r>
      <w:r>
        <w:rPr>
          <w:rFonts w:hint="eastAsia" w:ascii="仿宋_GB2312" w:hAnsi="仿宋_GB2312" w:eastAsia="仿宋_GB2312" w:cs="仿宋_GB2312"/>
          <w:sz w:val="32"/>
          <w:szCs w:val="24"/>
          <w:lang w:val="en-US" w:eastAsia="zh-CN"/>
        </w:rPr>
        <w:t>重大</w:t>
      </w:r>
      <w:r>
        <w:rPr>
          <w:rFonts w:hint="eastAsia" w:ascii="仿宋_GB2312" w:hAnsi="仿宋_GB2312" w:eastAsia="仿宋_GB2312" w:cs="仿宋_GB2312"/>
          <w:sz w:val="32"/>
          <w:szCs w:val="24"/>
        </w:rPr>
        <w:t>基础设施用地需求</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val="en-US" w:eastAsia="zh-CN"/>
        </w:rPr>
        <w:t>加快推进运输枢纽建设，推进水土保持工程建设，区域基础设施用地面积控制在31.56公顷内。</w:t>
      </w:r>
    </w:p>
    <w:p w14:paraId="2D171F60">
      <w:pPr>
        <w:pStyle w:val="7"/>
        <w:ind w:firstLine="64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适度调整其他土地，</w:t>
      </w:r>
      <w:r>
        <w:rPr>
          <w:rFonts w:hint="eastAsia" w:ascii="仿宋_GB2312" w:hAnsi="仿宋_GB2312" w:eastAsia="仿宋_GB2312" w:cs="仿宋_GB2312"/>
          <w:color w:val="000000"/>
          <w:sz w:val="32"/>
          <w:szCs w:val="24"/>
        </w:rPr>
        <w:t>加大全地区重要湖泊、水系、湿地等重要生态空间保护力度，严格限制用地改变用途，持续推进生态保护与修复，逐步实现</w:t>
      </w:r>
      <w:r>
        <w:rPr>
          <w:rFonts w:hint="eastAsia" w:ascii="仿宋_GB2312" w:hAnsi="仿宋_GB2312" w:eastAsia="仿宋_GB2312" w:cs="仿宋_GB2312"/>
          <w:color w:val="000000"/>
          <w:sz w:val="32"/>
          <w:szCs w:val="24"/>
          <w:lang w:val="en-US" w:eastAsia="zh-CN"/>
        </w:rPr>
        <w:t>其他土地</w:t>
      </w:r>
      <w:r>
        <w:rPr>
          <w:rFonts w:hint="eastAsia" w:ascii="仿宋_GB2312" w:hAnsi="仿宋_GB2312" w:eastAsia="仿宋_GB2312" w:cs="仿宋_GB2312"/>
          <w:color w:val="000000"/>
          <w:sz w:val="32"/>
          <w:szCs w:val="24"/>
        </w:rPr>
        <w:t>面积</w:t>
      </w:r>
      <w:r>
        <w:rPr>
          <w:rFonts w:hint="eastAsia" w:ascii="仿宋_GB2312" w:hAnsi="仿宋_GB2312" w:eastAsia="仿宋_GB2312" w:cs="仿宋_GB2312"/>
          <w:color w:val="000000"/>
          <w:sz w:val="32"/>
          <w:szCs w:val="24"/>
          <w:lang w:val="en-US" w:eastAsia="zh-CN"/>
        </w:rPr>
        <w:t>保持</w:t>
      </w:r>
      <w:r>
        <w:rPr>
          <w:rFonts w:hint="eastAsia" w:ascii="仿宋_GB2312" w:hAnsi="仿宋_GB2312" w:eastAsia="仿宋_GB2312" w:cs="仿宋_GB2312"/>
          <w:color w:val="000000"/>
          <w:sz w:val="32"/>
          <w:szCs w:val="24"/>
        </w:rPr>
        <w:t>稳定、</w:t>
      </w:r>
      <w:r>
        <w:rPr>
          <w:rFonts w:hint="eastAsia" w:ascii="仿宋_GB2312" w:hAnsi="仿宋_GB2312" w:eastAsia="仿宋_GB2312" w:cs="仿宋_GB2312"/>
          <w:sz w:val="32"/>
          <w:szCs w:val="24"/>
          <w:lang w:val="en-US" w:eastAsia="zh-CN"/>
        </w:rPr>
        <w:t>沟渠面积适当减少。</w:t>
      </w:r>
    </w:p>
    <w:p w14:paraId="60A8DCF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场部用地布局规划</w:t>
      </w:r>
    </w:p>
    <w:p w14:paraId="75AEC496">
      <w:pPr>
        <w:pStyle w:val="7"/>
        <w:ind w:firstLine="640"/>
        <w:rPr>
          <w:rFonts w:hint="default" w:ascii="仿宋_GB2312" w:hAnsi="仿宋_GB2312" w:cs="仿宋_GB2312"/>
          <w:sz w:val="32"/>
          <w:szCs w:val="24"/>
          <w:lang w:val="en-US" w:eastAsia="zh-CN"/>
        </w:rPr>
      </w:pPr>
      <w:r>
        <w:rPr>
          <w:rFonts w:hint="eastAsia" w:ascii="仿宋_GB2312" w:hAnsi="仿宋_GB2312" w:cs="仿宋_GB2312"/>
          <w:sz w:val="32"/>
          <w:szCs w:val="24"/>
          <w:lang w:val="en-US" w:eastAsia="zh-CN"/>
        </w:rPr>
        <w:t>到</w:t>
      </w:r>
      <w:r>
        <w:rPr>
          <w:rFonts w:hint="default" w:ascii="仿宋_GB2312" w:hAnsi="仿宋_GB2312" w:cs="仿宋_GB2312"/>
          <w:sz w:val="32"/>
          <w:szCs w:val="24"/>
          <w:lang w:val="en-US" w:eastAsia="zh-CN"/>
        </w:rPr>
        <w:t>2035年</w:t>
      </w:r>
      <w:r>
        <w:rPr>
          <w:rFonts w:hint="eastAsia" w:ascii="仿宋_GB2312" w:hAnsi="仿宋_GB2312" w:cs="仿宋_GB2312"/>
          <w:sz w:val="32"/>
          <w:szCs w:val="24"/>
          <w:lang w:val="en-US" w:eastAsia="zh-CN"/>
        </w:rPr>
        <w:t>，</w:t>
      </w:r>
      <w:r>
        <w:rPr>
          <w:rFonts w:hint="default" w:ascii="仿宋_GB2312" w:hAnsi="仿宋_GB2312" w:cs="仿宋_GB2312"/>
          <w:sz w:val="32"/>
          <w:szCs w:val="24"/>
          <w:lang w:val="en-US" w:eastAsia="zh-CN"/>
        </w:rPr>
        <w:t>场部驻地</w:t>
      </w:r>
      <w:r>
        <w:rPr>
          <w:rFonts w:hint="eastAsia" w:ascii="仿宋_GB2312" w:hAnsi="仿宋_GB2312" w:cs="仿宋_GB2312"/>
          <w:sz w:val="32"/>
          <w:szCs w:val="24"/>
          <w:lang w:val="en-US" w:eastAsia="zh-CN"/>
        </w:rPr>
        <w:t>城乡</w:t>
      </w:r>
      <w:r>
        <w:rPr>
          <w:rFonts w:hint="default" w:ascii="仿宋_GB2312" w:hAnsi="仿宋_GB2312" w:cs="仿宋_GB2312"/>
          <w:sz w:val="32"/>
          <w:szCs w:val="24"/>
          <w:lang w:val="en-US" w:eastAsia="zh-CN"/>
        </w:rPr>
        <w:t>建设用地75.20 公顷。</w:t>
      </w:r>
      <w:r>
        <w:rPr>
          <w:rFonts w:hint="eastAsia" w:ascii="仿宋_GB2312" w:hAnsi="仿宋_GB2312" w:cs="仿宋_GB2312"/>
          <w:sz w:val="32"/>
          <w:szCs w:val="24"/>
          <w:lang w:val="en-US" w:eastAsia="zh-CN"/>
        </w:rPr>
        <w:t>其中，居住用地39.10公顷，包括农村宅基地18.78公顷，城镇住宅用地为20.23 公顷，城镇住宅用地为远期城乡融合预留空间，需待城镇开发边界调整后方可实施；机关团体用地面积为2.25公顷；教育用地面积2.64公顷；体育用地面积1.41公顷；文化用地面积6.28公顷；医疗卫生用地面积0.72公顷；商业用地面积5.25公顷；交通运输用地面积1.04公顷，主要为社会停车场用地；公用设施用地面积2.70公顷，其中排水用地面积为0.31公顷，环卫用地为2.39公顷。</w:t>
      </w:r>
    </w:p>
    <w:p w14:paraId="75C62AD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公共和基础设施配套规划</w:t>
      </w:r>
    </w:p>
    <w:p w14:paraId="78E2D34F">
      <w:pPr>
        <w:pStyle w:val="7"/>
        <w:ind w:firstLine="640"/>
        <w:rPr>
          <w:rFonts w:hint="default" w:ascii="仿宋_GB2312" w:hAnsi="仿宋_GB2312" w:cs="仿宋_GB2312"/>
          <w:lang w:val="en-US" w:eastAsia="zh-CN"/>
        </w:rPr>
      </w:pPr>
      <w:r>
        <w:rPr>
          <w:rFonts w:hint="default" w:ascii="仿宋_GB2312" w:hAnsi="仿宋_GB2312" w:cs="仿宋_GB2312"/>
          <w:lang w:val="en-US" w:eastAsia="zh-CN"/>
        </w:rPr>
        <w:t>积极实施湖东种羊场各类设施向周边乡村覆盖延伸改善提升乡村道路、供水、供电、通讯等基本需求方面的基础设施，配套完善排水、生活能源、宽带网络等设施。</w:t>
      </w:r>
    </w:p>
    <w:p w14:paraId="5FCDC2C5">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1、场部公共服务设施规划</w:t>
      </w:r>
    </w:p>
    <w:p w14:paraId="1D962E8E">
      <w:pPr>
        <w:pStyle w:val="7"/>
        <w:ind w:firstLine="640"/>
        <w:rPr>
          <w:rFonts w:hint="eastAsia" w:ascii="仿宋_GB2312" w:hAnsi="仿宋_GB2312" w:cs="仿宋_GB2312"/>
          <w:lang w:val="en-US" w:eastAsia="zh-CN"/>
        </w:rPr>
      </w:pPr>
      <w:r>
        <w:rPr>
          <w:rFonts w:hint="default" w:ascii="仿宋_GB2312" w:hAnsi="仿宋_GB2312" w:cs="仿宋_GB2312"/>
          <w:lang w:val="en-US" w:eastAsia="zh-CN"/>
        </w:rPr>
        <w:t>结合现状规划教育设施布局，保留场部驻地现有各类各级学校，规划提升改造湖东种羊场小学及幼儿园，实行半封闭式管理模式，扩大设施的服务范围</w:t>
      </w:r>
      <w:r>
        <w:rPr>
          <w:rFonts w:hint="eastAsia" w:ascii="仿宋_GB2312" w:hAnsi="仿宋_GB2312" w:cs="仿宋_GB2312"/>
          <w:lang w:val="en-US" w:eastAsia="zh-CN"/>
        </w:rPr>
        <w:t>。</w:t>
      </w:r>
    </w:p>
    <w:p w14:paraId="47CA89FA">
      <w:pPr>
        <w:pStyle w:val="7"/>
        <w:ind w:firstLine="640"/>
        <w:rPr>
          <w:rFonts w:hint="default" w:ascii="仿宋_GB2312" w:hAnsi="仿宋_GB2312" w:cs="仿宋_GB2312"/>
          <w:lang w:val="en-US" w:eastAsia="zh-CN"/>
        </w:rPr>
      </w:pPr>
      <w:r>
        <w:rPr>
          <w:rFonts w:hint="default" w:ascii="仿宋_GB2312" w:hAnsi="仿宋_GB2312" w:cs="仿宋_GB2312"/>
          <w:lang w:val="en-US" w:eastAsia="zh-CN"/>
        </w:rPr>
        <w:t>结合场部驻地中心广场和各组团中心，整合现有文化设施，提升文化设施配套水平，新规划海神亭文化旅游基地，配套游客接待服务点、祭海祈福场地、海神亭观景台等。</w:t>
      </w:r>
    </w:p>
    <w:p w14:paraId="3E2D068E">
      <w:pPr>
        <w:pStyle w:val="7"/>
        <w:ind w:firstLine="640"/>
        <w:rPr>
          <w:rFonts w:hint="default" w:ascii="仿宋_GB2312" w:hAnsi="仿宋_GB2312" w:cs="仿宋_GB2312"/>
          <w:lang w:val="en-US" w:eastAsia="zh-CN"/>
        </w:rPr>
      </w:pPr>
      <w:r>
        <w:rPr>
          <w:rFonts w:hint="default" w:ascii="仿宋_GB2312" w:hAnsi="仿宋_GB2312" w:cs="仿宋_GB2312"/>
          <w:lang w:val="en-US" w:eastAsia="zh-CN"/>
        </w:rPr>
        <w:t>场部驻地规划更新湖东种羊场中心卫生院，均衡配置医疗资源，完善场部驻地卫生院布局:全面提高公共卫生保障能力和突发公共卫生事件应急处置能力，分区级优化完善公共卫生机构建设。</w:t>
      </w:r>
    </w:p>
    <w:p w14:paraId="219CBB81">
      <w:pPr>
        <w:pStyle w:val="7"/>
        <w:ind w:firstLine="640"/>
        <w:rPr>
          <w:rFonts w:hint="default" w:ascii="仿宋_GB2312" w:hAnsi="仿宋_GB2312" w:cs="仿宋_GB2312"/>
          <w:lang w:val="en-US" w:eastAsia="zh-CN"/>
        </w:rPr>
      </w:pPr>
      <w:r>
        <w:rPr>
          <w:rFonts w:hint="default" w:ascii="仿宋_GB2312" w:hAnsi="仿宋_GB2312" w:cs="仿宋_GB2312"/>
          <w:lang w:val="en-US" w:eastAsia="zh-CN"/>
        </w:rPr>
        <w:t>完善场部驻地体育设施建设，建立社区公共体育健身系统，加强体育设施的复合利用，充分利用街道级、社区级体育设施，打造场部驻地网格化体育网络体系，创造场部驻地全民健身的基础条件。现状场部驻地有1处体育用地，为篮球场，面积总计为0.54公顷，规划在小学北侧新建体育场1处，面积为0.87 公顷。</w:t>
      </w:r>
    </w:p>
    <w:p w14:paraId="0ED32114">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2、场部基础设施规划</w:t>
      </w:r>
    </w:p>
    <w:p w14:paraId="69E1BE48">
      <w:pPr>
        <w:pStyle w:val="7"/>
        <w:ind w:firstLine="640"/>
        <w:rPr>
          <w:rFonts w:hint="default" w:ascii="仿宋_GB2312" w:hAnsi="仿宋_GB2312" w:cs="仿宋_GB2312"/>
          <w:lang w:val="en-US" w:eastAsia="zh-CN"/>
        </w:rPr>
      </w:pPr>
      <w:r>
        <w:rPr>
          <w:rFonts w:hint="default" w:ascii="仿宋_GB2312" w:hAnsi="仿宋_GB2312" w:cs="仿宋_GB2312"/>
          <w:lang w:val="en-US" w:eastAsia="zh-CN"/>
        </w:rPr>
        <w:t>规划完善场部驻地停车设施供给，规划停车场1处，用于配套游客服务中心用地面积0.45公顷。规划结合停车场布局，按照不少于总停车位10%的比例配套充电桩，保障新能源车充电需求。</w:t>
      </w:r>
    </w:p>
    <w:p w14:paraId="0A032CC5">
      <w:pPr>
        <w:pStyle w:val="7"/>
        <w:ind w:firstLine="640"/>
        <w:rPr>
          <w:rFonts w:hint="default" w:ascii="仿宋_GB2312" w:hAnsi="仿宋_GB2312" w:cs="仿宋_GB2312"/>
          <w:lang w:val="en-US" w:eastAsia="zh-CN"/>
        </w:rPr>
      </w:pPr>
      <w:r>
        <w:rPr>
          <w:rFonts w:hint="eastAsia" w:ascii="仿宋_GB2312" w:hAnsi="仿宋_GB2312" w:cs="仿宋_GB2312"/>
          <w:lang w:val="en-US" w:eastAsia="zh-CN"/>
        </w:rPr>
        <w:t>给水规划。</w:t>
      </w:r>
      <w:r>
        <w:rPr>
          <w:rFonts w:hint="default" w:ascii="仿宋_GB2312" w:hAnsi="仿宋_GB2312" w:cs="仿宋_GB2312"/>
          <w:lang w:val="en-US" w:eastAsia="zh-CN"/>
        </w:rPr>
        <w:t>规划保留现状娄拉沟水库和二号水源点，并建成生活、生产、消防用水三合一的供水系统，统一从水源地供水。</w:t>
      </w:r>
    </w:p>
    <w:p w14:paraId="4F71180F">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排水规划。场部驻地污水北侧地形低点新建一处污水处理站，面积为0.31公顷。</w:t>
      </w:r>
    </w:p>
    <w:p w14:paraId="510DB90A">
      <w:pPr>
        <w:pStyle w:val="7"/>
        <w:ind w:firstLine="640"/>
        <w:rPr>
          <w:rFonts w:hint="eastAsia" w:ascii="仿宋_GB2312" w:hAnsi="仿宋_GB2312" w:cs="仿宋_GB2312"/>
          <w:lang w:val="en-US" w:eastAsia="zh-CN"/>
        </w:rPr>
      </w:pPr>
      <w:r>
        <w:rPr>
          <w:rFonts w:hint="eastAsia" w:ascii="仿宋_GB2312" w:hAnsi="仿宋_GB2312" w:cs="仿宋_GB2312"/>
          <w:lang w:val="en-US" w:eastAsia="zh-CN"/>
        </w:rPr>
        <w:t>环卫规划。在湖东种羊场场部驻地东南侧新规划一处垃圾转运站，面积为2.39公顷。在重要公共活动空间等人员密集场所共布局公共厕所3座，按水冲式卫生厕所进行建设。</w:t>
      </w:r>
    </w:p>
    <w:p w14:paraId="507A1DDC">
      <w:pPr>
        <w:rPr>
          <w:rFonts w:hint="eastAsia" w:ascii="仿宋_GB2312" w:hAnsi="仿宋_GB2312" w:cs="仿宋_GB2312"/>
          <w:lang w:val="en-US" w:eastAsia="zh-CN"/>
        </w:rPr>
      </w:pPr>
      <w:r>
        <w:rPr>
          <w:rFonts w:hint="eastAsia" w:ascii="仿宋_GB2312" w:hAnsi="仿宋_GB2312" w:cs="仿宋_GB2312"/>
          <w:lang w:val="en-US" w:eastAsia="zh-CN"/>
        </w:rPr>
        <w:br w:type="page"/>
      </w:r>
    </w:p>
    <w:p w14:paraId="7F43549A">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56" w:name="_Toc11748"/>
      <w:r>
        <w:rPr>
          <w:rFonts w:hint="eastAsia" w:ascii="Times New Roman" w:hAnsi="Times New Roman" w:eastAsia="方正小标宋简体" w:cs="Times New Roman"/>
          <w:b w:val="0"/>
          <w:bCs w:val="0"/>
          <w:sz w:val="36"/>
          <w:szCs w:val="36"/>
          <w:lang w:val="en-US" w:eastAsia="zh-CN"/>
        </w:rPr>
        <w:t>强化</w:t>
      </w:r>
      <w:r>
        <w:rPr>
          <w:rFonts w:hint="eastAsia" w:ascii="Times New Roman" w:hAnsi="Times New Roman" w:eastAsia="方正小标宋简体" w:cs="Times New Roman"/>
          <w:b w:val="0"/>
          <w:bCs w:val="0"/>
          <w:sz w:val="36"/>
          <w:szCs w:val="36"/>
        </w:rPr>
        <w:t>镇区</w:t>
      </w:r>
      <w:r>
        <w:rPr>
          <w:rFonts w:hint="eastAsia" w:ascii="Times New Roman" w:hAnsi="Times New Roman" w:eastAsia="方正小标宋简体" w:cs="Times New Roman"/>
          <w:b w:val="0"/>
          <w:bCs w:val="0"/>
          <w:sz w:val="36"/>
          <w:szCs w:val="36"/>
          <w:lang w:val="en-US" w:eastAsia="zh-CN"/>
        </w:rPr>
        <w:t>建设，塑造倒淌河镇综合服务中心</w:t>
      </w:r>
      <w:bookmarkEnd w:id="56"/>
    </w:p>
    <w:p w14:paraId="094D2485">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7" w:name="_Toc30358"/>
      <w:r>
        <w:rPr>
          <w:rFonts w:hint="eastAsia" w:ascii="Arial" w:hAnsi="Arial" w:eastAsia="黑体" w:cs="Times New Roman"/>
          <w:b w:val="0"/>
          <w:lang w:val="zh-CN"/>
        </w:rPr>
        <w:t>空间结构</w:t>
      </w:r>
      <w:bookmarkEnd w:id="57"/>
    </w:p>
    <w:p w14:paraId="12A598B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空间布局结构</w:t>
      </w:r>
    </w:p>
    <w:p w14:paraId="6E3BFC46">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规划形成“</w:t>
      </w:r>
      <w:r>
        <w:rPr>
          <w:rFonts w:hint="eastAsia" w:ascii="楷体_GB2312" w:hAnsi="楷体_GB2312" w:eastAsia="楷体_GB2312" w:cs="楷体_GB2312"/>
          <w:sz w:val="32"/>
          <w:szCs w:val="32"/>
          <w:lang w:val="en-US" w:eastAsia="zh-CN"/>
        </w:rPr>
        <w:t>一心两轴、四区多点</w:t>
      </w:r>
      <w:r>
        <w:rPr>
          <w:rFonts w:hint="eastAsia" w:ascii="楷体_GB2312" w:hAnsi="楷体_GB2312" w:eastAsia="楷体_GB2312" w:cs="楷体_GB2312"/>
          <w:sz w:val="32"/>
          <w:szCs w:val="32"/>
        </w:rPr>
        <w:t>”的城镇空间布局结构。</w:t>
      </w:r>
      <w:r>
        <w:rPr>
          <w:rFonts w:hint="eastAsia" w:ascii="仿宋_GB2312" w:hAnsi="仿宋_GB2312" w:eastAsia="仿宋_GB2312" w:cs="仿宋_GB2312"/>
          <w:sz w:val="32"/>
          <w:szCs w:val="32"/>
          <w:lang w:val="en-US" w:eastAsia="zh-CN"/>
        </w:rPr>
        <w:t>一心即综合服务核心；两轴即</w:t>
      </w:r>
      <w:r>
        <w:rPr>
          <w:rFonts w:hint="eastAsia" w:ascii="仿宋_GB2312" w:hAnsi="仿宋_GB2312" w:eastAsia="仿宋_GB2312" w:cs="仿宋_GB2312"/>
          <w:sz w:val="32"/>
          <w:szCs w:val="32"/>
        </w:rPr>
        <w:t>环青海湖发展轴、快速城镇发展轴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四区即综合服务片区、居住生活片区、旅游产业片区和商业休闲服务片区；多点即以公园绿地、广场等开敞空间形成的多个景观节点</w:t>
      </w:r>
      <w:r>
        <w:rPr>
          <w:rFonts w:hint="eastAsia" w:ascii="仿宋_GB2312" w:hAnsi="仿宋_GB2312" w:eastAsia="仿宋_GB2312" w:cs="仿宋_GB2312"/>
          <w:sz w:val="32"/>
          <w:szCs w:val="32"/>
        </w:rPr>
        <w:t>。</w:t>
      </w:r>
    </w:p>
    <w:p w14:paraId="1A357177">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8" w:name="_Toc30960"/>
      <w:r>
        <w:rPr>
          <w:rFonts w:hint="eastAsia" w:ascii="Arial" w:hAnsi="Arial" w:eastAsia="黑体" w:cs="Times New Roman"/>
          <w:b w:val="0"/>
          <w:lang w:val="zh-CN"/>
        </w:rPr>
        <w:t>功能与用地布局</w:t>
      </w:r>
      <w:bookmarkEnd w:id="58"/>
    </w:p>
    <w:p w14:paraId="5A9E902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细化规划分区，明确用途分类引导</w:t>
      </w:r>
    </w:p>
    <w:p w14:paraId="2E046B9A">
      <w:pPr>
        <w:tabs>
          <w:tab w:val="left" w:pos="353"/>
        </w:tabs>
        <w:spacing w:line="60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划定居住生活区</w:t>
      </w:r>
      <w:r>
        <w:rPr>
          <w:rFonts w:hint="eastAsia" w:ascii="仿宋_GB2312" w:hAnsi="仿宋_GB2312" w:eastAsia="仿宋_GB2312" w:cs="Times New Roman"/>
          <w:sz w:val="32"/>
          <w:szCs w:val="32"/>
          <w:lang w:val="en-US" w:eastAsia="zh-CN"/>
        </w:rPr>
        <w:t>30.99</w:t>
      </w:r>
      <w:r>
        <w:rPr>
          <w:rFonts w:hint="eastAsia" w:ascii="仿宋_GB2312" w:hAnsi="仿宋_GB2312" w:eastAsia="仿宋_GB2312" w:cs="Times New Roman"/>
          <w:sz w:val="32"/>
          <w:szCs w:val="32"/>
        </w:rPr>
        <w:t>公顷，占比</w:t>
      </w:r>
      <w:r>
        <w:rPr>
          <w:rFonts w:hint="eastAsia" w:ascii="仿宋_GB2312" w:hAnsi="仿宋_GB2312" w:eastAsia="仿宋_GB2312" w:cs="Times New Roman"/>
          <w:sz w:val="32"/>
          <w:szCs w:val="32"/>
          <w:lang w:val="en-US" w:eastAsia="zh-CN"/>
        </w:rPr>
        <w:t>38.78</w:t>
      </w:r>
      <w:r>
        <w:rPr>
          <w:rFonts w:hint="eastAsia" w:ascii="仿宋_GB2312" w:hAnsi="仿宋_GB2312" w:eastAsia="仿宋_GB2312" w:cs="Times New Roman"/>
          <w:sz w:val="32"/>
          <w:szCs w:val="32"/>
        </w:rPr>
        <w:t>%，位于共和路南侧和</w:t>
      </w:r>
      <w:r>
        <w:rPr>
          <w:rFonts w:hint="eastAsia" w:ascii="仿宋_GB2312" w:hAnsi="仿宋_GB2312" w:eastAsia="仿宋_GB2312" w:cs="Times New Roman"/>
          <w:sz w:val="32"/>
          <w:szCs w:val="32"/>
          <w:lang w:val="en-US" w:eastAsia="zh-CN"/>
        </w:rPr>
        <w:t>镇政府</w:t>
      </w:r>
      <w:r>
        <w:rPr>
          <w:rFonts w:hint="eastAsia" w:ascii="仿宋_GB2312" w:hAnsi="仿宋_GB2312" w:eastAsia="仿宋_GB2312" w:cs="Times New Roman"/>
          <w:sz w:val="32"/>
          <w:szCs w:val="32"/>
        </w:rPr>
        <w:t>北侧区域，及</w:t>
      </w:r>
      <w:r>
        <w:rPr>
          <w:rFonts w:hint="eastAsia" w:ascii="仿宋_GB2312" w:hAnsi="仿宋_GB2312" w:eastAsia="仿宋_GB2312" w:cs="Times New Roman"/>
          <w:sz w:val="32"/>
          <w:szCs w:val="32"/>
          <w:lang w:val="en-US" w:eastAsia="zh-CN"/>
        </w:rPr>
        <w:t>镇区西部</w:t>
      </w:r>
      <w:r>
        <w:rPr>
          <w:rFonts w:hint="eastAsia" w:ascii="仿宋_GB2312" w:hAnsi="仿宋_GB2312" w:eastAsia="仿宋_GB2312" w:cs="Times New Roman"/>
          <w:sz w:val="32"/>
          <w:szCs w:val="32"/>
        </w:rPr>
        <w:t>区域；综合服务区</w:t>
      </w:r>
      <w:r>
        <w:rPr>
          <w:rFonts w:hint="eastAsia" w:ascii="仿宋_GB2312" w:hAnsi="仿宋_GB2312" w:eastAsia="仿宋_GB2312" w:cs="Times New Roman"/>
          <w:sz w:val="32"/>
          <w:szCs w:val="32"/>
          <w:lang w:val="en-US" w:eastAsia="zh-CN"/>
        </w:rPr>
        <w:t>10.34</w:t>
      </w:r>
      <w:r>
        <w:rPr>
          <w:rFonts w:hint="eastAsia" w:ascii="仿宋_GB2312" w:hAnsi="仿宋_GB2312" w:eastAsia="仿宋_GB2312" w:cs="Times New Roman"/>
          <w:sz w:val="32"/>
          <w:szCs w:val="32"/>
        </w:rPr>
        <w:t>公顷，占比</w:t>
      </w:r>
      <w:r>
        <w:rPr>
          <w:rFonts w:hint="eastAsia" w:ascii="仿宋_GB2312" w:hAnsi="仿宋_GB2312" w:eastAsia="仿宋_GB2312" w:cs="Times New Roman"/>
          <w:sz w:val="32"/>
          <w:szCs w:val="32"/>
          <w:lang w:val="en-US" w:eastAsia="zh-CN"/>
        </w:rPr>
        <w:t>12.94</w:t>
      </w:r>
      <w:r>
        <w:rPr>
          <w:rFonts w:hint="eastAsia" w:ascii="仿宋_GB2312" w:hAnsi="仿宋_GB2312" w:eastAsia="仿宋_GB2312" w:cs="Times New Roman"/>
          <w:sz w:val="32"/>
          <w:szCs w:val="32"/>
        </w:rPr>
        <w:t>%，位于镇区东部青海湖旅游专线南北两侧</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倒淌河镇小学、镇政府周边区域，及南环路北侧体育场片区；商业商务区</w:t>
      </w:r>
      <w:r>
        <w:rPr>
          <w:rFonts w:hint="eastAsia" w:ascii="仿宋_GB2312" w:hAnsi="仿宋_GB2312" w:eastAsia="仿宋_GB2312" w:cs="Times New Roman"/>
          <w:sz w:val="32"/>
          <w:szCs w:val="32"/>
          <w:lang w:val="en-US" w:eastAsia="zh-CN"/>
        </w:rPr>
        <w:t>30.96</w:t>
      </w:r>
      <w:r>
        <w:rPr>
          <w:rFonts w:hint="eastAsia" w:ascii="仿宋_GB2312" w:hAnsi="仿宋_GB2312" w:eastAsia="仿宋_GB2312" w:cs="Times New Roman"/>
          <w:sz w:val="32"/>
          <w:szCs w:val="32"/>
        </w:rPr>
        <w:t>公顷，占比</w:t>
      </w:r>
      <w:r>
        <w:rPr>
          <w:rFonts w:hint="eastAsia" w:ascii="仿宋_GB2312" w:hAnsi="仿宋_GB2312" w:eastAsia="仿宋_GB2312" w:cs="Times New Roman"/>
          <w:sz w:val="32"/>
          <w:szCs w:val="32"/>
          <w:lang w:val="en-US" w:eastAsia="zh-CN"/>
        </w:rPr>
        <w:t>38.74</w:t>
      </w:r>
      <w:r>
        <w:rPr>
          <w:rFonts w:hint="eastAsia" w:ascii="仿宋_GB2312" w:hAnsi="仿宋_GB2312" w:eastAsia="仿宋_GB2312" w:cs="Times New Roman"/>
          <w:sz w:val="32"/>
          <w:szCs w:val="32"/>
        </w:rPr>
        <w:t>%，位于镇区</w:t>
      </w:r>
      <w:r>
        <w:rPr>
          <w:rFonts w:hint="eastAsia" w:ascii="仿宋_GB2312" w:hAnsi="仿宋_GB2312" w:eastAsia="仿宋_GB2312" w:cs="Times New Roman"/>
          <w:sz w:val="32"/>
          <w:szCs w:val="32"/>
          <w:lang w:val="en-US" w:eastAsia="zh-CN"/>
        </w:rPr>
        <w:t>中</w:t>
      </w:r>
      <w:r>
        <w:rPr>
          <w:rFonts w:hint="eastAsia" w:ascii="仿宋_GB2312" w:hAnsi="仿宋_GB2312" w:eastAsia="仿宋_GB2312" w:cs="Times New Roman"/>
          <w:sz w:val="32"/>
          <w:szCs w:val="32"/>
        </w:rPr>
        <w:t>部区域及镇政府周边临街区域；绿地休闲区</w:t>
      </w:r>
      <w:r>
        <w:rPr>
          <w:rFonts w:hint="eastAsia" w:ascii="仿宋_GB2312" w:hAnsi="仿宋_GB2312" w:eastAsia="仿宋_GB2312" w:cs="Times New Roman"/>
          <w:sz w:val="32"/>
          <w:szCs w:val="32"/>
          <w:lang w:val="en-US" w:eastAsia="zh-CN"/>
        </w:rPr>
        <w:t>5.51</w:t>
      </w:r>
      <w:r>
        <w:rPr>
          <w:rFonts w:hint="eastAsia" w:ascii="仿宋_GB2312" w:hAnsi="仿宋_GB2312" w:eastAsia="仿宋_GB2312" w:cs="Times New Roman"/>
          <w:sz w:val="32"/>
          <w:szCs w:val="32"/>
        </w:rPr>
        <w:t>公顷，占比</w:t>
      </w:r>
      <w:r>
        <w:rPr>
          <w:rFonts w:hint="eastAsia" w:ascii="仿宋_GB2312" w:hAnsi="仿宋_GB2312" w:eastAsia="仿宋_GB2312" w:cs="Times New Roman"/>
          <w:sz w:val="32"/>
          <w:szCs w:val="32"/>
          <w:lang w:val="en-US" w:eastAsia="zh-CN"/>
        </w:rPr>
        <w:t>6.90</w:t>
      </w:r>
      <w:r>
        <w:rPr>
          <w:rFonts w:hint="eastAsia" w:ascii="仿宋_GB2312" w:hAnsi="仿宋_GB2312" w:eastAsia="仿宋_GB2312" w:cs="Times New Roman"/>
          <w:sz w:val="32"/>
          <w:szCs w:val="32"/>
        </w:rPr>
        <w:t>%，位于共和路和青海湖交叉口以及哈乙亥路两侧区域</w:t>
      </w:r>
      <w:r>
        <w:rPr>
          <w:rFonts w:hint="eastAsia" w:ascii="仿宋_GB2312" w:hAnsi="仿宋_GB2312" w:eastAsia="仿宋_GB2312" w:cs="Times New Roman"/>
          <w:sz w:val="32"/>
          <w:szCs w:val="32"/>
          <w:lang w:val="en-US" w:eastAsia="zh-CN"/>
        </w:rPr>
        <w:t>和镇区北部</w:t>
      </w:r>
      <w:r>
        <w:rPr>
          <w:rFonts w:hint="eastAsia" w:ascii="仿宋_GB2312" w:hAnsi="仿宋_GB2312" w:eastAsia="仿宋_GB2312" w:cs="Times New Roman"/>
          <w:sz w:val="32"/>
          <w:szCs w:val="32"/>
        </w:rPr>
        <w:t>；交通枢纽区</w:t>
      </w:r>
      <w:r>
        <w:rPr>
          <w:rFonts w:hint="eastAsia" w:ascii="仿宋_GB2312" w:hAnsi="仿宋_GB2312" w:eastAsia="仿宋_GB2312" w:cs="Times New Roman"/>
          <w:sz w:val="32"/>
          <w:szCs w:val="32"/>
          <w:lang w:val="en-US" w:eastAsia="zh-CN"/>
        </w:rPr>
        <w:t>2.11</w:t>
      </w:r>
      <w:r>
        <w:rPr>
          <w:rFonts w:hint="eastAsia" w:ascii="仿宋_GB2312" w:hAnsi="仿宋_GB2312" w:eastAsia="仿宋_GB2312" w:cs="Times New Roman"/>
          <w:sz w:val="32"/>
          <w:szCs w:val="32"/>
        </w:rPr>
        <w:t>公顷，占比</w:t>
      </w:r>
      <w:r>
        <w:rPr>
          <w:rFonts w:hint="eastAsia" w:ascii="仿宋_GB2312" w:hAnsi="仿宋_GB2312" w:eastAsia="仿宋_GB2312" w:cs="Times New Roman"/>
          <w:sz w:val="32"/>
          <w:szCs w:val="32"/>
          <w:lang w:val="en-US" w:eastAsia="zh-CN"/>
        </w:rPr>
        <w:t>2.64</w:t>
      </w:r>
      <w:r>
        <w:rPr>
          <w:rFonts w:hint="eastAsia" w:ascii="仿宋_GB2312" w:hAnsi="仿宋_GB2312" w:eastAsia="仿宋_GB2312" w:cs="Times New Roman"/>
          <w:sz w:val="32"/>
          <w:szCs w:val="32"/>
        </w:rPr>
        <w:t>%，位于镇区</w:t>
      </w:r>
      <w:r>
        <w:rPr>
          <w:rFonts w:hint="eastAsia" w:ascii="仿宋_GB2312" w:hAnsi="仿宋_GB2312" w:eastAsia="仿宋_GB2312" w:cs="Times New Roman"/>
          <w:sz w:val="32"/>
          <w:szCs w:val="32"/>
          <w:lang w:val="en-US" w:eastAsia="zh-CN"/>
        </w:rPr>
        <w:t>北部和</w:t>
      </w:r>
      <w:r>
        <w:rPr>
          <w:rFonts w:hint="eastAsia" w:ascii="仿宋_GB2312" w:hAnsi="仿宋_GB2312" w:eastAsia="仿宋_GB2312" w:cs="Times New Roman"/>
          <w:sz w:val="32"/>
          <w:szCs w:val="32"/>
        </w:rPr>
        <w:t>东部，青海湖旅游专线北侧。</w:t>
      </w:r>
    </w:p>
    <w:p w14:paraId="09CA0AB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落实空间结构，细化用地布局</w:t>
      </w:r>
    </w:p>
    <w:p w14:paraId="378744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依据上位规划中乡镇主要传导指标，对</w:t>
      </w:r>
      <w:r>
        <w:rPr>
          <w:rFonts w:hint="eastAsia" w:ascii="仿宋_GB2312" w:hAnsi="仿宋_GB2312" w:eastAsia="仿宋_GB2312" w:cs="仿宋_GB2312"/>
          <w:sz w:val="32"/>
          <w:szCs w:val="32"/>
          <w:lang w:val="en-US" w:eastAsia="zh-CN"/>
        </w:rPr>
        <w:t>倒淌河</w:t>
      </w:r>
      <w:r>
        <w:rPr>
          <w:rFonts w:hint="eastAsia" w:ascii="仿宋_GB2312" w:hAnsi="仿宋_GB2312" w:eastAsia="仿宋_GB2312" w:cs="仿宋_GB2312"/>
          <w:sz w:val="32"/>
          <w:szCs w:val="32"/>
        </w:rPr>
        <w:t>镇城镇开发边界进行落实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规划城镇建设用地面积79.92公顷，人均建设用地面积</w:t>
      </w:r>
      <w:r>
        <w:rPr>
          <w:rFonts w:hint="eastAsia" w:ascii="仿宋_GB2312" w:hAnsi="仿宋_GB2312" w:eastAsia="仿宋_GB2312" w:cs="仿宋_GB2312"/>
          <w:sz w:val="32"/>
          <w:szCs w:val="32"/>
          <w:lang w:val="en-US" w:eastAsia="zh-CN"/>
        </w:rPr>
        <w:t>不大于130</w:t>
      </w:r>
      <w:r>
        <w:rPr>
          <w:rFonts w:hint="eastAsia" w:ascii="仿宋_GB2312" w:hAnsi="仿宋_GB2312" w:eastAsia="仿宋_GB2312" w:cs="仿宋_GB2312"/>
          <w:sz w:val="32"/>
          <w:szCs w:val="32"/>
        </w:rPr>
        <w:t>平方米。</w:t>
      </w:r>
    </w:p>
    <w:p w14:paraId="02023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规划居住用地面积</w:t>
      </w:r>
      <w:r>
        <w:rPr>
          <w:rFonts w:hint="eastAsia" w:ascii="仿宋_GB2312" w:hAnsi="仿宋_GB2312" w:eastAsia="仿宋_GB2312" w:cs="仿宋_GB2312"/>
          <w:sz w:val="32"/>
          <w:szCs w:val="32"/>
          <w:lang w:val="en-US" w:eastAsia="zh-CN"/>
        </w:rPr>
        <w:t>25.15</w:t>
      </w:r>
      <w:r>
        <w:rPr>
          <w:rFonts w:hint="eastAsia" w:ascii="仿宋_GB2312" w:hAnsi="仿宋_GB2312" w:eastAsia="仿宋_GB2312" w:cs="仿宋_GB2312"/>
          <w:sz w:val="32"/>
          <w:szCs w:val="32"/>
        </w:rPr>
        <w:t>公顷，占城镇建设用地总量的</w:t>
      </w:r>
      <w:r>
        <w:rPr>
          <w:rFonts w:hint="eastAsia" w:ascii="仿宋_GB2312" w:hAnsi="仿宋_GB2312" w:eastAsia="仿宋_GB2312" w:cs="仿宋_GB2312"/>
          <w:sz w:val="32"/>
          <w:szCs w:val="32"/>
          <w:lang w:val="en-US" w:eastAsia="zh-CN"/>
        </w:rPr>
        <w:t>31.47</w:t>
      </w:r>
      <w:r>
        <w:rPr>
          <w:rFonts w:hint="eastAsia" w:ascii="仿宋_GB2312" w:hAnsi="仿宋_GB2312" w:eastAsia="仿宋_GB2312" w:cs="仿宋_GB2312"/>
          <w:sz w:val="32"/>
          <w:szCs w:val="32"/>
        </w:rPr>
        <w:t>%，位于共和路南侧和</w:t>
      </w:r>
      <w:r>
        <w:rPr>
          <w:rFonts w:hint="eastAsia" w:ascii="仿宋_GB2312" w:hAnsi="仿宋_GB2312" w:eastAsia="仿宋_GB2312" w:cs="仿宋_GB2312"/>
          <w:sz w:val="32"/>
          <w:szCs w:val="32"/>
          <w:lang w:val="en-US" w:eastAsia="zh-CN"/>
        </w:rPr>
        <w:t>镇政府</w:t>
      </w:r>
      <w:r>
        <w:rPr>
          <w:rFonts w:hint="eastAsia" w:ascii="仿宋_GB2312" w:hAnsi="仿宋_GB2312" w:eastAsia="仿宋_GB2312" w:cs="仿宋_GB2312"/>
          <w:sz w:val="32"/>
          <w:szCs w:val="32"/>
        </w:rPr>
        <w:t>北侧区域，及</w:t>
      </w:r>
      <w:r>
        <w:rPr>
          <w:rFonts w:hint="eastAsia" w:ascii="仿宋_GB2312" w:hAnsi="仿宋_GB2312" w:eastAsia="仿宋_GB2312" w:cs="仿宋_GB2312"/>
          <w:sz w:val="32"/>
          <w:szCs w:val="32"/>
          <w:lang w:val="en-US" w:eastAsia="zh-CN"/>
        </w:rPr>
        <w:t>镇区西部</w:t>
      </w:r>
      <w:r>
        <w:rPr>
          <w:rFonts w:hint="eastAsia" w:ascii="仿宋_GB2312" w:hAnsi="仿宋_GB2312" w:eastAsia="仿宋_GB2312" w:cs="仿宋_GB2312"/>
          <w:sz w:val="32"/>
          <w:szCs w:val="32"/>
        </w:rPr>
        <w:t>区域；公共管理与公共服务用地面积9.</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公顷，占城镇建设用地总量的</w:t>
      </w:r>
      <w:r>
        <w:rPr>
          <w:rFonts w:hint="eastAsia" w:ascii="仿宋_GB2312" w:hAnsi="仿宋_GB2312" w:eastAsia="仿宋_GB2312" w:cs="仿宋_GB2312"/>
          <w:sz w:val="32"/>
          <w:szCs w:val="32"/>
          <w:lang w:val="en-US" w:eastAsia="zh-CN"/>
        </w:rPr>
        <w:t>12.28</w:t>
      </w:r>
      <w:r>
        <w:rPr>
          <w:rFonts w:hint="eastAsia" w:ascii="仿宋_GB2312" w:hAnsi="仿宋_GB2312" w:eastAsia="仿宋_GB2312" w:cs="仿宋_GB2312"/>
          <w:sz w:val="32"/>
          <w:szCs w:val="32"/>
        </w:rPr>
        <w:t>%，位于倒淌河镇小学、镇政府周边区域，及南环路北侧体育场片区；商业服务业用地面积</w:t>
      </w:r>
      <w:r>
        <w:rPr>
          <w:rFonts w:hint="eastAsia" w:ascii="仿宋_GB2312" w:hAnsi="仿宋_GB2312" w:eastAsia="仿宋_GB2312" w:cs="仿宋_GB2312"/>
          <w:sz w:val="32"/>
          <w:szCs w:val="32"/>
          <w:lang w:val="en-US" w:eastAsia="zh-CN"/>
        </w:rPr>
        <w:t>22.78</w:t>
      </w:r>
      <w:r>
        <w:rPr>
          <w:rFonts w:hint="eastAsia" w:ascii="仿宋_GB2312" w:hAnsi="仿宋_GB2312" w:eastAsia="仿宋_GB2312" w:cs="仿宋_GB2312"/>
          <w:sz w:val="32"/>
          <w:szCs w:val="32"/>
        </w:rPr>
        <w:t>公顷，占城镇建设用地总量的</w:t>
      </w:r>
      <w:r>
        <w:rPr>
          <w:rFonts w:hint="eastAsia" w:ascii="仿宋_GB2312" w:hAnsi="仿宋_GB2312" w:eastAsia="仿宋_GB2312" w:cs="仿宋_GB2312"/>
          <w:sz w:val="32"/>
          <w:szCs w:val="32"/>
          <w:lang w:val="en-US" w:eastAsia="zh-CN"/>
        </w:rPr>
        <w:t>28.51</w:t>
      </w:r>
      <w:r>
        <w:rPr>
          <w:rFonts w:hint="eastAsia" w:ascii="仿宋_GB2312" w:hAnsi="仿宋_GB2312" w:eastAsia="仿宋_GB2312" w:cs="仿宋_GB2312"/>
          <w:sz w:val="32"/>
          <w:szCs w:val="32"/>
        </w:rPr>
        <w:t>%，位于镇区</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部区域及镇政府周边临街区域；交通运输用地面积</w:t>
      </w:r>
      <w:r>
        <w:rPr>
          <w:rFonts w:hint="eastAsia" w:ascii="仿宋_GB2312" w:hAnsi="仿宋_GB2312" w:eastAsia="仿宋_GB2312" w:cs="仿宋_GB2312"/>
          <w:sz w:val="32"/>
          <w:szCs w:val="32"/>
          <w:lang w:val="en-US" w:eastAsia="zh-CN"/>
        </w:rPr>
        <w:t>16.41</w:t>
      </w:r>
      <w:r>
        <w:rPr>
          <w:rFonts w:hint="eastAsia" w:ascii="仿宋_GB2312" w:hAnsi="仿宋_GB2312" w:eastAsia="仿宋_GB2312" w:cs="仿宋_GB2312"/>
          <w:sz w:val="32"/>
          <w:szCs w:val="32"/>
        </w:rPr>
        <w:t>公顷，占城镇建设用地总量的</w:t>
      </w:r>
      <w:r>
        <w:rPr>
          <w:rFonts w:hint="eastAsia" w:ascii="仿宋_GB2312" w:hAnsi="仿宋_GB2312" w:eastAsia="仿宋_GB2312" w:cs="仿宋_GB2312"/>
          <w:sz w:val="32"/>
          <w:szCs w:val="32"/>
          <w:lang w:val="en-US" w:eastAsia="zh-CN"/>
        </w:rPr>
        <w:t>20.54</w:t>
      </w:r>
      <w:r>
        <w:rPr>
          <w:rFonts w:hint="eastAsia" w:ascii="仿宋_GB2312" w:hAnsi="仿宋_GB2312" w:eastAsia="仿宋_GB2312" w:cs="仿宋_GB2312"/>
          <w:sz w:val="32"/>
          <w:szCs w:val="32"/>
        </w:rPr>
        <w:t>%；公用设施用地面积</w:t>
      </w:r>
      <w:r>
        <w:rPr>
          <w:rFonts w:hint="eastAsia" w:ascii="仿宋_GB2312" w:hAnsi="仿宋_GB2312" w:eastAsia="仿宋_GB2312" w:cs="仿宋_GB2312"/>
          <w:sz w:val="32"/>
          <w:szCs w:val="32"/>
          <w:lang w:val="en-US" w:eastAsia="zh-CN"/>
        </w:rPr>
        <w:t>0.77</w:t>
      </w:r>
      <w:r>
        <w:rPr>
          <w:rFonts w:hint="eastAsia" w:ascii="仿宋_GB2312" w:hAnsi="仿宋_GB2312" w:eastAsia="仿宋_GB2312" w:cs="仿宋_GB2312"/>
          <w:sz w:val="32"/>
          <w:szCs w:val="32"/>
        </w:rPr>
        <w:t>公顷，占城镇建设用地总量的</w:t>
      </w:r>
      <w:r>
        <w:rPr>
          <w:rFonts w:hint="eastAsia" w:ascii="仿宋_GB2312" w:hAnsi="仿宋_GB2312" w:eastAsia="仿宋_GB2312" w:cs="仿宋_GB2312"/>
          <w:sz w:val="32"/>
          <w:szCs w:val="32"/>
          <w:lang w:val="en-US" w:eastAsia="zh-CN"/>
        </w:rPr>
        <w:t>0.96</w:t>
      </w:r>
      <w:r>
        <w:rPr>
          <w:rFonts w:hint="eastAsia" w:ascii="仿宋_GB2312" w:hAnsi="仿宋_GB2312" w:eastAsia="仿宋_GB2312" w:cs="仿宋_GB2312"/>
          <w:sz w:val="32"/>
          <w:szCs w:val="32"/>
        </w:rPr>
        <w:t>%；绿地与开敞空间用地面积</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公顷，占城镇建设用地总量的</w:t>
      </w:r>
      <w:r>
        <w:rPr>
          <w:rFonts w:hint="eastAsia" w:ascii="仿宋_GB2312" w:hAnsi="仿宋_GB2312" w:eastAsia="仿宋_GB2312" w:cs="仿宋_GB2312"/>
          <w:sz w:val="32"/>
          <w:szCs w:val="32"/>
          <w:lang w:val="en-US" w:eastAsia="zh-CN"/>
        </w:rPr>
        <w:t>6.24</w:t>
      </w:r>
      <w:r>
        <w:rPr>
          <w:rFonts w:hint="eastAsia" w:ascii="仿宋_GB2312" w:hAnsi="仿宋_GB2312" w:eastAsia="仿宋_GB2312" w:cs="仿宋_GB2312"/>
          <w:sz w:val="32"/>
          <w:szCs w:val="32"/>
        </w:rPr>
        <w:t>%，主要位于共和路和青海湖交叉口以及哈乙亥路两侧</w:t>
      </w:r>
      <w:r>
        <w:rPr>
          <w:rFonts w:hint="eastAsia" w:ascii="仿宋_GB2312" w:hAnsi="仿宋_GB2312" w:eastAsia="仿宋_GB2312" w:cs="仿宋_GB2312"/>
          <w:sz w:val="32"/>
          <w:szCs w:val="32"/>
          <w:lang w:val="en-US" w:eastAsia="zh-CN"/>
        </w:rPr>
        <w:t>和镇区北部</w:t>
      </w:r>
      <w:r>
        <w:rPr>
          <w:rFonts w:hint="eastAsia" w:ascii="仿宋_GB2312" w:hAnsi="仿宋_GB2312" w:eastAsia="仿宋_GB2312" w:cs="仿宋_GB2312"/>
          <w:sz w:val="32"/>
          <w:szCs w:val="32"/>
        </w:rPr>
        <w:t>区域。</w:t>
      </w:r>
    </w:p>
    <w:p w14:paraId="2B1490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32"/>
        </w:rPr>
        <w:t>具体地块用途、边界定位、开发建设强度、用地兼容等规划管控要求在详细规划中确定。</w:t>
      </w:r>
    </w:p>
    <w:p w14:paraId="7E36C6F2">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59" w:name="_Toc3325"/>
      <w:r>
        <w:rPr>
          <w:rFonts w:hint="eastAsia" w:ascii="Arial" w:hAnsi="Arial" w:eastAsia="黑体" w:cs="Times New Roman"/>
          <w:b w:val="0"/>
          <w:lang w:val="zh-CN"/>
        </w:rPr>
        <w:t>居住与住房保障</w:t>
      </w:r>
      <w:bookmarkEnd w:id="59"/>
    </w:p>
    <w:p w14:paraId="1AFE23F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居住空间布局</w:t>
      </w:r>
    </w:p>
    <w:p w14:paraId="62A27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lang w:val="en-US" w:eastAsia="zh-CN"/>
        </w:rPr>
        <w:t>规划至2035年，镇区居住用地主要分布于镇区南部和东北部，规划形成3个居住组团，总面积25.15公顷，居住总人口3600人。</w:t>
      </w:r>
    </w:p>
    <w:p w14:paraId="1EAF4991">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0" w:name="_Toc11827"/>
      <w:r>
        <w:rPr>
          <w:rFonts w:hint="eastAsia" w:ascii="Arial" w:hAnsi="Arial" w:eastAsia="黑体" w:cs="Times New Roman"/>
          <w:b w:val="0"/>
          <w:lang w:val="zh-CN"/>
        </w:rPr>
        <w:t>公共服务设施布局</w:t>
      </w:r>
      <w:bookmarkEnd w:id="60"/>
    </w:p>
    <w:p w14:paraId="0636CB1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生活圈规划</w:t>
      </w:r>
    </w:p>
    <w:p w14:paraId="7D709E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构建15分钟城镇生活圈。</w:t>
      </w:r>
      <w:r>
        <w:rPr>
          <w:rFonts w:hint="eastAsia" w:ascii="仿宋_GB2312" w:hAnsi="仿宋_GB2312" w:eastAsia="仿宋_GB2312"/>
          <w:sz w:val="32"/>
          <w:szCs w:val="32"/>
          <w:lang w:val="en-US" w:eastAsia="zh-CN"/>
        </w:rPr>
        <w:t>规划镇区形成1个15分钟生活圈，公共服务设施围绕镇政府相对集中设置形成片区中心。镇区西部主要发展餐饮、住宿等旅游服务业，设施配套上兼顾旅游服务人群需求。</w:t>
      </w:r>
    </w:p>
    <w:p w14:paraId="589188A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公共服务设施规划</w:t>
      </w:r>
    </w:p>
    <w:p w14:paraId="0EBE32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机关团体用地。</w:t>
      </w:r>
      <w:r>
        <w:rPr>
          <w:rFonts w:hint="eastAsia" w:ascii="仿宋_GB2312" w:hAnsi="仿宋_GB2312" w:eastAsia="仿宋_GB2312"/>
          <w:sz w:val="32"/>
          <w:szCs w:val="32"/>
          <w:lang w:val="en-US" w:eastAsia="zh-CN"/>
        </w:rPr>
        <w:t>规划机关团体用地面积4.19公顷，占规划城镇建设用地5.25%。主要为镇政府及相关部门、派出所和各村村委会所占用地，其中镇政府及相关部门集中办公，占地1.49公顷；村委会用地，占地0.16公顷，派出所用地，占地0.24公顷。</w:t>
      </w:r>
    </w:p>
    <w:p w14:paraId="4E88C2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教育用地。</w:t>
      </w:r>
      <w:r>
        <w:rPr>
          <w:rFonts w:hint="eastAsia" w:ascii="仿宋_GB2312" w:hAnsi="仿宋_GB2312" w:eastAsia="仿宋_GB2312"/>
          <w:sz w:val="32"/>
          <w:szCs w:val="32"/>
          <w:lang w:val="en-US" w:eastAsia="zh-CN"/>
        </w:rPr>
        <w:t>规划教育用地面积3.33公顷，占规划城镇建设用地4.17%。规划保留现状民族寄宿制小学，新增幼儿园1所与小学合建。</w:t>
      </w:r>
    </w:p>
    <w:p w14:paraId="21169F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体育用地。</w:t>
      </w:r>
      <w:r>
        <w:rPr>
          <w:rFonts w:hint="eastAsia" w:ascii="仿宋_GB2312" w:hAnsi="仿宋_GB2312" w:eastAsia="仿宋_GB2312"/>
          <w:sz w:val="32"/>
          <w:szCs w:val="32"/>
          <w:lang w:val="en-US" w:eastAsia="zh-CN"/>
        </w:rPr>
        <w:t>规划体育用地1.51公顷，占规划城镇建设用地1.89%。规划扩建现状体育场，增加必要的体育设施，</w:t>
      </w:r>
      <w:r>
        <w:rPr>
          <w:rFonts w:hint="eastAsia" w:ascii="仿宋_GB2312" w:hAnsi="仿宋_GB2312" w:eastAsia="仿宋_GB2312" w:cs="仿宋_GB2312"/>
          <w:sz w:val="32"/>
          <w:szCs w:val="32"/>
        </w:rPr>
        <w:t>主要包括篮球场、足球场等体育设施。</w:t>
      </w:r>
    </w:p>
    <w:p w14:paraId="39533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医疗卫生用地。</w:t>
      </w:r>
      <w:r>
        <w:rPr>
          <w:rFonts w:hint="eastAsia" w:ascii="仿宋_GB2312" w:hAnsi="仿宋_GB2312" w:eastAsia="仿宋_GB2312" w:cs="仿宋_GB2312"/>
          <w:sz w:val="32"/>
          <w:szCs w:val="32"/>
          <w:lang w:val="en-US" w:eastAsia="zh-CN"/>
        </w:rPr>
        <w:t>规划医疗卫生用地0.78公顷，占规划城镇建设用地0.97%。规划保留现状的倒淌河中心卫生院，在其原址上进行改造扩建</w:t>
      </w:r>
      <w:r>
        <w:rPr>
          <w:rFonts w:hint="eastAsia" w:ascii="仿宋_GB2312" w:hAnsi="仿宋_GB2312" w:eastAsia="仿宋_GB2312"/>
          <w:sz w:val="32"/>
          <w:szCs w:val="32"/>
          <w:lang w:val="en-US" w:eastAsia="zh-CN"/>
        </w:rPr>
        <w:t>。</w:t>
      </w:r>
    </w:p>
    <w:p w14:paraId="5D0214A9">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1" w:name="_Toc26221"/>
      <w:r>
        <w:rPr>
          <w:rFonts w:hint="eastAsia" w:ascii="Arial" w:hAnsi="Arial" w:eastAsia="黑体" w:cs="Times New Roman"/>
          <w:b w:val="0"/>
          <w:lang w:val="zh-CN"/>
        </w:rPr>
        <w:t>绿地和开敞空间</w:t>
      </w:r>
      <w:bookmarkEnd w:id="61"/>
    </w:p>
    <w:p w14:paraId="6154502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绿地</w:t>
      </w:r>
      <w:r>
        <w:rPr>
          <w:rFonts w:hint="eastAsia" w:ascii="楷体_GB2312" w:hAnsi="Times New Roman" w:eastAsia="楷体_GB2312" w:cs="Times New Roman"/>
          <w:bCs/>
          <w:sz w:val="32"/>
          <w:szCs w:val="32"/>
          <w:lang w:val="en-US" w:eastAsia="zh-CN"/>
        </w:rPr>
        <w:t>和开敞空间</w:t>
      </w:r>
      <w:r>
        <w:rPr>
          <w:rFonts w:hint="eastAsia" w:ascii="楷体_GB2312" w:hAnsi="Times New Roman" w:eastAsia="楷体_GB2312" w:cs="Times New Roman"/>
          <w:bCs/>
          <w:sz w:val="32"/>
          <w:szCs w:val="32"/>
        </w:rPr>
        <w:t>布局</w:t>
      </w:r>
    </w:p>
    <w:p w14:paraId="45E42D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优化调整绿地布局，完善绿地类型，科学配置绿地植物群落，提高绿地植物养护水平，丰富绿地的生物多样性和文化内涵，提升绿化质量。</w:t>
      </w:r>
      <w:r>
        <w:rPr>
          <w:rFonts w:hint="eastAsia" w:ascii="仿宋_GB2312" w:hAnsi="仿宋_GB2312" w:eastAsia="仿宋_GB2312" w:cs="仿宋_GB2312"/>
          <w:sz w:val="32"/>
          <w:szCs w:val="32"/>
          <w:u w:val="single"/>
          <w:lang w:val="en-US" w:eastAsia="zh-CN"/>
        </w:rPr>
        <w:t>镇区</w:t>
      </w:r>
      <w:r>
        <w:rPr>
          <w:rFonts w:hint="eastAsia" w:ascii="仿宋_GB2312" w:hAnsi="仿宋_GB2312" w:eastAsia="仿宋_GB2312" w:cs="仿宋_GB2312"/>
          <w:sz w:val="32"/>
          <w:szCs w:val="32"/>
          <w:u w:val="single"/>
          <w:lang w:val="zh-CN" w:eastAsia="zh-CN"/>
        </w:rPr>
        <w:t>规划绿地与开敞空间用地</w:t>
      </w:r>
      <w:r>
        <w:rPr>
          <w:rFonts w:hint="eastAsia" w:ascii="仿宋_GB2312" w:hAnsi="仿宋_GB2312" w:eastAsia="仿宋_GB2312" w:cs="仿宋_GB2312"/>
          <w:sz w:val="32"/>
          <w:szCs w:val="32"/>
          <w:u w:val="single"/>
          <w:lang w:val="en-US" w:eastAsia="zh-CN"/>
        </w:rPr>
        <w:t>4.99</w:t>
      </w:r>
      <w:r>
        <w:rPr>
          <w:rFonts w:hint="eastAsia" w:ascii="仿宋_GB2312" w:hAnsi="仿宋_GB2312" w:eastAsia="仿宋_GB2312" w:cs="仿宋_GB2312"/>
          <w:sz w:val="32"/>
          <w:szCs w:val="32"/>
          <w:u w:val="single"/>
          <w:lang w:val="zh-CN" w:eastAsia="zh-CN"/>
        </w:rPr>
        <w:t>公顷，其中，公园绿地</w:t>
      </w:r>
      <w:r>
        <w:rPr>
          <w:rFonts w:hint="eastAsia" w:ascii="仿宋_GB2312" w:hAnsi="仿宋_GB2312" w:eastAsia="仿宋_GB2312" w:cs="仿宋_GB2312"/>
          <w:sz w:val="32"/>
          <w:szCs w:val="32"/>
          <w:u w:val="single"/>
          <w:lang w:val="en-US" w:eastAsia="zh-CN"/>
        </w:rPr>
        <w:t>1.38</w:t>
      </w:r>
      <w:r>
        <w:rPr>
          <w:rFonts w:hint="eastAsia" w:ascii="仿宋_GB2312" w:hAnsi="仿宋_GB2312" w:eastAsia="仿宋_GB2312" w:cs="仿宋_GB2312"/>
          <w:sz w:val="32"/>
          <w:szCs w:val="32"/>
          <w:u w:val="single"/>
          <w:lang w:val="zh-CN" w:eastAsia="zh-CN"/>
        </w:rPr>
        <w:t>公顷，规划防护绿地</w:t>
      </w:r>
      <w:r>
        <w:rPr>
          <w:rFonts w:hint="eastAsia" w:ascii="仿宋_GB2312" w:hAnsi="仿宋_GB2312" w:eastAsia="仿宋_GB2312" w:cs="仿宋_GB2312"/>
          <w:sz w:val="32"/>
          <w:szCs w:val="32"/>
          <w:u w:val="single"/>
          <w:lang w:val="en-US" w:eastAsia="zh-CN"/>
        </w:rPr>
        <w:t>2.31</w:t>
      </w:r>
      <w:r>
        <w:rPr>
          <w:rFonts w:hint="eastAsia" w:ascii="仿宋_GB2312" w:hAnsi="仿宋_GB2312" w:eastAsia="仿宋_GB2312" w:cs="仿宋_GB2312"/>
          <w:sz w:val="32"/>
          <w:szCs w:val="32"/>
          <w:u w:val="single"/>
          <w:lang w:val="zh-CN" w:eastAsia="zh-CN"/>
        </w:rPr>
        <w:t>公顷，广场</w:t>
      </w:r>
      <w:r>
        <w:rPr>
          <w:rFonts w:hint="eastAsia" w:ascii="仿宋_GB2312" w:hAnsi="仿宋_GB2312" w:eastAsia="仿宋_GB2312" w:cs="仿宋_GB2312"/>
          <w:sz w:val="32"/>
          <w:szCs w:val="32"/>
          <w:u w:val="single"/>
          <w:lang w:val="en-US" w:eastAsia="zh-CN"/>
        </w:rPr>
        <w:t>用地1.30</w:t>
      </w:r>
      <w:r>
        <w:rPr>
          <w:rFonts w:hint="eastAsia" w:ascii="仿宋_GB2312" w:hAnsi="仿宋_GB2312" w:eastAsia="仿宋_GB2312" w:cs="仿宋_GB2312"/>
          <w:sz w:val="32"/>
          <w:szCs w:val="32"/>
          <w:u w:val="single"/>
          <w:lang w:val="zh-CN" w:eastAsia="zh-CN"/>
        </w:rPr>
        <w:t>公顷。</w:t>
      </w:r>
      <w:r>
        <w:rPr>
          <w:rFonts w:hint="eastAsia" w:ascii="仿宋_GB2312" w:hAnsi="仿宋_GB2312" w:eastAsia="仿宋_GB2312" w:cs="仿宋_GB2312"/>
          <w:sz w:val="32"/>
          <w:szCs w:val="32"/>
          <w:lang w:val="zh-CN" w:eastAsia="zh-CN"/>
        </w:rPr>
        <w:t>规划至2035年，</w:t>
      </w:r>
      <w:r>
        <w:rPr>
          <w:rFonts w:hint="eastAsia" w:ascii="仿宋_GB2312" w:hAnsi="仿宋_GB2312" w:eastAsia="仿宋_GB2312" w:cs="仿宋_GB2312"/>
          <w:sz w:val="32"/>
          <w:szCs w:val="32"/>
          <w:lang w:val="en-US" w:eastAsia="zh-CN"/>
        </w:rPr>
        <w:t>镇区</w:t>
      </w:r>
      <w:r>
        <w:rPr>
          <w:rFonts w:hint="eastAsia" w:ascii="仿宋_GB2312" w:hAnsi="仿宋_GB2312" w:eastAsia="仿宋_GB2312" w:cs="仿宋_GB2312"/>
          <w:sz w:val="32"/>
          <w:szCs w:val="32"/>
          <w:lang w:val="zh-CN" w:eastAsia="zh-CN"/>
        </w:rPr>
        <w:t>人均公园绿地面积</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平方米。</w:t>
      </w:r>
    </w:p>
    <w:p w14:paraId="2429CCD2">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2" w:name="_Toc3677"/>
      <w:r>
        <w:rPr>
          <w:rFonts w:hint="eastAsia" w:ascii="Arial" w:hAnsi="Arial" w:eastAsia="黑体" w:cs="Times New Roman"/>
          <w:b w:val="0"/>
          <w:lang w:val="zh-CN"/>
        </w:rPr>
        <w:t>综合交通体系</w:t>
      </w:r>
      <w:bookmarkEnd w:id="62"/>
    </w:p>
    <w:p w14:paraId="377C59F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强化对外交通衔接</w:t>
      </w:r>
    </w:p>
    <w:p w14:paraId="6DCE29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内外交通有序衔接，融入区域高快速路网，充分发挥</w:t>
      </w:r>
      <w:r>
        <w:rPr>
          <w:rFonts w:hint="eastAsia" w:ascii="仿宋_GB2312" w:hAnsi="仿宋_GB2312" w:eastAsia="仿宋_GB2312" w:cs="仿宋_GB2312"/>
          <w:sz w:val="32"/>
          <w:szCs w:val="32"/>
          <w:lang w:val="en-US" w:eastAsia="zh-CN"/>
        </w:rPr>
        <w:t>倒淌河镇</w:t>
      </w:r>
      <w:r>
        <w:rPr>
          <w:rFonts w:hint="eastAsia" w:ascii="仿宋_GB2312" w:hAnsi="仿宋_GB2312" w:eastAsia="仿宋_GB2312" w:cs="仿宋_GB2312"/>
          <w:sz w:val="32"/>
          <w:szCs w:val="32"/>
          <w:lang w:val="zh-CN" w:eastAsia="zh-CN"/>
        </w:rPr>
        <w:t>作为</w:t>
      </w:r>
      <w:r>
        <w:rPr>
          <w:rFonts w:hint="eastAsia" w:ascii="仿宋_GB2312" w:hAnsi="仿宋_GB2312" w:eastAsia="仿宋_GB2312" w:cs="仿宋_GB2312"/>
          <w:sz w:val="32"/>
          <w:szCs w:val="32"/>
          <w:lang w:val="en-US" w:eastAsia="zh-CN"/>
        </w:rPr>
        <w:t>共和县门户</w:t>
      </w:r>
      <w:r>
        <w:rPr>
          <w:rFonts w:hint="eastAsia" w:ascii="仿宋_GB2312" w:hAnsi="仿宋_GB2312" w:eastAsia="仿宋_GB2312" w:cs="仿宋_GB2312"/>
          <w:sz w:val="32"/>
          <w:szCs w:val="32"/>
          <w:lang w:val="zh-CN" w:eastAsia="zh-CN"/>
        </w:rPr>
        <w:t>的优势，统筹各种交通方式及与其他区域、城市之间的协调发展。</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青海湖旅游专线、</w:t>
      </w:r>
      <w:r>
        <w:rPr>
          <w:rFonts w:hint="eastAsia" w:ascii="仿宋_GB2312" w:hAnsi="仿宋_GB2312" w:eastAsia="仿宋_GB2312" w:cs="仿宋_GB2312"/>
          <w:sz w:val="32"/>
          <w:szCs w:val="32"/>
          <w:lang w:val="en-US" w:eastAsia="zh-CN"/>
        </w:rPr>
        <w:t>国道</w:t>
      </w:r>
      <w:r>
        <w:rPr>
          <w:rFonts w:hint="eastAsia" w:ascii="仿宋_GB2312" w:hAnsi="仿宋_GB2312" w:eastAsia="仿宋_GB2312" w:cs="仿宋_GB2312"/>
          <w:sz w:val="32"/>
          <w:szCs w:val="32"/>
        </w:rPr>
        <w:t>214、</w:t>
      </w:r>
      <w:r>
        <w:rPr>
          <w:rFonts w:hint="eastAsia" w:ascii="仿宋_GB2312" w:hAnsi="仿宋_GB2312" w:eastAsia="仿宋_GB2312" w:cs="仿宋_GB2312"/>
          <w:sz w:val="32"/>
          <w:szCs w:val="32"/>
          <w:lang w:val="en-US" w:eastAsia="zh-CN"/>
        </w:rPr>
        <w:t>国道</w:t>
      </w:r>
      <w:r>
        <w:rPr>
          <w:rFonts w:hint="eastAsia" w:ascii="仿宋_GB2312" w:hAnsi="仿宋_GB2312" w:eastAsia="仿宋_GB2312" w:cs="仿宋_GB2312"/>
          <w:sz w:val="32"/>
          <w:szCs w:val="32"/>
        </w:rPr>
        <w:t>109以及</w:t>
      </w:r>
      <w:r>
        <w:rPr>
          <w:rFonts w:hint="eastAsia" w:ascii="仿宋_GB2312" w:hAnsi="仿宋_GB2312" w:eastAsia="仿宋_GB2312" w:cs="仿宋_GB2312"/>
          <w:sz w:val="32"/>
          <w:szCs w:val="32"/>
          <w:lang w:val="en-US" w:eastAsia="zh-CN"/>
        </w:rPr>
        <w:t>G6（</w:t>
      </w:r>
      <w:r>
        <w:rPr>
          <w:rFonts w:hint="eastAsia" w:ascii="仿宋_GB2312" w:hAnsi="仿宋_GB2312" w:eastAsia="仿宋_GB2312" w:cs="仿宋_GB2312"/>
          <w:sz w:val="32"/>
          <w:szCs w:val="32"/>
        </w:rPr>
        <w:t>京藏高速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与周边区域联系。拟建西宁至茶卡城际铁路</w:t>
      </w:r>
      <w:r>
        <w:rPr>
          <w:rFonts w:hint="eastAsia" w:ascii="仿宋_GB2312" w:hAnsi="仿宋_GB2312" w:eastAsia="仿宋_GB2312" w:cs="仿宋_GB2312"/>
          <w:sz w:val="32"/>
          <w:szCs w:val="32"/>
          <w:lang w:val="en-US" w:eastAsia="zh-CN"/>
        </w:rPr>
        <w:t>倒淌河</w:t>
      </w:r>
      <w:r>
        <w:rPr>
          <w:rFonts w:hint="eastAsia" w:ascii="仿宋_GB2312" w:hAnsi="仿宋_GB2312" w:eastAsia="仿宋_GB2312" w:cs="仿宋_GB2312"/>
          <w:sz w:val="32"/>
          <w:szCs w:val="32"/>
          <w:lang w:val="zh-CN" w:eastAsia="zh-CN"/>
        </w:rPr>
        <w:t>站位于镇区</w:t>
      </w:r>
      <w:r>
        <w:rPr>
          <w:rFonts w:hint="eastAsia" w:ascii="仿宋_GB2312" w:hAnsi="仿宋_GB2312" w:eastAsia="仿宋_GB2312" w:cs="仿宋_GB2312"/>
          <w:sz w:val="32"/>
          <w:szCs w:val="32"/>
          <w:lang w:val="en-US" w:eastAsia="zh-CN"/>
        </w:rPr>
        <w:t>北</w:t>
      </w:r>
      <w:r>
        <w:rPr>
          <w:rFonts w:hint="eastAsia" w:ascii="仿宋_GB2312" w:hAnsi="仿宋_GB2312" w:eastAsia="仿宋_GB2312" w:cs="仿宋_GB2312"/>
          <w:sz w:val="32"/>
          <w:szCs w:val="32"/>
          <w:lang w:val="zh-CN" w:eastAsia="zh-CN"/>
        </w:rPr>
        <w:t>部，规划在镇区和铁路车站之间建设连接公路，构建对外铁路交通，主动融入区域铁路网。</w:t>
      </w:r>
    </w:p>
    <w:p w14:paraId="6C9BA6F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完善</w:t>
      </w:r>
      <w:r>
        <w:rPr>
          <w:rFonts w:hint="eastAsia" w:ascii="楷体_GB2312" w:hAnsi="Times New Roman" w:eastAsia="楷体_GB2312" w:cs="Times New Roman"/>
          <w:bCs/>
          <w:sz w:val="32"/>
          <w:szCs w:val="32"/>
          <w:lang w:val="en-US" w:eastAsia="zh-CN"/>
        </w:rPr>
        <w:t>镇区</w:t>
      </w:r>
      <w:r>
        <w:rPr>
          <w:rFonts w:hint="eastAsia" w:ascii="楷体_GB2312" w:hAnsi="Times New Roman" w:eastAsia="楷体_GB2312" w:cs="Times New Roman"/>
          <w:bCs/>
          <w:sz w:val="32"/>
          <w:szCs w:val="32"/>
        </w:rPr>
        <w:t>道路系统</w:t>
      </w:r>
    </w:p>
    <w:p w14:paraId="02CAC614">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zh-CN" w:eastAsia="zh-CN"/>
        </w:rPr>
        <w:t>构建干支协同、布局合理的</w:t>
      </w:r>
      <w:r>
        <w:rPr>
          <w:rFonts w:hint="eastAsia" w:ascii="楷体_GB2312" w:hAnsi="楷体_GB2312" w:eastAsia="楷体_GB2312" w:cs="楷体_GB2312"/>
          <w:sz w:val="32"/>
          <w:szCs w:val="32"/>
          <w:lang w:val="en-US" w:eastAsia="zh-CN"/>
        </w:rPr>
        <w:t>城镇</w:t>
      </w:r>
      <w:r>
        <w:rPr>
          <w:rFonts w:hint="eastAsia" w:ascii="楷体_GB2312" w:hAnsi="楷体_GB2312" w:eastAsia="楷体_GB2312" w:cs="楷体_GB2312"/>
          <w:sz w:val="32"/>
          <w:szCs w:val="32"/>
          <w:lang w:val="zh-CN" w:eastAsia="zh-CN"/>
        </w:rPr>
        <w:t>道路系统。</w:t>
      </w:r>
      <w:r>
        <w:rPr>
          <w:rFonts w:hint="eastAsia" w:ascii="仿宋_GB2312" w:hAnsi="仿宋_GB2312" w:eastAsia="仿宋_GB2312" w:cs="仿宋_GB2312"/>
          <w:sz w:val="32"/>
          <w:szCs w:val="32"/>
          <w:lang w:val="zh-CN" w:eastAsia="zh-CN"/>
        </w:rPr>
        <w:t>规划</w:t>
      </w:r>
      <w:r>
        <w:rPr>
          <w:rFonts w:hint="eastAsia" w:ascii="仿宋_GB2312" w:hAnsi="仿宋_GB2312" w:eastAsia="仿宋_GB2312" w:cs="仿宋_GB2312"/>
          <w:sz w:val="32"/>
          <w:szCs w:val="32"/>
          <w:lang w:val="en-US" w:eastAsia="zh-CN"/>
        </w:rPr>
        <w:t>镇区</w:t>
      </w:r>
      <w:r>
        <w:rPr>
          <w:rFonts w:hint="eastAsia" w:ascii="仿宋_GB2312" w:hAnsi="仿宋_GB2312" w:eastAsia="仿宋_GB2312" w:cs="仿宋_GB2312"/>
          <w:sz w:val="32"/>
          <w:szCs w:val="32"/>
          <w:lang w:val="zh-CN" w:eastAsia="zh-CN"/>
        </w:rPr>
        <w:t>道路网络包括主干路、次干路、支路三个等级，适度提升</w:t>
      </w:r>
      <w:r>
        <w:rPr>
          <w:rFonts w:hint="eastAsia" w:ascii="仿宋_GB2312" w:hAnsi="仿宋_GB2312" w:eastAsia="仿宋_GB2312" w:cs="仿宋_GB2312"/>
          <w:sz w:val="32"/>
          <w:szCs w:val="32"/>
          <w:lang w:val="en-US" w:eastAsia="zh-CN"/>
        </w:rPr>
        <w:t>镇区</w:t>
      </w:r>
      <w:r>
        <w:rPr>
          <w:rFonts w:hint="eastAsia" w:ascii="仿宋_GB2312" w:hAnsi="仿宋_GB2312" w:eastAsia="仿宋_GB2312" w:cs="仿宋_GB2312"/>
          <w:sz w:val="32"/>
          <w:szCs w:val="32"/>
          <w:lang w:val="zh-CN" w:eastAsia="zh-CN"/>
        </w:rPr>
        <w:t>路网密度，合理预控弹性道路，总体路网密度控制不低于8千米/平方千米。</w:t>
      </w:r>
    </w:p>
    <w:p w14:paraId="4C0BFD61">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合理控制道路红线宽度。</w:t>
      </w:r>
      <w:r>
        <w:rPr>
          <w:rFonts w:hint="eastAsia" w:ascii="仿宋_GB2312" w:hAnsi="仿宋_GB2312" w:eastAsia="仿宋_GB2312" w:cs="仿宋_GB2312"/>
          <w:sz w:val="32"/>
          <w:szCs w:val="32"/>
          <w:lang w:val="zh-CN" w:eastAsia="zh-CN"/>
        </w:rPr>
        <w:t>节约用地，打造尺度宜居的街道空间，主干路红线宽度控制在30米（保留现状国道109镇区段道路红线宽度），次干路</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20-24米，支路</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12米和16米。</w:t>
      </w:r>
    </w:p>
    <w:p w14:paraId="23C3D0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科学配置道路横断面空间。</w:t>
      </w:r>
      <w:r>
        <w:rPr>
          <w:rFonts w:hint="eastAsia" w:ascii="仿宋_GB2312" w:hAnsi="仿宋_GB2312" w:eastAsia="仿宋_GB2312" w:cs="仿宋_GB2312"/>
          <w:sz w:val="32"/>
          <w:szCs w:val="32"/>
          <w:lang w:val="zh-CN" w:eastAsia="zh-CN"/>
        </w:rPr>
        <w:t>根据道路等级功能，合理配置人行道、非机动车道、机动车道、道路绿化及附属设施空间，主干路以单幅路、三幅路为主，次干路以单幅路为主，营造友好慢行环境。</w:t>
      </w:r>
    </w:p>
    <w:p w14:paraId="28F16EB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优化公共交通布局</w:t>
      </w:r>
    </w:p>
    <w:p w14:paraId="4090F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提升</w:t>
      </w:r>
      <w:r>
        <w:rPr>
          <w:rFonts w:hint="eastAsia" w:ascii="楷体_GB2312" w:hAnsi="楷体_GB2312" w:eastAsia="楷体_GB2312" w:cs="楷体_GB2312"/>
          <w:sz w:val="32"/>
          <w:szCs w:val="32"/>
          <w:lang w:val="en-US" w:eastAsia="zh-CN"/>
        </w:rPr>
        <w:t>城乡</w:t>
      </w:r>
      <w:r>
        <w:rPr>
          <w:rFonts w:hint="eastAsia" w:ascii="楷体_GB2312" w:hAnsi="楷体_GB2312" w:eastAsia="楷体_GB2312" w:cs="楷体_GB2312"/>
          <w:sz w:val="32"/>
          <w:szCs w:val="32"/>
          <w:lang w:val="zh-CN" w:eastAsia="zh-CN"/>
        </w:rPr>
        <w:t>公交线网覆盖水平。</w:t>
      </w:r>
      <w:r>
        <w:rPr>
          <w:rFonts w:hint="eastAsia" w:ascii="仿宋_GB2312" w:hAnsi="仿宋_GB2312" w:eastAsia="仿宋_GB2312" w:cs="仿宋_GB2312"/>
          <w:sz w:val="32"/>
          <w:szCs w:val="32"/>
          <w:lang w:val="zh-CN" w:eastAsia="zh-CN"/>
        </w:rPr>
        <w:t>以打造快捷舒适的公众出行体系为目标，适当提升公交骨干线路密度与线路重复系数，形成若干公交换乘枢纽站点。围绕公交枢纽延伸支线公路或接驳公交，形成功能清晰、衔接有序、覆盖全面的公共交通线网。</w:t>
      </w:r>
    </w:p>
    <w:p w14:paraId="4128CC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倒淌河镇区</w:t>
      </w:r>
      <w:r>
        <w:rPr>
          <w:rFonts w:hint="eastAsia" w:ascii="仿宋_GB2312" w:hAnsi="仿宋_GB2312" w:eastAsia="仿宋_GB2312" w:cs="仿宋_GB2312"/>
          <w:sz w:val="32"/>
          <w:szCs w:val="32"/>
          <w:lang w:val="zh-CN" w:eastAsia="zh-CN"/>
        </w:rPr>
        <w:t>现有客运站1处，</w:t>
      </w:r>
      <w:r>
        <w:rPr>
          <w:rFonts w:hint="eastAsia" w:ascii="仿宋_GB2312" w:hAnsi="仿宋_GB2312" w:eastAsia="仿宋_GB2312" w:cs="仿宋_GB2312"/>
          <w:sz w:val="32"/>
          <w:szCs w:val="32"/>
          <w:lang w:val="en-US" w:eastAsia="zh-CN"/>
        </w:rPr>
        <w:t>占地面积0.96公顷，规划对现状客运站进行提升改造，提升基础设施规范化水平，提升旅客服务体验感，鼓励新建的公交场站设施与公园、广场、商业综合体、其他市政配套设施等用地混合开发、—体化建设。</w:t>
      </w:r>
    </w:p>
    <w:p w14:paraId="06AC512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补齐停车设施短板</w:t>
      </w:r>
    </w:p>
    <w:p w14:paraId="561A4D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打造供需平衡的公共停车设施体系。</w:t>
      </w:r>
      <w:r>
        <w:rPr>
          <w:rFonts w:hint="eastAsia" w:ascii="仿宋_GB2312" w:hAnsi="仿宋_GB2312" w:eastAsia="仿宋_GB2312" w:cs="仿宋_GB2312"/>
          <w:sz w:val="32"/>
          <w:szCs w:val="32"/>
          <w:lang w:val="en-US" w:eastAsia="zh-CN"/>
        </w:rPr>
        <w:t>充分考虑倒淌河镇区在旅游高峰期间的停车需求，结合商业商务、休闲娱乐、旅游中心等公共服务设施，合理布局公共停车设施。规划在镇区新增公共停车场2处，面积约1.27公顷，预计可提供公共停车泊位约300个。同时考虑过境车辆日常需求，在镇区主要道路沿街设置路内停车位。</w:t>
      </w:r>
    </w:p>
    <w:p w14:paraId="67C4F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完善建筑物配建停车设施标准，按照“大类+小类”的分类指导模式，根据建筑物功能、特征划分，合理制定配建标准。对于大型设施、综合体等功能混合的建筑物，根据停车设施产权、共享等要求，合理确定配建标准</w:t>
      </w:r>
      <w:r>
        <w:rPr>
          <w:rFonts w:hint="eastAsia" w:ascii="仿宋_GB2312" w:hAnsi="仿宋_GB2312" w:eastAsia="仿宋_GB2312" w:cs="仿宋_GB2312"/>
          <w:sz w:val="32"/>
          <w:szCs w:val="32"/>
          <w:lang w:val="en-US" w:eastAsia="zh-CN"/>
        </w:rPr>
        <w:t>。</w:t>
      </w:r>
    </w:p>
    <w:p w14:paraId="1612C96D">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3" w:name="_Toc30754"/>
      <w:r>
        <w:rPr>
          <w:rFonts w:hint="eastAsia" w:ascii="Arial" w:hAnsi="Arial" w:eastAsia="黑体" w:cs="Times New Roman"/>
          <w:b w:val="0"/>
          <w:lang w:val="zh-CN"/>
        </w:rPr>
        <w:t>市政基础设施布局</w:t>
      </w:r>
      <w:bookmarkEnd w:id="63"/>
    </w:p>
    <w:p w14:paraId="5DAFEDB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给水工程</w:t>
      </w:r>
    </w:p>
    <w:p w14:paraId="45B1AE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用水量：镇区日用水量约2000立方米/日。</w:t>
      </w:r>
    </w:p>
    <w:p w14:paraId="38D74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水源：近期水源为蒙古村新增水源地。规划保留现状拉乙亥路东侧的给水房，并进行升级改造，增加防护措施，占地面积约0.01公顷。远期规划通过布哈河引水，推进环湖五镇供水骨干工程，进行补给水量。</w:t>
      </w:r>
    </w:p>
    <w:p w14:paraId="345F5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管网规划：</w:t>
      </w:r>
      <w:r>
        <w:rPr>
          <w:rFonts w:hint="eastAsia" w:ascii="仿宋_GB2312" w:hAnsi="仿宋_GB2312" w:eastAsia="仿宋_GB2312" w:cs="仿宋_GB2312"/>
          <w:sz w:val="32"/>
          <w:szCs w:val="32"/>
        </w:rPr>
        <w:t>镇区供水管网布置以环状为主，枝状为辅，形成环状和枝状相结合的供水系统，以保障水压稳定。规划沿</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路铺设给水管道</w:t>
      </w:r>
      <w:r>
        <w:rPr>
          <w:rFonts w:hint="eastAsia" w:ascii="仿宋_GB2312" w:hAnsi="仿宋_GB2312" w:eastAsia="仿宋_GB2312" w:cs="仿宋_GB2312"/>
          <w:sz w:val="32"/>
          <w:szCs w:val="32"/>
          <w:lang w:eastAsia="zh-CN"/>
        </w:rPr>
        <w:t>。</w:t>
      </w:r>
    </w:p>
    <w:p w14:paraId="6081B05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排水工程</w:t>
      </w:r>
    </w:p>
    <w:p w14:paraId="080589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镇区采用雨、污分流制排水体制。</w:t>
      </w:r>
      <w:r>
        <w:rPr>
          <w:rFonts w:hint="eastAsia" w:ascii="仿宋_GB2312" w:hAnsi="仿宋_GB2312" w:eastAsia="仿宋_GB2312" w:cs="仿宋_GB2312"/>
          <w:sz w:val="32"/>
          <w:szCs w:val="32"/>
          <w:lang w:val="en-US" w:eastAsia="zh-CN"/>
        </w:rPr>
        <w:t>雨水就近排入河流水体，污水经污水管网系统收集处理后送入污水处理厂处理。</w:t>
      </w:r>
    </w:p>
    <w:p w14:paraId="27596C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雨水排除规划。</w:t>
      </w:r>
      <w:r>
        <w:rPr>
          <w:rFonts w:hint="eastAsia" w:ascii="仿宋_GB2312" w:hAnsi="仿宋_GB2312" w:eastAsia="仿宋_GB2312" w:cs="仿宋_GB2312"/>
          <w:sz w:val="32"/>
          <w:szCs w:val="32"/>
          <w:lang w:val="en-US" w:eastAsia="zh-CN"/>
        </w:rPr>
        <w:t>雨水采用重力自流的排放方式。依据雨水排放原则，就近排入规划水体或市政雨水系统中，以缩短排水距离，减小雨水管渠断面及埋深。</w:t>
      </w:r>
    </w:p>
    <w:p w14:paraId="46C492B8">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污水排除规划。</w:t>
      </w:r>
      <w:r>
        <w:rPr>
          <w:rFonts w:hint="eastAsia" w:ascii="仿宋_GB2312" w:hAnsi="仿宋_GB2312" w:eastAsia="仿宋_GB2312" w:cs="仿宋_GB2312"/>
          <w:sz w:val="32"/>
          <w:szCs w:val="32"/>
          <w:lang w:val="en-US" w:eastAsia="zh-CN"/>
        </w:rPr>
        <w:t>镇区</w:t>
      </w:r>
      <w:r>
        <w:rPr>
          <w:rFonts w:hint="eastAsia" w:ascii="仿宋_GB2312" w:hAnsi="仿宋_GB2312" w:eastAsia="仿宋_GB2312" w:cs="仿宋_GB2312"/>
          <w:sz w:val="32"/>
          <w:szCs w:val="32"/>
        </w:rPr>
        <w:t>污水量为1</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0立方米/天。镇区</w:t>
      </w:r>
      <w:r>
        <w:rPr>
          <w:rFonts w:hint="eastAsia" w:ascii="仿宋_GB2312" w:hAnsi="仿宋_GB2312" w:eastAsia="仿宋_GB2312" w:cs="仿宋_GB2312"/>
          <w:sz w:val="32"/>
          <w:szCs w:val="32"/>
          <w:lang w:val="en-US" w:eastAsia="zh-CN"/>
        </w:rPr>
        <w:t>北部已</w:t>
      </w:r>
      <w:r>
        <w:rPr>
          <w:rFonts w:hint="eastAsia" w:ascii="仿宋_GB2312" w:hAnsi="仿宋_GB2312" w:eastAsia="仿宋_GB2312" w:cs="仿宋_GB2312"/>
          <w:sz w:val="32"/>
          <w:szCs w:val="32"/>
        </w:rPr>
        <w:t>建一处污水处理厂，占地 0.94公顷，处理规模为2000立方米/天。污水管道系统布置按照地形趋势和道路坡度，采用重力流形式排放。污水管道</w:t>
      </w:r>
      <w:r>
        <w:rPr>
          <w:rFonts w:hint="eastAsia" w:ascii="仿宋_GB2312" w:hAnsi="仿宋_GB2312" w:eastAsia="仿宋_GB2312" w:cs="仿宋_GB2312"/>
          <w:sz w:val="32"/>
          <w:szCs w:val="32"/>
          <w:lang w:val="en-US" w:eastAsia="zh-CN"/>
        </w:rPr>
        <w:t>沿主要道路敷设</w:t>
      </w:r>
      <w:r>
        <w:rPr>
          <w:rFonts w:hint="eastAsia" w:ascii="仿宋_GB2312" w:hAnsi="仿宋_GB2312" w:eastAsia="仿宋_GB2312" w:cs="仿宋_GB2312"/>
          <w:sz w:val="32"/>
          <w:szCs w:val="32"/>
        </w:rPr>
        <w:t>。</w:t>
      </w:r>
    </w:p>
    <w:p w14:paraId="42DB25C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电力工程</w:t>
      </w:r>
    </w:p>
    <w:p w14:paraId="54369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区综合用电负荷为1600万KWh，电源来自倒淌河35kV变电站。规划将变电站扩容改建，提升为110KV变电站，用地面积0.19公顷。电力线路采用架空线路形式敷设，满足现状变电站改扩建及高压走廊用地需求，110千伏线路高压线走廊宽度15-25米；35千伏线路高压线走廊宽度15-20米。</w:t>
      </w:r>
    </w:p>
    <w:p w14:paraId="665C946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燃气工程</w:t>
      </w:r>
    </w:p>
    <w:p w14:paraId="09EFE1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镇区燃气采用天然气，气源为“涩宁兰”输气管道输送的管道天然气。规划结合倒淌河分输阀室新建倒淌河配气站，占地面积约 0.20公顷。规划采用中低压两级燃气管网系统，镇区采用中压燃气干管成环布置，保障供气可靠性。</w:t>
      </w:r>
    </w:p>
    <w:p w14:paraId="0BEE753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供热工程</w:t>
      </w:r>
    </w:p>
    <w:p w14:paraId="63D9AE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保留现状供热站，位于共和路南侧，占地面积0.22公顷。规划近期采用分散式供暖，其中党政机关、企事业单位以燃气供热站集中供暖为主，其余用地以太阳能、壁挂锅炉和电力分户等方式供暖为主，远期全部采用集中供暖。</w:t>
      </w:r>
    </w:p>
    <w:p w14:paraId="6D5ED3B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通信工程</w:t>
      </w:r>
    </w:p>
    <w:p w14:paraId="349A2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倒淌河镇通信局站、邮政支局、5G基站用地，规划新增电信端局一座，位于青海湖旅游专线与共和路交叉口南侧，占地面积0.35公顷；提升改建现状倒淌河镇邮政所，服务全镇人口，邮政所建筑面积290㎡。镇区的有线电视建设应充分发挥、利用现有网络功能，加快用户光缆网的建设，使区内的有线电视网络逐步由目前的光纤、电缆混合网向全光纤网过渡。根据倒淌河镇的发展实际，规划有线电视入户率达90％以上。</w:t>
      </w:r>
    </w:p>
    <w:p w14:paraId="77D18B2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环卫工程</w:t>
      </w:r>
    </w:p>
    <w:p w14:paraId="48648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的收集采用垃圾袋装化分类收集方式，经垃圾转运站压缩处理后转运到生活垃圾填埋场处理；建筑垃圾应由部门成立专门管理小组，统一管理，统一收运利用；医院垃圾须装入医院专用的密封袋中，禁止混入生活垃圾，由环卫部门统一收集后作焚烧或消毒处理，所有垃圾采用密闭清运的运输方式。</w:t>
      </w:r>
    </w:p>
    <w:p w14:paraId="215B3C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规划保留</w:t>
      </w:r>
      <w:r>
        <w:rPr>
          <w:rFonts w:hint="eastAsia" w:ascii="仿宋_GB2312" w:hAnsi="仿宋_GB2312" w:eastAsia="仿宋_GB2312" w:cs="仿宋_GB2312"/>
          <w:sz w:val="32"/>
          <w:szCs w:val="32"/>
        </w:rPr>
        <w:t>镇域</w:t>
      </w:r>
      <w:r>
        <w:rPr>
          <w:rFonts w:hint="eastAsia" w:ascii="仿宋_GB2312" w:hAnsi="仿宋_GB2312" w:eastAsia="仿宋_GB2312" w:cs="仿宋_GB2312"/>
          <w:sz w:val="32"/>
          <w:szCs w:val="32"/>
          <w:lang w:val="en-US" w:eastAsia="zh-CN"/>
        </w:rPr>
        <w:t>现状垃圾填埋场</w:t>
      </w:r>
      <w:r>
        <w:rPr>
          <w:rFonts w:hint="eastAsia" w:ascii="仿宋_GB2312" w:hAnsi="仿宋_GB2312" w:eastAsia="仿宋_GB2312" w:cs="仿宋_GB2312"/>
          <w:sz w:val="32"/>
          <w:szCs w:val="32"/>
        </w:rPr>
        <w:t>，位于镇区西南约2公里处，占地面积约</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并为未来发展预留扩建用地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镇区</w:t>
      </w:r>
      <w:r>
        <w:rPr>
          <w:rFonts w:hint="eastAsia" w:ascii="仿宋_GB2312" w:hAnsi="仿宋_GB2312" w:eastAsia="仿宋_GB2312" w:cs="仿宋_GB2312"/>
          <w:sz w:val="32"/>
          <w:szCs w:val="32"/>
        </w:rPr>
        <w:t>规划2处小型垃圾转运站，集垃圾暂存、分拣、压缩、处理、转运以及环卫车辆停放等功能于一体。</w:t>
      </w:r>
    </w:p>
    <w:p w14:paraId="74BDD9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每座公共厕所占地面积不小于60平方米；附建式公厕与其他建筑合建，每座建筑面积不小于30平方米。所有公厕均按不低于二类标准建造，主要布置于交通道路两侧、社会停车场、公园绿地等处，或设置于各公共服务设施区域、加油站、公交站及大型公建内。</w:t>
      </w:r>
    </w:p>
    <w:p w14:paraId="472A78A5">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4" w:name="_Toc23490"/>
      <w:r>
        <w:rPr>
          <w:rFonts w:hint="eastAsia" w:ascii="Arial" w:hAnsi="Arial" w:eastAsia="黑体" w:cs="Times New Roman"/>
          <w:b w:val="0"/>
          <w:lang w:val="zh-CN"/>
        </w:rPr>
        <w:t>综合防灾减灾</w:t>
      </w:r>
      <w:bookmarkEnd w:id="64"/>
    </w:p>
    <w:p w14:paraId="5D641B2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抗震减灾</w:t>
      </w:r>
    </w:p>
    <w:p w14:paraId="30289E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u w:val="none"/>
          <w:lang w:val="en-US" w:eastAsia="zh-CN"/>
        </w:rPr>
        <w:t>倒淌河镇镇区</w:t>
      </w:r>
      <w:r>
        <w:rPr>
          <w:rFonts w:hint="eastAsia" w:ascii="仿宋_GB2312" w:hAnsi="仿宋_GB2312" w:eastAsia="仿宋_GB2312" w:cs="仿宋_GB2312"/>
          <w:sz w:val="32"/>
          <w:szCs w:val="32"/>
          <w:u w:val="none"/>
          <w:lang w:val="zh-CN" w:eastAsia="zh-CN"/>
        </w:rPr>
        <w:t>地震峰值加速度0.10g，</w:t>
      </w:r>
      <w:r>
        <w:rPr>
          <w:rFonts w:hint="eastAsia" w:ascii="仿宋_GB2312" w:hAnsi="仿宋_GB2312" w:eastAsia="仿宋_GB2312" w:cs="仿宋_GB2312"/>
          <w:sz w:val="32"/>
          <w:szCs w:val="32"/>
          <w:u w:val="single"/>
          <w:lang w:val="zh-CN" w:eastAsia="zh-CN"/>
        </w:rPr>
        <w:t>建设工程按照不低于地震烈度7度设防；</w:t>
      </w:r>
      <w:r>
        <w:rPr>
          <w:rFonts w:hint="eastAsia" w:ascii="仿宋_GB2312" w:hAnsi="仿宋_GB2312" w:eastAsia="仿宋_GB2312" w:cs="仿宋_GB2312"/>
          <w:sz w:val="32"/>
          <w:szCs w:val="32"/>
          <w:lang w:val="zh-CN" w:eastAsia="zh-CN"/>
        </w:rPr>
        <w:t>学校、医院等人员密集场所的建设工程，主要建筑应按照地震动峰值加速度提高至0.15g，作为此类建设工程的抗震设防要求；重大建设工程和可能发生严重次生灾害的建设工程，应当进行地震安全性评价，并按地震安全性评价报告结果确定其抗震设防要求。</w:t>
      </w:r>
    </w:p>
    <w:p w14:paraId="5830F38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防洪工程</w:t>
      </w:r>
    </w:p>
    <w:p w14:paraId="0BDF29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倒淌河镇区防洪工程按20年一遇标准设防，排涝标准为20年一遇。</w:t>
      </w:r>
      <w:r>
        <w:rPr>
          <w:rFonts w:hint="eastAsia" w:ascii="仿宋_GB2312" w:hAnsi="仿宋_GB2312" w:eastAsia="仿宋_GB2312" w:cs="仿宋_GB2312"/>
          <w:sz w:val="32"/>
          <w:szCs w:val="32"/>
          <w:lang w:val="en-US" w:eastAsia="zh-CN"/>
        </w:rPr>
        <w:t>完善倒淌河堤防达标建设，按照洪涝风险控制线要求恢复天然雨洪通道、蓄滞洪空间；加强镇区外围沟道治理，防治水土流失，完善截洪沟布局，降低山洪入城风险，全面提升镇区防洪能力。</w:t>
      </w:r>
    </w:p>
    <w:p w14:paraId="793CA6C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消防工程</w:t>
      </w:r>
    </w:p>
    <w:p w14:paraId="14C12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镇区消防安全布局，统筹优化镇区易燃易爆危险品场所或设施布局。规划结合镇政府设置一处微型消防站，消防人员按照专职消防队进行设置。加强消防供水建设，形成市政水源为主、天然水源为辅的消防供水体系；给水管网管径不低于DN100，管网埋深位于冻土层以下，结合市政给水管网设置消火栓，间距不超过120米；加强消防通信建设，完善消防通信系统；加强消防车通道建设，提高镇区道路承载大型消防车的能力，确保消防车通行能力。新建的建筑应当达到一、二级耐火等级标准，控制三级建筑，严格限制四级建筑，不准易燃简易搭盖。</w:t>
      </w:r>
    </w:p>
    <w:p w14:paraId="5A207E5C">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地质灾害防治</w:t>
      </w:r>
    </w:p>
    <w:p w14:paraId="01ABA7FE">
      <w:pPr>
        <w:pStyle w:val="7"/>
        <w:ind w:firstLine="640"/>
        <w:rPr>
          <w:bCs/>
        </w:rPr>
      </w:pPr>
      <w:r>
        <w:rPr>
          <w:rFonts w:hint="eastAsia"/>
          <w:bCs/>
          <w:lang w:val="en-US" w:eastAsia="zh-CN"/>
        </w:rPr>
        <w:t>倒淌河镇区</w:t>
      </w:r>
      <w:r>
        <w:rPr>
          <w:rFonts w:hint="eastAsia"/>
          <w:bCs/>
          <w:lang w:val="zh-CN"/>
        </w:rPr>
        <w:t>范围均为地质灾害高</w:t>
      </w:r>
      <w:r>
        <w:rPr>
          <w:rFonts w:hint="eastAsia"/>
          <w:bCs/>
        </w:rPr>
        <w:t>风险区，地质灾害防治划为重点防治区。深化地质灾害隐患点详细调查评价，</w:t>
      </w:r>
      <w:r>
        <w:rPr>
          <w:rFonts w:hint="eastAsia"/>
          <w:bCs/>
          <w:u w:val="single"/>
          <w:lang w:val="zh-CN"/>
        </w:rPr>
        <w:t>地质灾害易发区内的开发建设，应当进行地质灾害危险性评估，并根据地质灾害危险性评估提出的预防治理措施，有序开展地质灾害工程治理或搬迁避让工作，评估结果为不适宜的场地不得进行开发建设，地质灾害危险区内禁止从事容易诱发地质灾害的各种活动</w:t>
      </w:r>
      <w:r>
        <w:rPr>
          <w:rFonts w:hint="eastAsia"/>
          <w:bCs/>
        </w:rPr>
        <w:t>。综合采用工程治理、排危除险、避让搬迁、专业监测等多种措施，推进地质灾害隐患治理，降低地质灾害隐患风险。</w:t>
      </w:r>
    </w:p>
    <w:p w14:paraId="0374103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应急体系</w:t>
      </w:r>
    </w:p>
    <w:p w14:paraId="40B30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依托镇政府建设应急指挥中心，配套建设综合应急指挥调度平台，推动应急管理体系和能力现代化。构建由综合性消防救援队伍为主力、专业应急救援力量为协同、社会应急力量为辅助的应急救援力量体系。</w:t>
      </w:r>
    </w:p>
    <w:p w14:paraId="0FA314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结合学校、体育场、公园等设置固定避难场所，结合公园、广场等</w:t>
      </w:r>
      <w:r>
        <w:rPr>
          <w:rFonts w:hint="eastAsia" w:ascii="仿宋_GB2312" w:hAnsi="仿宋_GB2312" w:eastAsia="仿宋_GB2312" w:cs="仿宋_GB2312"/>
          <w:sz w:val="32"/>
          <w:szCs w:val="32"/>
          <w:lang w:val="en-US" w:eastAsia="zh-CN"/>
        </w:rPr>
        <w:t>设置</w:t>
      </w:r>
      <w:r>
        <w:rPr>
          <w:rFonts w:hint="default" w:ascii="仿宋_GB2312" w:hAnsi="仿宋_GB2312" w:eastAsia="仿宋_GB2312" w:cs="仿宋_GB2312"/>
          <w:sz w:val="32"/>
          <w:szCs w:val="32"/>
          <w:lang w:val="en-US" w:eastAsia="zh-CN"/>
        </w:rPr>
        <w:t>紧急避难疏散场地，以复合利用、应急转换为主，不单独占地，</w:t>
      </w:r>
      <w:r>
        <w:rPr>
          <w:rFonts w:hint="eastAsia" w:ascii="仿宋_GB2312" w:hAnsi="仿宋_GB2312" w:eastAsia="仿宋_GB2312" w:cs="仿宋_GB2312"/>
          <w:sz w:val="32"/>
          <w:szCs w:val="32"/>
          <w:u w:val="single"/>
          <w:lang w:val="en-US" w:eastAsia="zh-CN"/>
        </w:rPr>
        <w:t>镇区</w:t>
      </w:r>
      <w:r>
        <w:rPr>
          <w:rFonts w:hint="default" w:ascii="仿宋_GB2312" w:hAnsi="仿宋_GB2312" w:eastAsia="仿宋_GB2312" w:cs="仿宋_GB2312"/>
          <w:sz w:val="32"/>
          <w:szCs w:val="32"/>
          <w:u w:val="single"/>
          <w:lang w:val="en-US" w:eastAsia="zh-CN"/>
        </w:rPr>
        <w:t>人均避难场所面积不低于1.5平方米。</w:t>
      </w:r>
      <w:r>
        <w:rPr>
          <w:rFonts w:hint="default"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lang w:val="en-US" w:eastAsia="zh-CN"/>
        </w:rPr>
        <w:t>镇区</w:t>
      </w:r>
      <w:r>
        <w:rPr>
          <w:rFonts w:hint="default" w:ascii="仿宋_GB2312" w:hAnsi="仿宋_GB2312" w:eastAsia="仿宋_GB2312" w:cs="仿宋_GB2312"/>
          <w:sz w:val="32"/>
          <w:szCs w:val="32"/>
          <w:lang w:val="en-US" w:eastAsia="zh-CN"/>
        </w:rPr>
        <w:t>避难疏散体系，以京藏高速、</w:t>
      </w:r>
      <w:r>
        <w:rPr>
          <w:rFonts w:hint="eastAsia" w:ascii="仿宋_GB2312" w:hAnsi="仿宋_GB2312" w:eastAsia="仿宋_GB2312" w:cs="仿宋_GB2312"/>
          <w:sz w:val="32"/>
          <w:szCs w:val="32"/>
          <w:lang w:val="en-US" w:eastAsia="zh-CN"/>
        </w:rPr>
        <w:t>国道214、青海湖旅游专线</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公路</w:t>
      </w:r>
      <w:r>
        <w:rPr>
          <w:rFonts w:hint="eastAsia" w:ascii="仿宋_GB2312" w:hAnsi="仿宋_GB2312" w:eastAsia="仿宋_GB2312" w:cs="仿宋_GB2312"/>
          <w:sz w:val="32"/>
          <w:szCs w:val="32"/>
          <w:lang w:val="en-US" w:eastAsia="zh-CN"/>
        </w:rPr>
        <w:t>作为</w:t>
      </w:r>
      <w:r>
        <w:rPr>
          <w:rFonts w:hint="default" w:ascii="仿宋_GB2312" w:hAnsi="仿宋_GB2312" w:eastAsia="仿宋_GB2312" w:cs="仿宋_GB2312"/>
          <w:sz w:val="32"/>
          <w:szCs w:val="32"/>
          <w:lang w:val="en-US" w:eastAsia="zh-CN"/>
        </w:rPr>
        <w:t>对外疏散通道。</w:t>
      </w:r>
    </w:p>
    <w:p w14:paraId="4F5A2E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结合镇卫生院，建设镇级应急医疗急救中心，保障镇区预留突发公共卫生救援基地用地，做好应对突发性公共卫生事件的应急预案。</w:t>
      </w:r>
    </w:p>
    <w:p w14:paraId="03424E76">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5" w:name="_Toc15622"/>
      <w:r>
        <w:rPr>
          <w:rFonts w:hint="eastAsia" w:ascii="Arial" w:hAnsi="Arial" w:eastAsia="黑体" w:cs="Times New Roman"/>
          <w:b w:val="0"/>
          <w:lang w:val="zh-CN"/>
        </w:rPr>
        <w:t>城镇风貌引导与管控</w:t>
      </w:r>
      <w:bookmarkEnd w:id="65"/>
    </w:p>
    <w:p w14:paraId="69FC0C0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城镇风貌引导</w:t>
      </w:r>
    </w:p>
    <w:p w14:paraId="25338E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形成“两轴三区多点”的城镇风貌格局。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两轴</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以青海湖旅游专线与道路两侧风貌景观为构架的旅游景观主轴、以团结路（G214）为基础的旅游交通主轴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老城改造提升区、文化体验区、综合服务风貌区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门户景观节点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结合重要的绿地、广场、开场空间布置核心景观节点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以街角绿地、口袋公园、绿化</w:t>
      </w:r>
      <w:r>
        <w:rPr>
          <w:rFonts w:hint="eastAsia" w:ascii="仿宋_GB2312" w:hAnsi="仿宋_GB2312" w:eastAsia="仿宋_GB2312" w:cs="仿宋_GB2312"/>
          <w:sz w:val="32"/>
          <w:szCs w:val="32"/>
          <w:lang w:eastAsia="zh-CN"/>
        </w:rPr>
        <w:t>带为</w:t>
      </w:r>
      <w:r>
        <w:rPr>
          <w:rFonts w:hint="eastAsia" w:ascii="仿宋_GB2312" w:hAnsi="仿宋_GB2312" w:eastAsia="仿宋_GB2312" w:cs="仿宋_GB2312"/>
          <w:sz w:val="32"/>
          <w:szCs w:val="32"/>
        </w:rPr>
        <w:t>主的普通景观节点。</w:t>
      </w:r>
    </w:p>
    <w:p w14:paraId="5A81DB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加强风貌引导。</w:t>
      </w:r>
      <w:r>
        <w:rPr>
          <w:rFonts w:hint="eastAsia" w:ascii="仿宋_GB2312" w:hAnsi="仿宋_GB2312" w:eastAsia="仿宋_GB2312" w:cs="仿宋_GB2312"/>
          <w:sz w:val="32"/>
          <w:szCs w:val="32"/>
          <w:lang w:val="en-US" w:eastAsia="zh-CN"/>
        </w:rPr>
        <w:t>培育“藏风新韵，古今交融”的美丽城镇风貌。</w:t>
      </w:r>
      <w:r>
        <w:rPr>
          <w:rFonts w:hint="eastAsia" w:ascii="仿宋_GB2312" w:hAnsi="仿宋_GB2312" w:eastAsia="仿宋_GB2312" w:cs="仿宋_GB2312"/>
          <w:sz w:val="32"/>
          <w:szCs w:val="32"/>
        </w:rPr>
        <w:t>展现“时代风范、地域特色”，建筑风格以现代风格为主，鼓励传统建筑风格的现代演绎，简约大气，彰显时代感。倒淌河镇区公共建筑以藏式传统公共建筑基本特征为基础，适度展示时代精神。</w:t>
      </w:r>
    </w:p>
    <w:p w14:paraId="487C55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控制建筑体量</w:t>
      </w:r>
      <w:r>
        <w:rPr>
          <w:rFonts w:hint="eastAsia" w:ascii="楷体_GB2312" w:hAnsi="楷体_GB2312" w:eastAsia="楷体_GB2312" w:cs="楷体_GB2312"/>
          <w:sz w:val="32"/>
          <w:szCs w:val="32"/>
          <w:lang w:val="en-US" w:eastAsia="zh-CN"/>
        </w:rPr>
        <w:t>及高度</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总体形成中低开发强度、集约紧凑的建设模式，单体建筑长度不应超过80米。</w:t>
      </w:r>
      <w:r>
        <w:rPr>
          <w:rFonts w:hint="eastAsia" w:ascii="仿宋_GB2312" w:hAnsi="仿宋_GB2312" w:eastAsia="仿宋_GB2312" w:cs="仿宋_GB2312"/>
          <w:sz w:val="32"/>
          <w:szCs w:val="32"/>
          <w:lang w:val="en-US" w:eastAsia="zh-CN"/>
        </w:rPr>
        <w:t>严格按照要求控制建筑高度，</w:t>
      </w:r>
      <w:r>
        <w:rPr>
          <w:rFonts w:hint="eastAsia" w:ascii="仿宋_GB2312" w:hAnsi="仿宋_GB2312" w:eastAsia="仿宋_GB2312" w:cs="仿宋_GB2312"/>
          <w:sz w:val="32"/>
          <w:szCs w:val="32"/>
          <w:lang w:eastAsia="zh-CN"/>
        </w:rPr>
        <w:t>临街商业建筑层数一般应设置为1至2层，建筑高度不超过9米；重要的公共建筑及标志性建筑不得超过4层，建筑高度不超过15米；居住建筑以1-2层为宜。</w:t>
      </w:r>
    </w:p>
    <w:p w14:paraId="0270BBA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开发强度管控</w:t>
      </w:r>
    </w:p>
    <w:p w14:paraId="3F56D1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规划构建“西高东弱，南北低密”的开发强度管控。</w:t>
      </w:r>
      <w:r>
        <w:rPr>
          <w:rFonts w:hint="eastAsia" w:ascii="仿宋_GB2312" w:hAnsi="仿宋_GB2312" w:eastAsia="仿宋_GB2312" w:cs="仿宋_GB2312"/>
          <w:sz w:val="32"/>
          <w:szCs w:val="32"/>
        </w:rPr>
        <w:t>镇区西部为商业商务区，开发强度较高，其中商业用地容积率不大于2.0，公共管理和公共服务设施用地容积率不大于1.5，居住用地容积率不大于1.0；</w:t>
      </w:r>
      <w:r>
        <w:rPr>
          <w:rFonts w:hint="eastAsia" w:ascii="仿宋_GB2312" w:hAnsi="仿宋_GB2312" w:eastAsia="仿宋_GB2312" w:cs="仿宋_GB2312"/>
          <w:sz w:val="32"/>
          <w:szCs w:val="32"/>
          <w:lang w:val="en-US" w:eastAsia="zh-CN"/>
        </w:rPr>
        <w:t>南</w:t>
      </w:r>
      <w:r>
        <w:rPr>
          <w:rFonts w:hint="eastAsia" w:ascii="仿宋_GB2312" w:hAnsi="仿宋_GB2312" w:eastAsia="仿宋_GB2312" w:cs="仿宋_GB2312"/>
          <w:sz w:val="32"/>
          <w:szCs w:val="32"/>
        </w:rPr>
        <w:t>部为居住生活区，以居住用地为主，开发强度不高，居住用地容积率不大于1.0，商业用地容积率不大于1.5；东部为综合服务区，以行政办公建筑为主，其中机关团体用地容积率不大于2.0，商业用地容积率不大于1.5，居住用地容积率不大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。机关团体用地建筑密度不大于45%，商业服务用地建筑密度不大于60%，居住用地建筑密度不大于35%</w:t>
      </w:r>
      <w:r>
        <w:rPr>
          <w:rFonts w:hint="eastAsia" w:ascii="仿宋_GB2312" w:hAnsi="仿宋_GB2312" w:eastAsia="仿宋_GB2312" w:cs="仿宋_GB2312"/>
          <w:sz w:val="32"/>
          <w:szCs w:val="32"/>
          <w:lang w:eastAsia="zh-CN"/>
        </w:rPr>
        <w:t>。</w:t>
      </w:r>
    </w:p>
    <w:p w14:paraId="2472F20F">
      <w:pPr>
        <w:pStyle w:val="3"/>
        <w:keepNext/>
        <w:keepLines/>
        <w:pageBreakBefore w:val="0"/>
        <w:widowControl w:val="0"/>
        <w:numPr>
          <w:ilvl w:val="1"/>
          <w:numId w:val="10"/>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6" w:name="_Toc26625"/>
      <w:r>
        <w:rPr>
          <w:rFonts w:hint="eastAsia" w:ascii="Arial" w:hAnsi="Arial" w:eastAsia="黑体" w:cs="Times New Roman"/>
          <w:b w:val="0"/>
          <w:lang w:val="zh-CN"/>
        </w:rPr>
        <w:t>五线管控</w:t>
      </w:r>
      <w:bookmarkEnd w:id="66"/>
    </w:p>
    <w:p w14:paraId="65753E8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道路红线</w:t>
      </w:r>
    </w:p>
    <w:p w14:paraId="08B544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将镇区城镇村道路作为道路红线进行强制性控制，总面积14.19公顷。</w:t>
      </w:r>
      <w:r>
        <w:rPr>
          <w:rFonts w:hint="eastAsia" w:ascii="仿宋_GB2312" w:hAnsi="仿宋_GB2312" w:eastAsia="仿宋_GB2312" w:cs="仿宋_GB2312"/>
          <w:sz w:val="32"/>
          <w:szCs w:val="32"/>
          <w:lang w:val="en-US" w:eastAsia="zh-CN"/>
        </w:rPr>
        <w:t>红线控制范围内，经城乡规划行政主管部门批准可以按规划建设绿化设施，市政公用地上、地下管（杆）线，道路交通安全设施。不得建设与道路功能无关的管（杆）线、配电设施、通信设施、环卫设施、道路交通安全设施等。禁止在红线控制范围内进行挖取沙土等改变地形地貌活动。</w:t>
      </w:r>
    </w:p>
    <w:p w14:paraId="7547633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绿线管控</w:t>
      </w:r>
    </w:p>
    <w:p w14:paraId="19F3AD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将公园绿地、防护绿地和广场等用地划入镇区绿线管控范围，总面积</w:t>
      </w:r>
      <w:r>
        <w:rPr>
          <w:rFonts w:hint="eastAsia" w:ascii="仿宋_GB2312" w:hAnsi="仿宋_GB2312" w:eastAsia="仿宋_GB2312" w:cs="仿宋_GB2312"/>
          <w:sz w:val="32"/>
          <w:szCs w:val="32"/>
          <w:u w:val="single"/>
          <w:lang w:val="en-US" w:eastAsia="zh-CN"/>
        </w:rPr>
        <w:t>4.99</w:t>
      </w:r>
      <w:r>
        <w:rPr>
          <w:rFonts w:hint="eastAsia" w:ascii="仿宋_GB2312" w:hAnsi="仿宋_GB2312" w:eastAsia="仿宋_GB2312" w:cs="仿宋_GB2312"/>
          <w:sz w:val="32"/>
          <w:szCs w:val="32"/>
          <w:u w:val="single"/>
        </w:rPr>
        <w:t>公顷。城市绿线内所有建设活动均应符合相关管理要求。</w:t>
      </w:r>
      <w:r>
        <w:rPr>
          <w:rFonts w:hint="eastAsia" w:ascii="仿宋_GB2312" w:hAnsi="仿宋_GB2312" w:eastAsia="仿宋_GB2312" w:cs="仿宋_GB2312"/>
          <w:sz w:val="32"/>
          <w:szCs w:val="32"/>
        </w:rPr>
        <w:t>在总规模不减少的前提下，城市绿线的具体边界、定位可在详细规划编制和实施中落实。城市绿线内的用地，不得改作他用，不得违反法律法规、强制性标准以及批准的规划进行开发建设；在城市绿线范围内，不符合规划要求的建筑物、构筑物</w:t>
      </w:r>
      <w:r>
        <w:rPr>
          <w:rFonts w:hint="eastAsia" w:ascii="仿宋_GB2312" w:hAnsi="仿宋_GB2312" w:eastAsia="仿宋_GB2312" w:cs="仿宋_GB2312"/>
          <w:sz w:val="32"/>
          <w:szCs w:val="32"/>
          <w:lang w:eastAsia="zh-CN"/>
        </w:rPr>
        <w:t>及其他</w:t>
      </w:r>
      <w:r>
        <w:rPr>
          <w:rFonts w:hint="eastAsia" w:ascii="仿宋_GB2312" w:hAnsi="仿宋_GB2312" w:eastAsia="仿宋_GB2312" w:cs="仿宋_GB2312"/>
          <w:sz w:val="32"/>
          <w:szCs w:val="32"/>
        </w:rPr>
        <w:t>设施应当限期迁出。绿线内可兼容设施道路、市政管线等线状交通、线状市政基础设施；因重大市政交通基础设施建设等公共利益确需调整绿线的，应保证绿线结构系统性；因建设</w:t>
      </w:r>
      <w:r>
        <w:rPr>
          <w:rFonts w:hint="eastAsia" w:ascii="仿宋_GB2312" w:hAnsi="仿宋_GB2312" w:eastAsia="仿宋_GB2312" w:cs="仿宋_GB2312"/>
          <w:sz w:val="32"/>
          <w:szCs w:val="32"/>
          <w:lang w:eastAsia="zh-CN"/>
        </w:rPr>
        <w:t>或者其他</w:t>
      </w:r>
      <w:r>
        <w:rPr>
          <w:rFonts w:hint="eastAsia" w:ascii="仿宋_GB2312" w:hAnsi="仿宋_GB2312" w:eastAsia="仿宋_GB2312" w:cs="仿宋_GB2312"/>
          <w:sz w:val="32"/>
          <w:szCs w:val="32"/>
        </w:rPr>
        <w:t>特殊情况，需要临时占用城市绿线内用地的，必须依法办理相关审批手续。城市绿线的调整应符合国家有关规定。</w:t>
      </w:r>
    </w:p>
    <w:p w14:paraId="09412EA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黄线管控</w:t>
      </w:r>
    </w:p>
    <w:p w14:paraId="13D63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将重大基础设施用地划入镇区黄线管控范围，主要包括公共交通设施、供电设施、通信设施、供燃气设施，总面积2.</w:t>
      </w:r>
      <w:r>
        <w:rPr>
          <w:rFonts w:hint="eastAsia" w:ascii="仿宋_GB2312" w:hAnsi="仿宋_GB2312" w:eastAsia="仿宋_GB2312" w:cs="仿宋_GB2312"/>
          <w:sz w:val="32"/>
          <w:szCs w:val="32"/>
          <w:u w:val="single"/>
          <w:lang w:val="en-US" w:eastAsia="zh-CN"/>
        </w:rPr>
        <w:t>99</w:t>
      </w:r>
      <w:r>
        <w:rPr>
          <w:rFonts w:hint="eastAsia" w:ascii="仿宋_GB2312" w:hAnsi="仿宋_GB2312" w:eastAsia="仿宋_GB2312" w:cs="仿宋_GB2312"/>
          <w:sz w:val="32"/>
          <w:szCs w:val="32"/>
          <w:u w:val="single"/>
        </w:rPr>
        <w:t>公顷。</w:t>
      </w:r>
      <w:r>
        <w:rPr>
          <w:rFonts w:hint="eastAsia" w:ascii="仿宋_GB2312" w:hAnsi="仿宋_GB2312" w:eastAsia="仿宋_GB2312" w:cs="仿宋_GB2312"/>
          <w:sz w:val="32"/>
          <w:szCs w:val="32"/>
        </w:rPr>
        <w:t>在总规模不减少的前提下，城市黄线的具体边界、定位可在详细规划编制和实施中落实。规划划定的城市黄线严格按照相关法律法规进行管控，城市黄线一经批准，不得擅自调整，因城市发展和城市功能、布局变化等，需要调整城市黄线的，应进行规划论证，并保证基础设施的系统性和服务能力不降低。城市黄线的调整应符合国家有关规定。</w:t>
      </w:r>
    </w:p>
    <w:p w14:paraId="3F4757F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紫线管控</w:t>
      </w:r>
    </w:p>
    <w:p w14:paraId="2D7C5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倒淌河镇区不涉及紫线。</w:t>
      </w:r>
    </w:p>
    <w:p w14:paraId="6B35D8A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蓝线管控</w:t>
      </w:r>
    </w:p>
    <w:p w14:paraId="3C3E7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倒淌河镇区不涉及蓝线。</w:t>
      </w:r>
    </w:p>
    <w:p w14:paraId="7012E6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84BF27">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67" w:name="_Toc24875"/>
      <w:r>
        <w:rPr>
          <w:rFonts w:hint="eastAsia" w:ascii="Times New Roman" w:hAnsi="Times New Roman" w:eastAsia="方正小标宋简体" w:cs="Times New Roman"/>
          <w:b w:val="0"/>
          <w:bCs w:val="0"/>
          <w:sz w:val="36"/>
          <w:szCs w:val="36"/>
        </w:rPr>
        <w:t>历史文化保护与景观风貌引导</w:t>
      </w:r>
      <w:bookmarkEnd w:id="67"/>
    </w:p>
    <w:p w14:paraId="3C517FCF">
      <w:pPr>
        <w:pStyle w:val="3"/>
        <w:keepNext/>
        <w:keepLines/>
        <w:pageBreakBefore w:val="0"/>
        <w:widowControl w:val="0"/>
        <w:numPr>
          <w:ilvl w:val="1"/>
          <w:numId w:val="11"/>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8" w:name="_Toc5131"/>
      <w:r>
        <w:rPr>
          <w:rFonts w:hint="eastAsia" w:ascii="Arial" w:hAnsi="Arial" w:eastAsia="黑体" w:cs="Times New Roman"/>
          <w:b w:val="0"/>
          <w:lang w:val="zh-CN"/>
        </w:rPr>
        <w:t>整体保护文化遗产，传承历史文化价值</w:t>
      </w:r>
      <w:bookmarkEnd w:id="68"/>
    </w:p>
    <w:p w14:paraId="0516674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健全历史文化资源保护体系</w:t>
      </w:r>
    </w:p>
    <w:p w14:paraId="4639E0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强化青海湖等自然遗产保护。</w:t>
      </w:r>
      <w:r>
        <w:rPr>
          <w:rFonts w:hint="eastAsia" w:ascii="仿宋_GB2312" w:hAnsi="仿宋_GB2312" w:eastAsia="仿宋_GB2312" w:cs="仿宋_GB2312"/>
          <w:sz w:val="32"/>
          <w:szCs w:val="32"/>
          <w:u w:val="none"/>
        </w:rPr>
        <w:t>加强列入世界自然遗产预备名录的青海湖的全面保护与利用，对自然保护区、风景名胜区等各类自然遗产实施严格保护和管控，保护和恢复自然与人文景观的原真性，加强对景物、水体、植被、野生动物和各项设施的保护，适度有序开展游览或者进行科学、文化活动，相关开发活动应当与周围景观和环境相协调，不得破坏自然遗产整体风貌。</w:t>
      </w:r>
    </w:p>
    <w:p w14:paraId="40EDAA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融入全县历史文化保护格局。</w:t>
      </w:r>
      <w:r>
        <w:rPr>
          <w:rFonts w:hint="eastAsia" w:ascii="仿宋_GB2312" w:hAnsi="仿宋_GB2312" w:eastAsia="仿宋_GB2312" w:cs="仿宋_GB2312"/>
          <w:sz w:val="32"/>
          <w:szCs w:val="32"/>
          <w:u w:val="none"/>
          <w:lang w:val="en-US" w:eastAsia="zh-CN"/>
        </w:rPr>
        <w:t>依托青海湖旅游专线公路、214国道，以两条生态人文景观廊道，统筹沿线历史文化资源保护与利用，包括青海丝绸之路南线文化展示带、唐蕃古道汉藏交流文化展示带；倒淌河镇位于汉藏交流文化体验片区，按照主导文化类型加强区域文化资源挖掘和文化生态整体保护；系统保护文物保护单位、历史建筑、非物质文化遗产、地下文物埋藏区等在内的历史文化资源，促进历史遗存活化利用。</w:t>
      </w:r>
    </w:p>
    <w:p w14:paraId="273B2EC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划定历史文化保护线</w:t>
      </w:r>
    </w:p>
    <w:p w14:paraId="04575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有序划定历史文化保护线。</w:t>
      </w:r>
      <w:r>
        <w:rPr>
          <w:rFonts w:hint="eastAsia" w:ascii="仿宋_GB2312" w:hAnsi="仿宋_GB2312" w:eastAsia="仿宋_GB2312" w:cs="仿宋_GB2312"/>
          <w:sz w:val="32"/>
          <w:szCs w:val="32"/>
          <w:u w:val="none"/>
          <w:lang w:val="en-US" w:eastAsia="zh-CN"/>
        </w:rPr>
        <w:t>划定倒淌河镇历史文化保护线范围51.67公顷，包括倒淌河镇5处省级文物保护单位、2处县级文物保护单位、1处历史建筑以及其他不可移动文物等的保护范围和建设控制地带范围边界，按相应法律法规和批复的保护规划进行保护管理。</w:t>
      </w:r>
    </w:p>
    <w:p w14:paraId="728A32A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强化历史文化保护空间管控与利用</w:t>
      </w:r>
    </w:p>
    <w:p w14:paraId="4CCFD2ED">
      <w:pPr>
        <w:pStyle w:val="7"/>
        <w:ind w:firstLine="640"/>
        <w:rPr>
          <w:rFonts w:hint="eastAsia"/>
        </w:rPr>
      </w:pPr>
      <w:r>
        <w:rPr>
          <w:rFonts w:hint="eastAsia" w:ascii="楷体_GB2312" w:hAnsi="楷体_GB2312" w:eastAsia="楷体_GB2312" w:cs="楷体_GB2312"/>
          <w:szCs w:val="32"/>
        </w:rPr>
        <w:t>线性生态人文景观廊道保护</w:t>
      </w:r>
      <w:r>
        <w:rPr>
          <w:rFonts w:hint="eastAsia" w:ascii="楷体_GB2312" w:hAnsi="楷体_GB2312" w:eastAsia="楷体_GB2312" w:cs="楷体_GB2312"/>
        </w:rPr>
        <w:t>。</w:t>
      </w:r>
      <w:r>
        <w:rPr>
          <w:rFonts w:hint="eastAsia"/>
        </w:rPr>
        <w:t>包括青海丝绸之路南线、唐蕃古道</w:t>
      </w:r>
      <w:r>
        <w:rPr>
          <w:rFonts w:hint="eastAsia"/>
          <w:lang w:eastAsia="zh-CN"/>
        </w:rPr>
        <w:t>，</w:t>
      </w:r>
      <w:r>
        <w:rPr>
          <w:rFonts w:hint="eastAsia" w:ascii="仿宋_GB2312" w:hAnsi="仿宋_GB2312" w:eastAsia="仿宋_GB2312" w:cs="仿宋_GB2312"/>
          <w:sz w:val="32"/>
          <w:szCs w:val="32"/>
        </w:rPr>
        <w:t>落位于横穿倒淌河镇的</w:t>
      </w:r>
      <w:r>
        <w:rPr>
          <w:rFonts w:hint="eastAsia" w:ascii="仿宋_GB2312" w:hAnsi="仿宋_GB2312" w:cs="仿宋_GB2312"/>
          <w:sz w:val="32"/>
          <w:szCs w:val="32"/>
          <w:lang w:val="en-US" w:eastAsia="zh-CN"/>
        </w:rPr>
        <w:t>青海湖旅游专线</w:t>
      </w:r>
      <w:r>
        <w:rPr>
          <w:rFonts w:hint="eastAsia" w:ascii="仿宋_GB2312" w:hAnsi="仿宋_GB2312" w:eastAsia="仿宋_GB2312" w:cs="仿宋_GB2312"/>
          <w:sz w:val="32"/>
          <w:szCs w:val="32"/>
        </w:rPr>
        <w:t>沿线</w:t>
      </w:r>
      <w:r>
        <w:rPr>
          <w:rFonts w:hint="eastAsia" w:ascii="仿宋_GB2312" w:hAnsi="仿宋_GB2312" w:cs="仿宋_GB2312"/>
          <w:sz w:val="32"/>
          <w:szCs w:val="32"/>
          <w:lang w:eastAsia="zh-CN"/>
        </w:rPr>
        <w:t>。</w:t>
      </w:r>
      <w:r>
        <w:rPr>
          <w:rFonts w:hint="eastAsia"/>
        </w:rPr>
        <w:t>加强沿线自然景观与文化遗产整体管控，保护并恢复廊道的整体历史风貌与结构；加强沿线城镇文化旅游协同发展，增强线路展示与宣传，贯通景观休闲系统。</w:t>
      </w:r>
    </w:p>
    <w:p w14:paraId="60C885B4">
      <w:pPr>
        <w:pStyle w:val="7"/>
        <w:ind w:firstLine="640"/>
        <w:rPr>
          <w:rFonts w:hint="eastAsia"/>
        </w:rPr>
      </w:pPr>
      <w:r>
        <w:rPr>
          <w:rFonts w:hint="eastAsia" w:ascii="楷体_GB2312" w:hAnsi="楷体_GB2312" w:eastAsia="楷体_GB2312" w:cs="楷体_GB2312"/>
          <w:szCs w:val="32"/>
        </w:rPr>
        <w:t>文物保护单位保护</w:t>
      </w:r>
      <w:r>
        <w:rPr>
          <w:rFonts w:hint="eastAsia" w:ascii="楷体_GB2312" w:hAnsi="楷体_GB2312" w:eastAsia="楷体_GB2312" w:cs="楷体_GB2312"/>
        </w:rPr>
        <w:t>。</w:t>
      </w:r>
      <w:r>
        <w:rPr>
          <w:rFonts w:hint="eastAsia"/>
        </w:rPr>
        <w:t>包括省级文物保护单位</w:t>
      </w:r>
      <w:r>
        <w:rPr>
          <w:rFonts w:hint="eastAsia"/>
          <w:lang w:val="en-US" w:eastAsia="zh-CN"/>
        </w:rPr>
        <w:t>5</w:t>
      </w:r>
      <w:r>
        <w:rPr>
          <w:rFonts w:hint="eastAsia"/>
        </w:rPr>
        <w:t>处、县级文物保护单位</w:t>
      </w:r>
      <w:r>
        <w:rPr>
          <w:rFonts w:hint="eastAsia"/>
          <w:lang w:val="en-US" w:eastAsia="zh-CN"/>
        </w:rPr>
        <w:t>2</w:t>
      </w:r>
      <w:r>
        <w:rPr>
          <w:rFonts w:hint="eastAsia"/>
        </w:rPr>
        <w:t>处。</w:t>
      </w:r>
      <w:r>
        <w:rPr>
          <w:rFonts w:hint="eastAsia"/>
          <w:u w:val="single"/>
        </w:rPr>
        <w:t>严格遵照文物保护相关法律法规进行保护，不允许改变文物的原有状况、面貌及环境。</w:t>
      </w:r>
      <w:r>
        <w:rPr>
          <w:rFonts w:hint="eastAsia"/>
        </w:rPr>
        <w:t>如需进行必要的修缮，应在专家指导下遵循“不改变原状”的原则，做到“修旧如旧”，并严格按审核手续进行。县文物主管部门应及时公布尚未核定公布为文物保护单位的不可移动文物，不可移动文物应按照原址保护、整体保护、不改变文物原状的原则实施保护，并加强管理，继续予以登记并公布为文物保护单位。</w:t>
      </w:r>
    </w:p>
    <w:p w14:paraId="0B13343D">
      <w:pPr>
        <w:pStyle w:val="7"/>
        <w:ind w:firstLine="640"/>
      </w:pPr>
      <w:r>
        <w:rPr>
          <w:rFonts w:hint="eastAsia" w:ascii="楷体_GB2312" w:hAnsi="楷体_GB2312" w:eastAsia="楷体_GB2312" w:cs="楷体_GB2312"/>
          <w:szCs w:val="32"/>
        </w:rPr>
        <w:t>历史建筑保护。</w:t>
      </w:r>
      <w:r>
        <w:rPr>
          <w:rFonts w:hint="eastAsia"/>
        </w:rPr>
        <w:t>包括</w:t>
      </w:r>
      <w:r>
        <w:t>1</w:t>
      </w:r>
      <w:r>
        <w:rPr>
          <w:rFonts w:hint="eastAsia"/>
        </w:rPr>
        <w:t>处历史建筑，即中国鱼雷发射实验基地。</w:t>
      </w:r>
      <w:r>
        <w:rPr>
          <w:rFonts w:hint="eastAsia"/>
          <w:u w:val="single"/>
        </w:rPr>
        <w:t>划定包括历史建筑及必要的风貌协调区在内的紫线保护范围，并明确保护措施和管理规定；</w:t>
      </w:r>
      <w:r>
        <w:rPr>
          <w:rFonts w:hint="eastAsia"/>
        </w:rPr>
        <w:t>鼓励对历史建筑的活化利用，对历史建筑进行外部修缮装饰、添加设施以及改变历史建筑的结构或者使用性质的，应当经州、县人民政府住建部门会同同级文物主管部门批准，并依照有关</w:t>
      </w:r>
      <w:r>
        <w:rPr>
          <w:rFonts w:hint="eastAsia"/>
          <w:lang w:eastAsia="zh-CN"/>
        </w:rPr>
        <w:t>法律法规</w:t>
      </w:r>
      <w:r>
        <w:rPr>
          <w:rFonts w:hint="eastAsia"/>
        </w:rPr>
        <w:t>的规定办理相关手续。</w:t>
      </w:r>
    </w:p>
    <w:p w14:paraId="35CCA184">
      <w:pPr>
        <w:pStyle w:val="7"/>
        <w:ind w:firstLine="640"/>
        <w:rPr>
          <w:rFonts w:hint="eastAsia"/>
        </w:rPr>
      </w:pPr>
      <w:r>
        <w:rPr>
          <w:rFonts w:hint="eastAsia" w:ascii="楷体_GB2312" w:hAnsi="楷体_GB2312" w:eastAsia="楷体_GB2312" w:cs="楷体_GB2312"/>
          <w:szCs w:val="32"/>
        </w:rPr>
        <w:t>保护传承非物质文化遗产和传统文化</w:t>
      </w:r>
      <w:r>
        <w:rPr>
          <w:rFonts w:hint="eastAsia" w:ascii="楷体_GB2312" w:hAnsi="楷体_GB2312" w:eastAsia="楷体_GB2312" w:cs="楷体_GB2312"/>
        </w:rPr>
        <w:t>。</w:t>
      </w:r>
      <w:r>
        <w:rPr>
          <w:rFonts w:hint="eastAsia"/>
        </w:rPr>
        <w:t>加强对</w:t>
      </w:r>
      <w:r>
        <w:rPr>
          <w:rFonts w:hint="eastAsia"/>
          <w:lang w:val="en-US" w:eastAsia="zh-CN"/>
        </w:rPr>
        <w:t>倒淌河镇</w:t>
      </w:r>
      <w:r>
        <w:rPr>
          <w:rFonts w:hint="eastAsia"/>
        </w:rPr>
        <w:t>独具特色的民俗节庆活动、民间口头文学、地方特产、特色美食、传统手工技能和表演艺术的保护。建立非物质文化遗产代表作名录体系，制定非物质文化遗产分级保护制度；积极利用</w:t>
      </w:r>
      <w:r>
        <w:rPr>
          <w:rFonts w:hint="eastAsia"/>
          <w:lang w:val="en-US" w:eastAsia="zh-CN"/>
        </w:rPr>
        <w:t>活动广场</w:t>
      </w:r>
      <w:r>
        <w:rPr>
          <w:rFonts w:hint="eastAsia"/>
        </w:rPr>
        <w:t>，定期举办非物质文化遗产节庆活动，保护、培养非物质文化遗产的传承人；积极开发非物质文化遗产和传统文化为主要内容的旅游活动，提供小型博物馆、传统艺术表演场所、藏式餐厅、藏式旅馆等适宜的文化空间。积极利用旅游文化建设保护和推广当地非物质文化遗产。</w:t>
      </w:r>
    </w:p>
    <w:p w14:paraId="7E475EE0">
      <w:pPr>
        <w:pStyle w:val="3"/>
        <w:keepNext/>
        <w:keepLines/>
        <w:pageBreakBefore w:val="0"/>
        <w:widowControl w:val="0"/>
        <w:numPr>
          <w:ilvl w:val="1"/>
          <w:numId w:val="11"/>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rPr>
      </w:pPr>
      <w:bookmarkStart w:id="69" w:name="_Toc14915"/>
      <w:r>
        <w:rPr>
          <w:rFonts w:hint="eastAsia" w:ascii="Arial" w:hAnsi="Arial" w:eastAsia="黑体" w:cs="Times New Roman"/>
          <w:b w:val="0"/>
          <w:lang w:val="en-US" w:eastAsia="zh-CN"/>
        </w:rPr>
        <w:t>美丽城镇建设与</w:t>
      </w:r>
      <w:r>
        <w:rPr>
          <w:rFonts w:hint="eastAsia" w:ascii="Arial" w:hAnsi="Arial" w:eastAsia="黑体" w:cs="Times New Roman"/>
          <w:b w:val="0"/>
          <w:lang w:val="zh-CN"/>
        </w:rPr>
        <w:t>风貌引导</w:t>
      </w:r>
      <w:bookmarkEnd w:id="69"/>
    </w:p>
    <w:p w14:paraId="396B944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构建美丽城镇景观</w:t>
      </w:r>
    </w:p>
    <w:p w14:paraId="2B6F08E2">
      <w:pPr>
        <w:pStyle w:val="7"/>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以全面促进共和县高原美丽城镇建设，提升城镇功能品质，创造良好的生产生活环境为规划目标，形成“环山抱水、唐蕃藏城”的天蓝、地绿、水秀的魅力倒淌河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打造宜居、闲适、恬静的城乡总体风貌。</w:t>
      </w:r>
    </w:p>
    <w:p w14:paraId="3F9D51E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城乡特色风貌引导与管控</w:t>
      </w:r>
    </w:p>
    <w:p w14:paraId="5C73930F">
      <w:pPr>
        <w:pStyle w:val="7"/>
        <w:ind w:firstLine="640"/>
        <w:rPr>
          <w:rFonts w:hint="eastAsia" w:ascii="仿宋_GB2312" w:hAnsi="仿宋_GB2312" w:cs="黑体"/>
        </w:rPr>
      </w:pPr>
      <w:r>
        <w:rPr>
          <w:rFonts w:hint="eastAsia" w:ascii="楷体" w:hAnsi="楷体" w:eastAsia="楷体"/>
          <w:szCs w:val="32"/>
        </w:rPr>
        <w:t>强化</w:t>
      </w:r>
      <w:r>
        <w:rPr>
          <w:rFonts w:hint="eastAsia" w:ascii="楷体" w:hAnsi="楷体" w:eastAsia="楷体"/>
          <w:szCs w:val="32"/>
          <w:lang w:val="en-US" w:eastAsia="zh-CN"/>
        </w:rPr>
        <w:t>镇区</w:t>
      </w:r>
      <w:r>
        <w:rPr>
          <w:rFonts w:hint="eastAsia" w:ascii="楷体" w:hAnsi="楷体" w:eastAsia="楷体"/>
          <w:szCs w:val="32"/>
        </w:rPr>
        <w:t>核心引领，统领景观风貌</w:t>
      </w:r>
      <w:r>
        <w:rPr>
          <w:rFonts w:hint="eastAsia"/>
        </w:rPr>
        <w:t>。</w:t>
      </w:r>
      <w:r>
        <w:rPr>
          <w:rFonts w:hint="eastAsia"/>
          <w:lang w:val="en-US" w:eastAsia="zh-CN"/>
        </w:rPr>
        <w:t>镇区</w:t>
      </w:r>
      <w:r>
        <w:rPr>
          <w:rFonts w:hint="eastAsia"/>
        </w:rPr>
        <w:t>应明确风貌管控范围、结构、风貌廊道、风貌节点、城市天际线等内容，在总体上要突出</w:t>
      </w:r>
      <w:r>
        <w:rPr>
          <w:rFonts w:hint="eastAsia"/>
          <w:lang w:val="en-US" w:eastAsia="zh-CN"/>
        </w:rPr>
        <w:t>倒淌河镇</w:t>
      </w:r>
      <w:r>
        <w:rPr>
          <w:rFonts w:hint="eastAsia"/>
        </w:rPr>
        <w:t>风貌特色元素，加强风貌协调性和可识别性。</w:t>
      </w:r>
      <w:r>
        <w:rPr>
          <w:rFonts w:hint="eastAsia"/>
          <w:lang w:val="en-US" w:eastAsia="zh-CN"/>
        </w:rPr>
        <w:t>镇区</w:t>
      </w:r>
      <w:r>
        <w:rPr>
          <w:rFonts w:hint="eastAsia" w:ascii="仿宋_GB2312" w:hAnsi="仿宋_GB2312" w:eastAsia="仿宋_GB2312" w:cs="仿宋_GB2312"/>
          <w:sz w:val="32"/>
          <w:szCs w:val="32"/>
        </w:rPr>
        <w:t>突出“藏风新韵、古今交融”，建筑风格以新藏式为主，依托倒淌河镇得天独厚的生态本底和</w:t>
      </w:r>
      <w:r>
        <w:rPr>
          <w:rFonts w:hint="eastAsia" w:ascii="仿宋_GB2312" w:hAnsi="仿宋_GB2312" w:cs="仿宋_GB2312"/>
          <w:sz w:val="32"/>
          <w:szCs w:val="32"/>
          <w:lang w:val="en-US" w:eastAsia="zh-CN"/>
        </w:rPr>
        <w:t>文化底蕴</w:t>
      </w:r>
      <w:r>
        <w:rPr>
          <w:rFonts w:hint="eastAsia" w:ascii="仿宋_GB2312" w:hAnsi="仿宋_GB2312" w:eastAsia="仿宋_GB2312" w:cs="仿宋_GB2312"/>
          <w:sz w:val="32"/>
          <w:szCs w:val="32"/>
        </w:rPr>
        <w:t>，抽象、简化藏式元素，活化利用唐蕃文化相关元素，弱化符号化的装饰，采用传统肌理演绎形式，包括围合式、簇群式、行列式，鼓励丰富多样的建筑组合形式。在滨水、滨湖部分与环境相协调，建筑组合不宜呆板单调。在镇区营造生态格局优越、地域文化突出的新藏式小镇整体风貌</w:t>
      </w:r>
      <w:r>
        <w:rPr>
          <w:rFonts w:hint="eastAsia" w:ascii="仿宋_GB2312" w:hAnsi="仿宋_GB2312" w:cs="黑体"/>
        </w:rPr>
        <w:t>。</w:t>
      </w:r>
      <w:r>
        <w:rPr>
          <w:rFonts w:hint="eastAsia" w:ascii="仿宋_GB2312" w:hAnsi="仿宋_GB2312" w:cs="黑体"/>
          <w:lang w:val="en-US" w:eastAsia="zh-CN"/>
        </w:rPr>
        <w:t>乡村地区</w:t>
      </w:r>
      <w:r>
        <w:rPr>
          <w:rFonts w:hint="eastAsia" w:ascii="仿宋_GB2312" w:hAnsi="仿宋_GB2312" w:cs="黑体"/>
        </w:rPr>
        <w:t>依托倒淌河镇的生态本底以及民俗文化，以生态保护为重点，保留特有的藏族居民风貌和牧区原生态格局，打造藏式传统风貌区。在生态休闲部分突出“尺度小巧、有机组团”，布局体现依山傍水的小尺度、多组团、自由聚落肌理，严格控制建筑体量。</w:t>
      </w:r>
    </w:p>
    <w:p w14:paraId="287E1CB0">
      <w:pPr>
        <w:pStyle w:val="7"/>
        <w:ind w:firstLine="640"/>
        <w:rPr>
          <w:rFonts w:hint="eastAsia"/>
        </w:rPr>
      </w:pPr>
      <w:r>
        <w:rPr>
          <w:rFonts w:hint="eastAsia" w:ascii="楷体" w:hAnsi="楷体" w:eastAsia="楷体"/>
          <w:szCs w:val="32"/>
        </w:rPr>
        <w:t>打造魅力景观带，展现独特资源禀赋</w:t>
      </w:r>
      <w:r>
        <w:rPr>
          <w:rFonts w:hint="eastAsia"/>
        </w:rPr>
        <w:t>。依托青海湖独特的资源禀赋，塑造青海湖南岸人文景观带，展现</w:t>
      </w:r>
      <w:r>
        <w:rPr>
          <w:rFonts w:hint="eastAsia"/>
          <w:lang w:val="en-US" w:eastAsia="zh-CN"/>
        </w:rPr>
        <w:t>倒淌河镇</w:t>
      </w:r>
      <w:r>
        <w:rPr>
          <w:rFonts w:hint="eastAsia"/>
        </w:rPr>
        <w:t>丰富的自然和人文景观。</w:t>
      </w:r>
    </w:p>
    <w:p w14:paraId="195CF47E">
      <w:pPr>
        <w:rPr>
          <w:rFonts w:hint="eastAsia"/>
        </w:rPr>
      </w:pPr>
      <w:r>
        <w:rPr>
          <w:rFonts w:hint="eastAsia"/>
        </w:rPr>
        <w:br w:type="page"/>
      </w:r>
    </w:p>
    <w:p w14:paraId="4B98C138">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70" w:name="_Toc32068"/>
      <w:r>
        <w:rPr>
          <w:rFonts w:hint="eastAsia" w:ascii="Times New Roman" w:hAnsi="Times New Roman" w:eastAsia="方正小标宋简体" w:cs="Times New Roman"/>
          <w:b w:val="0"/>
          <w:bCs w:val="0"/>
          <w:sz w:val="36"/>
          <w:szCs w:val="36"/>
        </w:rPr>
        <w:t>强化空间统筹，保障重大基础设施建设</w:t>
      </w:r>
      <w:bookmarkEnd w:id="70"/>
    </w:p>
    <w:p w14:paraId="000105FA">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1" w:name="_Toc31919"/>
      <w:r>
        <w:rPr>
          <w:rFonts w:hint="eastAsia" w:ascii="Arial" w:hAnsi="Arial" w:eastAsia="黑体" w:cs="Times New Roman"/>
          <w:b w:val="0"/>
          <w:lang w:val="en-US" w:eastAsia="zh-CN"/>
        </w:rPr>
        <w:t>优化综合（立体）交通和物流网络布局</w:t>
      </w:r>
      <w:bookmarkEnd w:id="71"/>
    </w:p>
    <w:p w14:paraId="73FA3DC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构建综合交通体系</w:t>
      </w:r>
    </w:p>
    <w:p w14:paraId="6B8E9B84">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加快构建综合交通运输体系，</w:t>
      </w:r>
      <w:r>
        <w:rPr>
          <w:rFonts w:hint="eastAsia" w:ascii="仿宋_GB2312" w:hAnsi="仿宋_GB2312" w:eastAsia="仿宋_GB2312" w:cs="仿宋_GB2312"/>
          <w:szCs w:val="32"/>
        </w:rPr>
        <w:t>铁路跨越式发展、公路提升现代化水平，基本形成以铁路、高速公路和国省干线公路为骨架、农村公路为基础的多层次、便捷化的现代化综合立体交通网络。</w:t>
      </w:r>
      <w:r>
        <w:rPr>
          <w:rFonts w:hint="eastAsia" w:ascii="仿宋_GB2312" w:hAnsi="仿宋_GB2312" w:eastAsia="仿宋_GB2312" w:cs="仿宋_GB2312"/>
          <w:sz w:val="32"/>
          <w:szCs w:val="32"/>
          <w:lang w:val="zh-CN"/>
        </w:rPr>
        <w:t>加快推进</w:t>
      </w:r>
      <w:r>
        <w:rPr>
          <w:rFonts w:hint="eastAsia" w:ascii="仿宋_GB2312" w:hAnsi="仿宋_GB2312" w:cs="仿宋_GB2312"/>
          <w:sz w:val="32"/>
          <w:szCs w:val="32"/>
          <w:lang w:val="en-US" w:eastAsia="zh-CN"/>
        </w:rPr>
        <w:t>倒淌河镇</w:t>
      </w:r>
      <w:r>
        <w:rPr>
          <w:rFonts w:hint="eastAsia" w:ascii="仿宋_GB2312" w:hAnsi="仿宋_GB2312" w:eastAsia="仿宋_GB2312" w:cs="仿宋_GB2312"/>
          <w:sz w:val="32"/>
          <w:szCs w:val="32"/>
          <w:lang w:val="en-US" w:eastAsia="zh-CN"/>
        </w:rPr>
        <w:t>低空飞行项目建设</w:t>
      </w:r>
      <w:r>
        <w:rPr>
          <w:rFonts w:hint="eastAsia" w:ascii="仿宋_GB2312" w:hAnsi="仿宋_GB2312" w:eastAsia="仿宋_GB2312" w:cs="仿宋_GB2312"/>
          <w:sz w:val="32"/>
          <w:szCs w:val="32"/>
          <w:lang w:val="zh-CN"/>
        </w:rPr>
        <w:t>前期工作，积极配合共和</w:t>
      </w:r>
      <w:r>
        <w:rPr>
          <w:rFonts w:hint="eastAsia" w:ascii="仿宋_GB2312" w:hAnsi="仿宋_GB2312" w:eastAsia="仿宋_GB2312" w:cs="仿宋_GB2312"/>
          <w:sz w:val="32"/>
          <w:szCs w:val="32"/>
          <w:lang w:val="en-US" w:eastAsia="zh-CN"/>
        </w:rPr>
        <w:t>发展低空经济</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Cs w:val="32"/>
        </w:rPr>
        <w:t>进一步促进兰西城市群交通一体化发展和泛共和盆地区域协调发展，逐步形成完善的综合立体交通网。</w:t>
      </w:r>
    </w:p>
    <w:p w14:paraId="663367D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预控铁路廊道实现跨越式发展</w:t>
      </w:r>
    </w:p>
    <w:p w14:paraId="0E781828">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借力</w:t>
      </w:r>
      <w:r>
        <w:rPr>
          <w:rFonts w:hint="eastAsia" w:ascii="仿宋_GB2312" w:hAnsi="仿宋_GB2312" w:cs="仿宋_GB2312"/>
          <w:szCs w:val="32"/>
          <w:lang w:val="en-US" w:eastAsia="zh-CN"/>
        </w:rPr>
        <w:t>区域铁路发展机遇</w:t>
      </w:r>
      <w:r>
        <w:rPr>
          <w:rFonts w:hint="eastAsia" w:ascii="仿宋_GB2312" w:hAnsi="仿宋_GB2312" w:eastAsia="仿宋_GB2312" w:cs="仿宋_GB2312"/>
          <w:szCs w:val="32"/>
        </w:rPr>
        <w:t>，加快推进铁路建设，衔接区域大通道，融入区域铁路网。通过铁路干线，提升客运出行效率，引导大宗物资运输实现“公转铁”，加快推进“西宁-共和-青海湖-茶卡”城际铁路</w:t>
      </w:r>
      <w:r>
        <w:rPr>
          <w:rFonts w:hint="eastAsia" w:ascii="仿宋_GB2312" w:hAnsi="仿宋_GB2312" w:cs="仿宋_GB2312"/>
          <w:szCs w:val="32"/>
          <w:lang w:val="en-US" w:eastAsia="zh-CN"/>
        </w:rPr>
        <w:t>倒淌河站的建设</w:t>
      </w:r>
      <w:r>
        <w:rPr>
          <w:rFonts w:hint="eastAsia" w:ascii="仿宋_GB2312" w:hAnsi="仿宋_GB2312" w:eastAsia="仿宋_GB2312" w:cs="仿宋_GB2312"/>
          <w:szCs w:val="32"/>
        </w:rPr>
        <w:t>。</w:t>
      </w:r>
      <w:r>
        <w:rPr>
          <w:rFonts w:hint="eastAsia" w:ascii="仿宋_GB2312" w:hAnsi="仿宋_GB2312" w:cs="仿宋_GB2312"/>
          <w:szCs w:val="32"/>
          <w:lang w:val="en-US" w:eastAsia="zh-CN"/>
        </w:rPr>
        <w:t>助力</w:t>
      </w:r>
      <w:r>
        <w:rPr>
          <w:rFonts w:hint="eastAsia" w:ascii="仿宋_GB2312" w:hAnsi="仿宋_GB2312" w:eastAsia="仿宋_GB2312" w:cs="仿宋_GB2312"/>
          <w:szCs w:val="32"/>
        </w:rPr>
        <w:t>共和充分融入“西宁-海东都市圈”，与西宁共建“1小时核心交通圈”，实现同城化、—体化发展。</w:t>
      </w:r>
    </w:p>
    <w:p w14:paraId="2FE86E0F">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有效预留普通铁路廊道。</w:t>
      </w:r>
      <w:bookmarkStart w:id="72" w:name="_Hlk164960439"/>
      <w:r>
        <w:rPr>
          <w:rFonts w:hint="eastAsia" w:ascii="仿宋_GB2312" w:hAnsi="仿宋_GB2312" w:cs="仿宋_GB2312"/>
          <w:szCs w:val="32"/>
          <w:lang w:val="en-US" w:eastAsia="zh-CN"/>
        </w:rPr>
        <w:t>预留“</w:t>
      </w:r>
      <w:r>
        <w:rPr>
          <w:rFonts w:hint="eastAsia"/>
        </w:rPr>
        <w:t>青藏滇</w:t>
      </w:r>
      <w:r>
        <w:rPr>
          <w:rFonts w:hint="eastAsia" w:ascii="仿宋_GB2312" w:hAnsi="仿宋_GB2312" w:cs="仿宋_GB2312"/>
          <w:szCs w:val="32"/>
          <w:lang w:val="en-US" w:eastAsia="zh-CN"/>
        </w:rPr>
        <w:t>”</w:t>
      </w:r>
      <w:r>
        <w:rPr>
          <w:rFonts w:hint="eastAsia"/>
        </w:rPr>
        <w:t>铁路建设项目</w:t>
      </w:r>
      <w:r>
        <w:rPr>
          <w:rFonts w:hint="eastAsia"/>
          <w:lang w:val="en-US" w:eastAsia="zh-CN"/>
        </w:rPr>
        <w:t>线路廊道，铁路线两侧安全保护范</w:t>
      </w:r>
      <w:r>
        <w:rPr>
          <w:rFonts w:hint="eastAsia" w:ascii="仿宋_GB2312" w:hAnsi="仿宋_GB2312" w:eastAsia="仿宋_GB2312" w:cs="仿宋_GB2312"/>
          <w:lang w:val="en-US" w:eastAsia="zh-CN"/>
        </w:rPr>
        <w:t>围各10米</w:t>
      </w:r>
      <w:r>
        <w:rPr>
          <w:rFonts w:hint="eastAsia" w:ascii="仿宋_GB2312" w:hAnsi="仿宋_GB2312" w:eastAsia="仿宋_GB2312" w:cs="仿宋_GB2312"/>
          <w:szCs w:val="32"/>
        </w:rPr>
        <w:t>。积极打造公路货运与铁路高效衔接的多式链，以</w:t>
      </w:r>
      <w:r>
        <w:rPr>
          <w:rFonts w:hint="eastAsia" w:ascii="仿宋_GB2312" w:hAnsi="仿宋_GB2312" w:cs="仿宋_GB2312"/>
          <w:szCs w:val="32"/>
          <w:lang w:val="en-US" w:eastAsia="zh-CN"/>
        </w:rPr>
        <w:t>倒淌河站</w:t>
      </w:r>
      <w:r>
        <w:rPr>
          <w:rFonts w:hint="eastAsia" w:ascii="仿宋_GB2312" w:hAnsi="仿宋_GB2312" w:eastAsia="仿宋_GB2312" w:cs="仿宋_GB2312"/>
          <w:szCs w:val="32"/>
        </w:rPr>
        <w:t>为枢纽节点，形成统一的多式联运标准和准则。公铁联运对外衔接主要通道包括京藏高速公路、国道214、国道109</w:t>
      </w:r>
      <w:r>
        <w:rPr>
          <w:rFonts w:hint="eastAsia" w:ascii="仿宋_GB2312" w:hAnsi="仿宋_GB2312" w:cs="仿宋_GB2312"/>
          <w:szCs w:val="32"/>
          <w:lang w:eastAsia="zh-CN"/>
        </w:rPr>
        <w:t>、</w:t>
      </w:r>
      <w:r>
        <w:rPr>
          <w:rFonts w:hint="eastAsia" w:ascii="仿宋_GB2312" w:hAnsi="仿宋_GB2312" w:cs="仿宋_GB2312"/>
          <w:szCs w:val="32"/>
          <w:lang w:val="en-US" w:eastAsia="zh-CN"/>
        </w:rPr>
        <w:t>省道207、省道19（新建）</w:t>
      </w:r>
      <w:r>
        <w:rPr>
          <w:rFonts w:hint="eastAsia" w:ascii="仿宋_GB2312" w:hAnsi="仿宋_GB2312" w:eastAsia="仿宋_GB2312" w:cs="仿宋_GB2312"/>
          <w:szCs w:val="32"/>
        </w:rPr>
        <w:t>等干线公路。</w:t>
      </w:r>
      <w:bookmarkEnd w:id="72"/>
    </w:p>
    <w:p w14:paraId="3EFFCAE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提质增效建设高标准公路网络</w:t>
      </w:r>
    </w:p>
    <w:p w14:paraId="3CBE291F">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构筑完善的高等级公路骨架网，至规划期末，形成“</w:t>
      </w:r>
      <w:r>
        <w:rPr>
          <w:rFonts w:hint="eastAsia" w:ascii="仿宋_GB2312" w:hAnsi="仿宋_GB2312" w:cs="仿宋_GB2312"/>
          <w:szCs w:val="32"/>
          <w:lang w:val="en-US" w:eastAsia="zh-CN"/>
        </w:rPr>
        <w:t>四</w:t>
      </w:r>
      <w:r>
        <w:rPr>
          <w:rFonts w:hint="eastAsia" w:ascii="仿宋_GB2312" w:hAnsi="仿宋_GB2312" w:eastAsia="仿宋_GB2312" w:cs="仿宋_GB2312"/>
          <w:szCs w:val="32"/>
        </w:rPr>
        <w:t>横</w:t>
      </w:r>
      <w:r>
        <w:rPr>
          <w:rFonts w:hint="eastAsia" w:ascii="仿宋_GB2312" w:hAnsi="仿宋_GB2312" w:cs="仿宋_GB2312"/>
          <w:szCs w:val="32"/>
          <w:lang w:val="en-US" w:eastAsia="zh-CN"/>
        </w:rPr>
        <w:t>三</w:t>
      </w:r>
      <w:r>
        <w:rPr>
          <w:rFonts w:hint="eastAsia" w:ascii="仿宋_GB2312" w:hAnsi="仿宋_GB2312" w:eastAsia="仿宋_GB2312" w:cs="仿宋_GB2312"/>
          <w:szCs w:val="32"/>
        </w:rPr>
        <w:t>纵</w:t>
      </w:r>
      <w:r>
        <w:rPr>
          <w:rFonts w:hint="eastAsia" w:ascii="仿宋_GB2312" w:hAnsi="仿宋_GB2312" w:cs="仿宋_GB2312"/>
          <w:szCs w:val="32"/>
          <w:lang w:val="en-US" w:eastAsia="zh-CN"/>
        </w:rPr>
        <w:t>三连</w:t>
      </w:r>
      <w:r>
        <w:rPr>
          <w:rFonts w:hint="eastAsia" w:ascii="仿宋_GB2312" w:hAnsi="仿宋_GB2312" w:eastAsia="仿宋_GB2312" w:cs="仿宋_GB2312"/>
          <w:szCs w:val="32"/>
        </w:rPr>
        <w:t>”</w:t>
      </w:r>
      <w:r>
        <w:rPr>
          <w:rFonts w:hint="eastAsia" w:ascii="仿宋_GB2312" w:hAnsi="仿宋_GB2312" w:cs="仿宋_GB2312"/>
          <w:szCs w:val="32"/>
          <w:lang w:eastAsia="zh-CN"/>
        </w:rPr>
        <w:t>的</w:t>
      </w:r>
      <w:r>
        <w:rPr>
          <w:rFonts w:hint="eastAsia" w:ascii="仿宋_GB2312" w:hAnsi="仿宋_GB2312" w:eastAsia="仿宋_GB2312" w:cs="仿宋_GB2312"/>
          <w:szCs w:val="32"/>
        </w:rPr>
        <w:t>高等级公路主骨架网络，实现高等级公路互联互通、覆盖成网。</w:t>
      </w:r>
    </w:p>
    <w:p w14:paraId="3E410108">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以优化路网结构和提高服务水平为重点，推进普通国、省干线公路升级改造。至规划期末，普通国、省干线全部达到二级公路及以上技术标准，与高速公路、一级公路共同支撑县域乡镇1.5小时交通便捷可达。</w:t>
      </w:r>
    </w:p>
    <w:p w14:paraId="06B04F83">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规划二级公路主要包括国道干线，G109、G214；省道干线，S207、</w:t>
      </w:r>
      <w:r>
        <w:rPr>
          <w:rFonts w:hint="eastAsia" w:ascii="仿宋_GB2312" w:hAnsi="仿宋_GB2312" w:cs="仿宋_GB2312"/>
          <w:szCs w:val="32"/>
          <w:lang w:val="en-US" w:eastAsia="zh-CN"/>
        </w:rPr>
        <w:t>S19</w:t>
      </w:r>
      <w:r>
        <w:rPr>
          <w:rFonts w:hint="eastAsia" w:ascii="仿宋_GB2312" w:hAnsi="仿宋_GB2312" w:eastAsia="仿宋_GB2312" w:cs="仿宋_GB2312"/>
          <w:szCs w:val="32"/>
        </w:rPr>
        <w:t>。</w:t>
      </w:r>
    </w:p>
    <w:p w14:paraId="74C43A39">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以提升县域乡镇通达效率为目标，提升县道技术等级。至规划期末，县道全部达到三级公路及以上技术标准。规划县道主要包括X302、X305等。</w:t>
      </w:r>
    </w:p>
    <w:p w14:paraId="50AA3F24">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延伸拓展农村公路网。推进“四好农村路”建设，实现全县各行政村通双车道四级公路比例达100%，推进较大人口规模的自然村通双车道硬化公路，提升农村公路覆盖广度和深度。</w:t>
      </w:r>
    </w:p>
    <w:p w14:paraId="59506BA0">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其中，公路建筑控制区的范围，从公路用地外缘起向外的距离标准为：国道不少于20米；省道不少于15米；属于高速公路的，公路建筑控制区的范围从公路用地外缘起向外的距离标准不少于30米。</w:t>
      </w:r>
    </w:p>
    <w:p w14:paraId="2462258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统筹一体高质量发展城乡公交</w:t>
      </w:r>
    </w:p>
    <w:p w14:paraId="54727392">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以城乡公交—体化发展为目标，推动城乡公交提质增效，拓展通达深度、发车频率和服务效率。</w:t>
      </w:r>
      <w:bookmarkStart w:id="73" w:name="_Hlk155187357"/>
      <w:r>
        <w:rPr>
          <w:rFonts w:hint="eastAsia" w:ascii="仿宋_GB2312" w:hAnsi="仿宋_GB2312" w:eastAsia="仿宋_GB2312" w:cs="仿宋_GB2312"/>
          <w:szCs w:val="32"/>
        </w:rPr>
        <w:t>推进交旅设施融合发展，结合青海湖国家公园基础设施建设，逐步完善交通设施，优化公交线网和场站布局，加快充电设施建设，加快补齐城镇公交设施短板，</w:t>
      </w:r>
      <w:r>
        <w:rPr>
          <w:rFonts w:hint="eastAsia" w:ascii="仿宋_GB2312" w:hAnsi="仿宋_GB2312" w:cs="仿宋_GB2312"/>
          <w:szCs w:val="32"/>
          <w:lang w:val="en-US" w:eastAsia="zh-CN"/>
        </w:rPr>
        <w:t>提升改造现状倒淌河站</w:t>
      </w:r>
      <w:r>
        <w:rPr>
          <w:rFonts w:hint="eastAsia" w:ascii="仿宋_GB2312" w:hAnsi="仿宋_GB2312" w:eastAsia="仿宋_GB2312" w:cs="仿宋_GB2312"/>
          <w:szCs w:val="32"/>
        </w:rPr>
        <w:t>综合客运中心</w:t>
      </w:r>
      <w:r>
        <w:rPr>
          <w:rFonts w:hint="eastAsia" w:ascii="仿宋_GB2312" w:hAnsi="仿宋_GB2312" w:cs="仿宋_GB2312"/>
          <w:szCs w:val="32"/>
          <w:lang w:eastAsia="zh-CN"/>
        </w:rPr>
        <w:t>，</w:t>
      </w:r>
      <w:r>
        <w:rPr>
          <w:rFonts w:hint="eastAsia" w:ascii="仿宋_GB2312" w:hAnsi="仿宋_GB2312" w:cs="仿宋_GB2312"/>
          <w:szCs w:val="32"/>
          <w:lang w:val="en-US" w:eastAsia="zh-CN"/>
        </w:rPr>
        <w:t>建设</w:t>
      </w:r>
      <w:r>
        <w:rPr>
          <w:rFonts w:hint="eastAsia" w:ascii="仿宋_GB2312" w:hAnsi="仿宋_GB2312" w:eastAsia="仿宋_GB2312" w:cs="仿宋_GB2312"/>
          <w:szCs w:val="32"/>
        </w:rPr>
        <w:t>公交港湾、公共停车场等，提升公共交通转换效率。依托青海湖景观节点，重点打造自助（驾）游租赁服务体系，推动城乡公交高质量发展，促进交旅融合良性互动。</w:t>
      </w:r>
      <w:bookmarkEnd w:id="73"/>
    </w:p>
    <w:p w14:paraId="230C2B7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default"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完善内外联通的乡村道路网</w:t>
      </w:r>
    </w:p>
    <w:p w14:paraId="5CF4130A">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至规划期末，形成内外联通的乡村道路网。修复和改善现有破损严重的道路，提高道路平整度和通行安全性，确保居民日常出行和农牧业生产运输基本顺畅。加强与周边主要交通节点的连接，提升道路网的连通性，初步缓解交通拥堵状况。道路两侧设置完善的排水系统和路灯设施，交通安全标识齐全。</w:t>
      </w:r>
    </w:p>
    <w:p w14:paraId="13F6839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多式协同完善现代化物流体系</w:t>
      </w:r>
    </w:p>
    <w:p w14:paraId="73CC68C5">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构建完善的物流运输网络。</w:t>
      </w:r>
      <w:r>
        <w:rPr>
          <w:rFonts w:hint="eastAsia" w:ascii="仿宋_GB2312" w:hAnsi="仿宋_GB2312" w:eastAsia="仿宋_GB2312" w:cs="仿宋_GB2312"/>
          <w:szCs w:val="32"/>
        </w:rPr>
        <w:t>结合</w:t>
      </w:r>
      <w:r>
        <w:rPr>
          <w:rFonts w:hint="eastAsia" w:ascii="仿宋_GB2312" w:hAnsi="仿宋_GB2312" w:cs="仿宋_GB2312"/>
          <w:szCs w:val="32"/>
          <w:lang w:val="en-US" w:eastAsia="zh-CN"/>
        </w:rPr>
        <w:t>县域</w:t>
      </w:r>
      <w:r>
        <w:rPr>
          <w:rFonts w:hint="eastAsia" w:ascii="仿宋_GB2312" w:hAnsi="仿宋_GB2312" w:eastAsia="仿宋_GB2312" w:cs="仿宋_GB2312"/>
          <w:szCs w:val="32"/>
        </w:rPr>
        <w:t>城镇物流体系</w:t>
      </w:r>
      <w:r>
        <w:rPr>
          <w:rFonts w:hint="eastAsia" w:ascii="仿宋_GB2312" w:hAnsi="仿宋_GB2312" w:cs="仿宋_GB2312"/>
          <w:szCs w:val="32"/>
          <w:lang w:val="en-US" w:eastAsia="zh-CN"/>
        </w:rPr>
        <w:t>规划，加快建设</w:t>
      </w:r>
      <w:r>
        <w:rPr>
          <w:rFonts w:hint="eastAsia" w:ascii="仿宋_GB2312" w:hAnsi="仿宋_GB2312" w:eastAsia="仿宋_GB2312" w:cs="仿宋_GB2312"/>
          <w:szCs w:val="32"/>
        </w:rPr>
        <w:t>倒淌河专业物流中心，</w:t>
      </w:r>
      <w:r>
        <w:rPr>
          <w:rFonts w:hint="eastAsia" w:ascii="仿宋_GB2312" w:hAnsi="仿宋_GB2312" w:cs="仿宋_GB2312"/>
          <w:szCs w:val="32"/>
          <w:lang w:val="en-US" w:eastAsia="zh-CN"/>
        </w:rPr>
        <w:t>在镇区</w:t>
      </w:r>
      <w:r>
        <w:rPr>
          <w:rFonts w:hint="eastAsia" w:ascii="仿宋_GB2312" w:hAnsi="仿宋_GB2312" w:eastAsia="仿宋_GB2312" w:cs="仿宋_GB2312"/>
          <w:szCs w:val="32"/>
        </w:rPr>
        <w:t>设置一处物流集散点。依托覆盖</w:t>
      </w:r>
      <w:r>
        <w:rPr>
          <w:rFonts w:hint="eastAsia" w:ascii="仿宋_GB2312" w:hAnsi="仿宋_GB2312" w:cs="仿宋_GB2312"/>
          <w:szCs w:val="32"/>
          <w:lang w:eastAsia="zh-CN"/>
        </w:rPr>
        <w:t>镇</w:t>
      </w:r>
      <w:r>
        <w:rPr>
          <w:rFonts w:hint="eastAsia" w:ascii="仿宋_GB2312" w:hAnsi="仿宋_GB2312" w:eastAsia="仿宋_GB2312" w:cs="仿宋_GB2312"/>
          <w:szCs w:val="32"/>
        </w:rPr>
        <w:t>域的综合立体交通网，构建</w:t>
      </w:r>
      <w:r>
        <w:rPr>
          <w:rFonts w:hint="eastAsia" w:ascii="仿宋_GB2312" w:hAnsi="仿宋_GB2312" w:cs="仿宋_GB2312"/>
          <w:szCs w:val="32"/>
          <w:lang w:val="en-US" w:eastAsia="zh-CN"/>
        </w:rPr>
        <w:t>公路为主</w:t>
      </w:r>
      <w:r>
        <w:rPr>
          <w:rFonts w:hint="eastAsia" w:ascii="仿宋_GB2312" w:hAnsi="仿宋_GB2312" w:eastAsia="仿宋_GB2312" w:cs="仿宋_GB2312"/>
          <w:szCs w:val="32"/>
        </w:rPr>
        <w:t>的物流运输网络。</w:t>
      </w:r>
    </w:p>
    <w:p w14:paraId="281D73FC">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完善乡村物流配送网络。</w:t>
      </w:r>
      <w:r>
        <w:rPr>
          <w:rFonts w:hint="eastAsia" w:ascii="仿宋_GB2312" w:hAnsi="仿宋_GB2312" w:eastAsia="仿宋_GB2312" w:cs="仿宋_GB2312"/>
          <w:szCs w:val="32"/>
        </w:rPr>
        <w:t>加快推进农村生产生活资料配送网络建设，完善乡</w:t>
      </w:r>
      <w:r>
        <w:rPr>
          <w:rFonts w:hint="eastAsia" w:ascii="仿宋_GB2312" w:hAnsi="仿宋_GB2312" w:cs="仿宋_GB2312"/>
          <w:szCs w:val="32"/>
          <w:lang w:eastAsia="zh-CN"/>
        </w:rPr>
        <w:t>（</w:t>
      </w:r>
      <w:r>
        <w:rPr>
          <w:rFonts w:hint="eastAsia" w:ascii="仿宋_GB2312" w:hAnsi="仿宋_GB2312" w:cs="仿宋_GB2312"/>
          <w:szCs w:val="32"/>
          <w:lang w:val="en-US" w:eastAsia="zh-CN"/>
        </w:rPr>
        <w:t>镇</w:t>
      </w:r>
      <w:r>
        <w:rPr>
          <w:rFonts w:hint="eastAsia" w:ascii="仿宋_GB2312" w:hAnsi="仿宋_GB2312" w:cs="仿宋_GB2312"/>
          <w:szCs w:val="32"/>
          <w:lang w:eastAsia="zh-CN"/>
        </w:rPr>
        <w:t>）</w:t>
      </w:r>
      <w:r>
        <w:rPr>
          <w:rFonts w:hint="eastAsia" w:ascii="仿宋_GB2312" w:hAnsi="仿宋_GB2312" w:eastAsia="仿宋_GB2312" w:cs="仿宋_GB2312"/>
          <w:szCs w:val="32"/>
        </w:rPr>
        <w:t>、村</w:t>
      </w:r>
      <w:r>
        <w:rPr>
          <w:rFonts w:hint="eastAsia" w:ascii="仿宋_GB2312" w:hAnsi="仿宋_GB2312" w:cs="仿宋_GB2312"/>
          <w:szCs w:val="32"/>
          <w:lang w:val="en-US" w:eastAsia="zh-CN"/>
        </w:rPr>
        <w:t>两</w:t>
      </w:r>
      <w:r>
        <w:rPr>
          <w:rFonts w:hint="eastAsia" w:ascii="仿宋_GB2312" w:hAnsi="仿宋_GB2312" w:eastAsia="仿宋_GB2312" w:cs="仿宋_GB2312"/>
          <w:szCs w:val="32"/>
        </w:rPr>
        <w:t>级农村物流配送体系，有效解决乡村物流“最后一公里”问题。鼓励邮政和快递服务网点合作，推动客运班线代运货邮小件，实现优势互补，拓展服务范围。</w:t>
      </w:r>
    </w:p>
    <w:p w14:paraId="4ED5E8BD">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4" w:name="_Toc10457"/>
      <w:r>
        <w:rPr>
          <w:rFonts w:hint="eastAsia" w:ascii="Arial" w:hAnsi="Arial" w:eastAsia="黑体" w:cs="Times New Roman"/>
          <w:b w:val="0"/>
          <w:lang w:val="en-US" w:eastAsia="zh-CN"/>
        </w:rPr>
        <w:t>构建安全可靠水利基础设施网络</w:t>
      </w:r>
      <w:bookmarkEnd w:id="74"/>
    </w:p>
    <w:p w14:paraId="0971C2E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镇村水利</w:t>
      </w:r>
      <w:r>
        <w:rPr>
          <w:rFonts w:hint="eastAsia" w:ascii="楷体_GB2312" w:hAnsi="Times New Roman" w:eastAsia="楷体_GB2312" w:cs="Times New Roman"/>
          <w:bCs/>
          <w:sz w:val="32"/>
          <w:szCs w:val="32"/>
        </w:rPr>
        <w:t>工程</w:t>
      </w:r>
    </w:p>
    <w:p w14:paraId="74AAE5A7">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倒淌河镇属于环湖片区，应以生态保护与自然修复并举，巩固和扩大生态保护建设成果，结合生态移民搬迁</w:t>
      </w:r>
      <w:r>
        <w:rPr>
          <w:rFonts w:hint="eastAsia" w:ascii="仿宋_GB2312" w:hAnsi="仿宋_GB2312" w:cs="仿宋_GB2312"/>
          <w:szCs w:val="32"/>
          <w:lang w:eastAsia="zh-CN"/>
        </w:rPr>
        <w:t>、农</w:t>
      </w:r>
      <w:r>
        <w:rPr>
          <w:rFonts w:hint="eastAsia" w:ascii="仿宋_GB2312" w:hAnsi="仿宋_GB2312" w:eastAsia="仿宋_GB2312" w:cs="仿宋_GB2312"/>
          <w:szCs w:val="32"/>
        </w:rPr>
        <w:t>牧民定居，实施人畜饮水标准化建设，提高饮水安全保障程度；开展倒淌河中小河流治理及农村山洪沟道治理，不断完善防洪减灾体系，确保防洪安全。加快推进重点水源和骨干工程建设，实施完成倒淌河镇抗旱水源工程建设，保障乡镇居民用水。</w:t>
      </w:r>
    </w:p>
    <w:p w14:paraId="1714C78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流域综合治理工程</w:t>
      </w:r>
    </w:p>
    <w:p w14:paraId="3CCE2315">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统筹推进小流域综合治理，以小流域为单元，完善流域水土流失综合防护体系，开展生态清洁小流域建设，保障</w:t>
      </w:r>
      <w:r>
        <w:rPr>
          <w:rFonts w:hint="eastAsia" w:ascii="仿宋_GB2312" w:hAnsi="仿宋_GB2312" w:cs="仿宋_GB2312"/>
          <w:szCs w:val="32"/>
          <w:lang w:val="en-US" w:eastAsia="zh-CN"/>
        </w:rPr>
        <w:t>倒淌河</w:t>
      </w:r>
      <w:r>
        <w:rPr>
          <w:rFonts w:hint="eastAsia" w:ascii="仿宋_GB2312" w:hAnsi="仿宋_GB2312" w:eastAsia="仿宋_GB2312" w:cs="仿宋_GB2312"/>
          <w:szCs w:val="32"/>
        </w:rPr>
        <w:t>流域生态治理综合工程</w:t>
      </w:r>
      <w:r>
        <w:rPr>
          <w:rFonts w:hint="eastAsia" w:ascii="仿宋_GB2312" w:hAnsi="仿宋_GB2312" w:cs="仿宋_GB2312"/>
          <w:szCs w:val="32"/>
          <w:lang w:eastAsia="zh-CN"/>
        </w:rPr>
        <w:t>、</w:t>
      </w:r>
      <w:r>
        <w:rPr>
          <w:rFonts w:hint="eastAsia" w:ascii="仿宋_GB2312" w:hAnsi="仿宋_GB2312" w:cs="仿宋_GB2312"/>
          <w:szCs w:val="32"/>
          <w:lang w:val="en-US" w:eastAsia="zh-CN"/>
        </w:rPr>
        <w:t>去乎龙沟治理工程及其他农村沟道治理工程</w:t>
      </w:r>
      <w:r>
        <w:rPr>
          <w:rFonts w:hint="eastAsia" w:ascii="仿宋_GB2312" w:hAnsi="仿宋_GB2312" w:eastAsia="仿宋_GB2312" w:cs="仿宋_GB2312"/>
          <w:szCs w:val="32"/>
        </w:rPr>
        <w:t>等项目建设用地。构建生态优美、生活宜居的生态环境。</w:t>
      </w:r>
    </w:p>
    <w:p w14:paraId="48388AD1">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5" w:name="_Toc23057"/>
      <w:r>
        <w:rPr>
          <w:rFonts w:hint="eastAsia" w:ascii="Arial" w:hAnsi="Arial" w:eastAsia="黑体" w:cs="Times New Roman"/>
          <w:b w:val="0"/>
          <w:lang w:val="en-US" w:eastAsia="zh-CN"/>
        </w:rPr>
        <w:t>保障国家清洁能源产业高地建设</w:t>
      </w:r>
      <w:bookmarkEnd w:id="75"/>
    </w:p>
    <w:p w14:paraId="2EE0E26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能源利用</w:t>
      </w:r>
    </w:p>
    <w:p w14:paraId="18DA54F8">
      <w:pPr>
        <w:pStyle w:val="7"/>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大力倡导绿色价值观，坚持节约优先理念，树立节约集约循环利用的资源观，加快推动生产方式、生活方式绿色化</w:t>
      </w:r>
      <w:r>
        <w:rPr>
          <w:rFonts w:hint="eastAsia" w:ascii="仿宋_GB2312" w:hAnsi="仿宋_GB2312" w:cs="仿宋_GB2312"/>
          <w:szCs w:val="32"/>
          <w:lang w:eastAsia="zh-CN"/>
        </w:rPr>
        <w:t>，</w:t>
      </w:r>
      <w:r>
        <w:rPr>
          <w:rFonts w:hint="eastAsia" w:ascii="仿宋_GB2312" w:hAnsi="仿宋_GB2312" w:eastAsia="仿宋_GB2312" w:cs="仿宋_GB2312"/>
          <w:szCs w:val="32"/>
        </w:rPr>
        <w:t>扩大水能、太阳能、风能等清洁能源开发利用规模</w:t>
      </w:r>
      <w:r>
        <w:rPr>
          <w:rFonts w:hint="eastAsia" w:ascii="仿宋_GB2312" w:hAnsi="仿宋_GB2312" w:cs="仿宋_GB2312"/>
          <w:szCs w:val="32"/>
          <w:lang w:eastAsia="zh-CN"/>
        </w:rPr>
        <w:t>。</w:t>
      </w:r>
    </w:p>
    <w:p w14:paraId="6E4D84EF">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探索“清洁能源+生态+畜牧业+惠民+旅游”发展模式，重点开展清洁能源与改善生态环境、清洁能源与精准扶贫和清洁能源发电区域全覆盖的示范工作，实现清洁能源高效应用，打造清洁能源可持续利用示范样板。完善清洁能源可持续利用服务体系推动清洁能源产业科技服务平台建设，建设清洁能源智能化服务体系。清洁能源市场化、产业化，倒淌河镇</w:t>
      </w:r>
      <w:r>
        <w:rPr>
          <w:rFonts w:hint="eastAsia" w:ascii="仿宋_GB2312" w:hAnsi="仿宋_GB2312" w:cs="仿宋_GB2312"/>
          <w:szCs w:val="32"/>
          <w:lang w:val="en-US" w:eastAsia="zh-CN"/>
        </w:rPr>
        <w:t>农牧区</w:t>
      </w:r>
      <w:r>
        <w:rPr>
          <w:rFonts w:hint="eastAsia" w:ascii="仿宋_GB2312" w:hAnsi="仿宋_GB2312" w:eastAsia="仿宋_GB2312" w:cs="仿宋_GB2312"/>
          <w:szCs w:val="32"/>
        </w:rPr>
        <w:t>采取清洁供暖工程和电采暖工程。</w:t>
      </w:r>
    </w:p>
    <w:p w14:paraId="696E375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能源用地</w:t>
      </w:r>
      <w:r>
        <w:rPr>
          <w:rFonts w:hint="eastAsia" w:ascii="楷体_GB2312" w:hAnsi="Times New Roman" w:eastAsia="楷体_GB2312" w:cs="Times New Roman"/>
          <w:bCs/>
          <w:sz w:val="32"/>
          <w:szCs w:val="32"/>
          <w:lang w:val="en-US" w:eastAsia="zh-CN"/>
        </w:rPr>
        <w:t>引导与管控</w:t>
      </w:r>
    </w:p>
    <w:p w14:paraId="11C33739">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综合太阳能资源分布、风能资源分布、生态保护红线分布、耕地和永久基本农田分布、草地资源分布及沙地裸土地裸岩石硕地分布、沙地禁封区分布等因素，并结合</w:t>
      </w:r>
      <w:r>
        <w:rPr>
          <w:rFonts w:hint="eastAsia" w:ascii="仿宋_GB2312" w:hAnsi="仿宋_GB2312" w:cs="仿宋_GB2312"/>
          <w:szCs w:val="32"/>
          <w:lang w:val="en-US" w:eastAsia="zh-CN"/>
        </w:rPr>
        <w:t>共和县</w:t>
      </w:r>
      <w:r>
        <w:rPr>
          <w:rFonts w:hint="eastAsia" w:ascii="仿宋_GB2312" w:hAnsi="仿宋_GB2312" w:eastAsia="仿宋_GB2312" w:cs="仿宋_GB2312"/>
          <w:szCs w:val="32"/>
        </w:rPr>
        <w:t>清洁能源发展规划可利用清洁能源用地。</w:t>
      </w:r>
    </w:p>
    <w:p w14:paraId="5E603620">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新能源项目选址应当避让耕地、生态保护红线、历史文化保护线、特殊自然景观价值和文化标识区域、天然林地、国家沙化土地封禁保护区（光伏发电项目输出线路允许穿越国家沙化土地封禁保护区）等；涉及自然保护地的，还应当符合自然保护地相关法规和政策要求。新建、扩建光伏发电项目，一律不得占用永久基本农田、基本草原、Ⅰ级保护林地。清洁能源用地引导线以外不宜布局集中分布的风电、光电项目，新能源项目立项、勘察设计阶段，可根据实际情况修改控制引导线边界。项目落地原则上按照优先发展区、引导发展区、控制引导区的优先顺序进行选址。项目永久性建(构)筑、光伏(风电)阵列基座和硬化土地等改变原土地形态的用地部分配置年度新增建设用地计划指标，并依法按建设用地办理手续。</w:t>
      </w:r>
    </w:p>
    <w:p w14:paraId="7508FB58">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6" w:name="_Toc18036"/>
      <w:r>
        <w:rPr>
          <w:rFonts w:hint="eastAsia" w:ascii="Arial" w:hAnsi="Arial" w:eastAsia="黑体" w:cs="Times New Roman"/>
          <w:b w:val="0"/>
          <w:lang w:val="en-US" w:eastAsia="zh-CN"/>
        </w:rPr>
        <w:t>推进绿色矿业建设</w:t>
      </w:r>
      <w:bookmarkEnd w:id="76"/>
    </w:p>
    <w:p w14:paraId="5512A45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加快推进绿色矿山建设</w:t>
      </w:r>
    </w:p>
    <w:p w14:paraId="4FAD51BD">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积极响应省级规划绿色矿业发展要求，加快转变矿业发展方式，按照“政府组织、部门协作、企业主体、公众参与、共同推进”的原则，以建设绿色矿山、逐步形成绿色矿业发展示范区为目标，把绿色发展理念和绿色矿山建设要求贯穿到矿山规划、设计、建设、运营和闭坑全过程，努力形成开采方式科学、资源利用高效、企业管理规范、生产工艺环保、矿山环境优美、矿山社区和谐的绿色矿业发展模式。力争到2035年，大中型矿山全部为绿色矿山，绿色矿山比例达100%</w:t>
      </w:r>
      <w:r>
        <w:rPr>
          <w:rFonts w:hint="eastAsia" w:ascii="仿宋_GB2312" w:hAnsi="仿宋_GB2312" w:cs="仿宋_GB2312"/>
          <w:szCs w:val="32"/>
          <w:lang w:eastAsia="zh-CN"/>
        </w:rPr>
        <w:t>，</w:t>
      </w:r>
      <w:r>
        <w:rPr>
          <w:rFonts w:hint="eastAsia" w:ascii="仿宋_GB2312" w:hAnsi="仿宋_GB2312" w:eastAsia="仿宋_GB2312" w:cs="仿宋_GB2312"/>
          <w:szCs w:val="32"/>
        </w:rPr>
        <w:t>做到资源集约节约利用水平显著提高，矿山地质环境得到有效保护和治理，矿区土地复垦水平全面提升，矿山企业与地方和谐发展。</w:t>
      </w:r>
    </w:p>
    <w:p w14:paraId="29B0C91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加强矿产资源保护</w:t>
      </w:r>
    </w:p>
    <w:p w14:paraId="48571AF4">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按照资源合理利用与保护相统一、资源开发与环境保护相协调的原则，统筹矿产资源规划，处理好地上与地下、矿产资源勘查开采与生态保护红线及永久基本农田等控制线的关系，优化矿产资源开采布局。加强对达不到开发要求的矿产资源和矿产开发过程中共生、伴生的尚难利用的资源的保护。促进矿产资源开发与矿山地质环境保护协调发展，最大限度地减少或避免在建矿山、生产矿山和关闭矿山因矿产开采形成的地质灾害、环境污染和生态破坏。</w:t>
      </w:r>
    </w:p>
    <w:p w14:paraId="1C736FAA">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7" w:name="_Toc23958"/>
      <w:r>
        <w:rPr>
          <w:rFonts w:hint="eastAsia" w:ascii="Arial" w:hAnsi="Arial" w:eastAsia="黑体" w:cs="Times New Roman"/>
          <w:b w:val="0"/>
          <w:lang w:val="en-US" w:eastAsia="zh-CN"/>
        </w:rPr>
        <w:t>系统布局新型基础设施</w:t>
      </w:r>
      <w:bookmarkEnd w:id="77"/>
    </w:p>
    <w:p w14:paraId="3B2FFCF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给水工程</w:t>
      </w:r>
    </w:p>
    <w:p w14:paraId="2EBB0191">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多水源保障供水安全。</w:t>
      </w:r>
      <w:r>
        <w:rPr>
          <w:rFonts w:hint="eastAsia" w:ascii="仿宋_GB2312" w:hAnsi="仿宋_GB2312" w:eastAsia="仿宋_GB2312" w:cs="仿宋_GB2312"/>
          <w:szCs w:val="32"/>
        </w:rPr>
        <w:t>提高水源安全保障水平，规划</w:t>
      </w:r>
      <w:r>
        <w:rPr>
          <w:rFonts w:hint="eastAsia" w:ascii="仿宋_GB2312" w:hAnsi="仿宋_GB2312" w:cs="仿宋_GB2312"/>
          <w:szCs w:val="32"/>
          <w:lang w:val="en-US" w:eastAsia="zh-CN"/>
        </w:rPr>
        <w:t>倒淌河镇水源</w:t>
      </w:r>
      <w:r>
        <w:rPr>
          <w:rFonts w:hint="eastAsia" w:ascii="仿宋_GB2312" w:hAnsi="仿宋_GB2312" w:eastAsia="仿宋_GB2312" w:cs="仿宋_GB2312"/>
          <w:szCs w:val="32"/>
        </w:rPr>
        <w:t>以</w:t>
      </w:r>
      <w:r>
        <w:rPr>
          <w:rFonts w:hint="eastAsia" w:ascii="仿宋_GB2312" w:hAnsi="仿宋_GB2312" w:cs="仿宋_GB2312"/>
          <w:szCs w:val="32"/>
          <w:lang w:val="en-US" w:eastAsia="zh-CN"/>
        </w:rPr>
        <w:t>地下水和地表水联合调度供给</w:t>
      </w:r>
      <w:r>
        <w:rPr>
          <w:rFonts w:hint="eastAsia" w:ascii="仿宋_GB2312" w:hAnsi="仿宋_GB2312" w:eastAsia="仿宋_GB2312" w:cs="仿宋_GB2312"/>
          <w:szCs w:val="32"/>
        </w:rPr>
        <w:t>，近期充分利用现状供水设施，逐步创造条件实行区域给水管网联网，实现区域供水</w:t>
      </w:r>
      <w:r>
        <w:rPr>
          <w:rFonts w:hint="eastAsia" w:ascii="仿宋_GB2312" w:hAnsi="仿宋_GB2312" w:cs="仿宋_GB2312"/>
          <w:szCs w:val="32"/>
          <w:lang w:eastAsia="zh-CN"/>
        </w:rPr>
        <w:t>；</w:t>
      </w:r>
      <w:r>
        <w:rPr>
          <w:rFonts w:hint="eastAsia" w:ascii="仿宋_GB2312" w:hAnsi="仿宋_GB2312" w:cs="仿宋_GB2312"/>
          <w:szCs w:val="32"/>
          <w:lang w:val="en-US" w:eastAsia="zh-CN"/>
        </w:rPr>
        <w:t>远期规划通过布哈河引水，推进环湖五镇供水骨干工程，建立稳定可靠、配置高效的水资源配置体系，提高乡村供水保障能力。</w:t>
      </w:r>
      <w:r>
        <w:rPr>
          <w:rFonts w:hint="eastAsia" w:ascii="仿宋_GB2312" w:hAnsi="仿宋_GB2312" w:eastAsia="仿宋_GB2312" w:cs="仿宋_GB2312"/>
          <w:szCs w:val="32"/>
        </w:rPr>
        <w:t>开展水源地生态保护，确保饮用水水源地水质稳定达标。</w:t>
      </w:r>
    </w:p>
    <w:p w14:paraId="0F98C962">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保障城乡供水基础设施建设。</w:t>
      </w:r>
      <w:r>
        <w:rPr>
          <w:rFonts w:hint="eastAsia" w:ascii="仿宋_GB2312" w:hAnsi="仿宋_GB2312" w:eastAsia="仿宋_GB2312" w:cs="仿宋_GB2312"/>
          <w:szCs w:val="32"/>
        </w:rPr>
        <w:t>提升</w:t>
      </w:r>
      <w:r>
        <w:rPr>
          <w:rFonts w:hint="eastAsia" w:ascii="仿宋_GB2312" w:hAnsi="仿宋_GB2312" w:cs="仿宋_GB2312"/>
          <w:szCs w:val="32"/>
          <w:lang w:val="en-US" w:eastAsia="zh-CN"/>
        </w:rPr>
        <w:t>镇区</w:t>
      </w:r>
      <w:r>
        <w:rPr>
          <w:rFonts w:hint="eastAsia" w:ascii="仿宋_GB2312" w:hAnsi="仿宋_GB2312" w:eastAsia="仿宋_GB2312" w:cs="仿宋_GB2312"/>
          <w:szCs w:val="32"/>
        </w:rPr>
        <w:t>供水服务保障水平，保障</w:t>
      </w:r>
      <w:r>
        <w:rPr>
          <w:rFonts w:hint="eastAsia" w:ascii="仿宋_GB2312" w:hAnsi="仿宋_GB2312" w:cs="仿宋_GB2312"/>
          <w:szCs w:val="32"/>
          <w:lang w:val="en-US" w:eastAsia="zh-CN"/>
        </w:rPr>
        <w:t>镇区东部供水设施</w:t>
      </w:r>
      <w:r>
        <w:rPr>
          <w:rFonts w:hint="eastAsia" w:ascii="仿宋_GB2312" w:hAnsi="仿宋_GB2312" w:eastAsia="仿宋_GB2312" w:cs="仿宋_GB2312"/>
          <w:szCs w:val="32"/>
        </w:rPr>
        <w:t>扩建用地；巩固完善</w:t>
      </w:r>
      <w:r>
        <w:rPr>
          <w:rFonts w:hint="eastAsia" w:ascii="仿宋_GB2312" w:hAnsi="仿宋_GB2312" w:cs="仿宋_GB2312"/>
          <w:szCs w:val="32"/>
          <w:lang w:val="en-US" w:eastAsia="zh-CN"/>
        </w:rPr>
        <w:t>镇区</w:t>
      </w:r>
      <w:r>
        <w:rPr>
          <w:rFonts w:hint="eastAsia" w:ascii="仿宋_GB2312" w:hAnsi="仿宋_GB2312" w:eastAsia="仿宋_GB2312" w:cs="仿宋_GB2312"/>
          <w:szCs w:val="32"/>
        </w:rPr>
        <w:t>供水工程，保障</w:t>
      </w:r>
      <w:r>
        <w:rPr>
          <w:rFonts w:hint="eastAsia" w:ascii="仿宋_GB2312" w:hAnsi="仿宋_GB2312" w:cs="仿宋_GB2312"/>
          <w:szCs w:val="32"/>
          <w:lang w:val="en-US" w:eastAsia="zh-CN"/>
        </w:rPr>
        <w:t>镇域</w:t>
      </w:r>
      <w:r>
        <w:rPr>
          <w:rFonts w:hint="eastAsia" w:ascii="仿宋_GB2312" w:hAnsi="仿宋_GB2312" w:eastAsia="仿宋_GB2312" w:cs="仿宋_GB2312"/>
          <w:szCs w:val="32"/>
        </w:rPr>
        <w:t>供水工程用地需求；开展抗旱水源工程建设，保障旱区城乡用水。村庄按照实际需求设置小型给水设施，相邻较近的村庄可以共建供水设施；自来水供水保证率达92%以上。</w:t>
      </w:r>
    </w:p>
    <w:p w14:paraId="37BCD084">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排水工程</w:t>
      </w:r>
    </w:p>
    <w:p w14:paraId="3732ABFB">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保障污水处理设施建设。</w:t>
      </w:r>
      <w:r>
        <w:rPr>
          <w:rFonts w:hint="eastAsia" w:ascii="仿宋_GB2312" w:hAnsi="仿宋_GB2312" w:eastAsia="仿宋_GB2312" w:cs="仿宋_GB2312"/>
          <w:szCs w:val="32"/>
        </w:rPr>
        <w:t>保障</w:t>
      </w:r>
      <w:r>
        <w:rPr>
          <w:rFonts w:hint="eastAsia" w:ascii="仿宋_GB2312" w:hAnsi="仿宋_GB2312" w:cs="仿宋_GB2312"/>
          <w:szCs w:val="32"/>
          <w:lang w:val="en-US" w:eastAsia="zh-CN"/>
        </w:rPr>
        <w:t>镇区北部</w:t>
      </w:r>
      <w:r>
        <w:rPr>
          <w:rFonts w:hint="eastAsia" w:ascii="仿宋_GB2312" w:hAnsi="仿宋_GB2312" w:eastAsia="仿宋_GB2312" w:cs="仿宋_GB2312"/>
          <w:szCs w:val="32"/>
        </w:rPr>
        <w:t>污水处理设施新增建设用地需求</w:t>
      </w:r>
      <w:r>
        <w:rPr>
          <w:rFonts w:hint="eastAsia" w:ascii="仿宋_GB2312" w:hAnsi="仿宋_GB2312" w:cs="仿宋_GB2312"/>
          <w:szCs w:val="32"/>
          <w:lang w:eastAsia="zh-CN"/>
        </w:rPr>
        <w:t>，</w:t>
      </w:r>
      <w:r>
        <w:rPr>
          <w:rFonts w:hint="eastAsia" w:ascii="仿宋_GB2312" w:hAnsi="仿宋_GB2312" w:eastAsia="仿宋_GB2312" w:cs="仿宋_GB2312"/>
          <w:szCs w:val="32"/>
        </w:rPr>
        <w:t>支持污水处理尾水湿地净化项目建设</w:t>
      </w:r>
      <w:r>
        <w:rPr>
          <w:rFonts w:hint="eastAsia" w:ascii="仿宋_GB2312" w:hAnsi="仿宋_GB2312" w:cs="仿宋_GB2312"/>
          <w:szCs w:val="32"/>
          <w:lang w:eastAsia="zh-CN"/>
        </w:rPr>
        <w:t>，</w:t>
      </w:r>
      <w:r>
        <w:rPr>
          <w:rFonts w:hint="eastAsia" w:ascii="仿宋_GB2312" w:hAnsi="仿宋_GB2312" w:eastAsia="仿宋_GB2312" w:cs="仿宋_GB2312"/>
          <w:szCs w:val="32"/>
        </w:rPr>
        <w:t>保障</w:t>
      </w:r>
      <w:r>
        <w:rPr>
          <w:rFonts w:hint="eastAsia" w:ascii="仿宋_GB2312" w:hAnsi="仿宋_GB2312" w:cs="仿宋_GB2312"/>
          <w:szCs w:val="32"/>
          <w:lang w:val="en-US" w:eastAsia="zh-CN"/>
        </w:rPr>
        <w:t>湖东种羊场</w:t>
      </w:r>
      <w:r>
        <w:rPr>
          <w:rFonts w:hint="eastAsia" w:ascii="仿宋_GB2312" w:hAnsi="仿宋_GB2312" w:eastAsia="仿宋_GB2312" w:cs="仿宋_GB2312"/>
          <w:szCs w:val="32"/>
        </w:rPr>
        <w:t>污水处理厂用地</w:t>
      </w:r>
      <w:r>
        <w:rPr>
          <w:rFonts w:hint="eastAsia" w:ascii="仿宋_GB2312" w:hAnsi="仿宋_GB2312" w:cs="仿宋_GB2312"/>
          <w:szCs w:val="32"/>
          <w:lang w:eastAsia="zh-CN"/>
        </w:rPr>
        <w:t>。</w:t>
      </w:r>
      <w:r>
        <w:rPr>
          <w:rFonts w:hint="eastAsia" w:ascii="仿宋_GB2312" w:hAnsi="仿宋_GB2312" w:eastAsia="仿宋_GB2312" w:cs="仿宋_GB2312"/>
          <w:szCs w:val="32"/>
        </w:rPr>
        <w:t>推进农村牧区生活污水治理，实施农村生活污水治理项目，推进美丽乡村建设。相对分散的农村牧区采取污水处理与资源利用相结合、运用分散式、生态化处理基础，提高农村牧区污水处理率。</w:t>
      </w:r>
    </w:p>
    <w:p w14:paraId="775DF39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电力工程</w:t>
      </w:r>
    </w:p>
    <w:p w14:paraId="70AA1F0E">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升级改造</w:t>
      </w:r>
      <w:r>
        <w:rPr>
          <w:rFonts w:hint="eastAsia" w:ascii="楷体_GB2312" w:hAnsi="楷体_GB2312" w:eastAsia="楷体_GB2312" w:cs="楷体_GB2312"/>
          <w:szCs w:val="32"/>
          <w:lang w:val="en-US" w:eastAsia="zh-CN"/>
        </w:rPr>
        <w:t>镇村</w:t>
      </w:r>
      <w:r>
        <w:rPr>
          <w:rFonts w:hint="eastAsia" w:ascii="楷体_GB2312" w:hAnsi="楷体_GB2312" w:eastAsia="楷体_GB2312" w:cs="楷体_GB2312"/>
          <w:szCs w:val="32"/>
        </w:rPr>
        <w:t>电力设施，大幅提高城乡供电安全保障能力。</w:t>
      </w:r>
      <w:r>
        <w:rPr>
          <w:rFonts w:hint="eastAsia" w:ascii="仿宋_GB2312" w:hAnsi="仿宋_GB2312" w:eastAsia="仿宋_GB2312" w:cs="仿宋_GB2312"/>
          <w:szCs w:val="32"/>
        </w:rPr>
        <w:t>倒淌河35KV变电站作为主供电源，规划扩容改建为110KV变电站。加强10KV配网建设工程，强化网架结构，提高用电的安全可靠性。</w:t>
      </w:r>
    </w:p>
    <w:p w14:paraId="59F2C007">
      <w:pPr>
        <w:pStyle w:val="7"/>
        <w:ind w:firstLine="640"/>
        <w:rPr>
          <w:rFonts w:hint="eastAsia" w:ascii="楷体_GB2312" w:hAnsi="Times New Roman" w:eastAsia="楷体_GB2312" w:cs="Times New Roman"/>
          <w:bCs/>
          <w:sz w:val="32"/>
          <w:szCs w:val="32"/>
        </w:rPr>
      </w:pPr>
      <w:r>
        <w:rPr>
          <w:rFonts w:hint="eastAsia" w:ascii="楷体_GB2312" w:hAnsi="楷体_GB2312" w:eastAsia="楷体_GB2312" w:cs="楷体_GB2312"/>
          <w:szCs w:val="32"/>
        </w:rPr>
        <w:t>加强重大电力廊道的控制与保护，保障电力运行的安全韧性。</w:t>
      </w:r>
      <w:r>
        <w:rPr>
          <w:rFonts w:hint="eastAsia" w:ascii="仿宋_GB2312" w:hAnsi="仿宋_GB2312" w:eastAsia="仿宋_GB2312" w:cs="仿宋_GB2312"/>
          <w:szCs w:val="32"/>
        </w:rPr>
        <w:t>高压廊道保护与管控符合相关规范要求，在高压廊道内，不得新建建筑物、构筑物。110千伏线路高压线走廊宽度15-25米；35千伏线路高压线走廊宽度15-20米。</w:t>
      </w:r>
    </w:p>
    <w:p w14:paraId="0CB3A7D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燃气工程</w:t>
      </w:r>
    </w:p>
    <w:p w14:paraId="342DEF26">
      <w:pPr>
        <w:pStyle w:val="7"/>
        <w:ind w:firstLine="640"/>
        <w:rPr>
          <w:rFonts w:hint="eastAsia" w:ascii="仿宋_GB2312" w:hAnsi="仿宋_GB2312" w:eastAsia="仿宋_GB2312" w:cs="仿宋_GB2312"/>
          <w:szCs w:val="32"/>
        </w:rPr>
      </w:pPr>
      <w:r>
        <w:rPr>
          <w:rFonts w:hint="eastAsia" w:ascii="楷体_GB2312" w:hAnsi="楷体_GB2312" w:eastAsia="楷体_GB2312" w:cs="楷体_GB2312"/>
          <w:szCs w:val="32"/>
        </w:rPr>
        <w:t>加强天然气设施的建设，提高</w:t>
      </w:r>
      <w:r>
        <w:rPr>
          <w:rFonts w:hint="eastAsia" w:ascii="楷体_GB2312" w:hAnsi="楷体_GB2312" w:eastAsia="楷体_GB2312" w:cs="楷体_GB2312"/>
          <w:szCs w:val="32"/>
          <w:lang w:val="en-US" w:eastAsia="zh-CN"/>
        </w:rPr>
        <w:t>镇村</w:t>
      </w:r>
      <w:r>
        <w:rPr>
          <w:rFonts w:hint="eastAsia" w:ascii="楷体_GB2312" w:hAnsi="楷体_GB2312" w:eastAsia="楷体_GB2312" w:cs="楷体_GB2312"/>
          <w:szCs w:val="32"/>
        </w:rPr>
        <w:t>供气可靠性。</w:t>
      </w:r>
      <w:r>
        <w:rPr>
          <w:rFonts w:hint="eastAsia" w:ascii="仿宋_GB2312" w:hAnsi="仿宋_GB2312" w:eastAsia="仿宋_GB2312" w:cs="仿宋_GB2312"/>
          <w:sz w:val="32"/>
          <w:szCs w:val="32"/>
        </w:rPr>
        <w:t>至2035年，倒淌河镇镇区管道天然气气化率为80%，结合倒淌河分输阀室新建倒淌河配气站</w:t>
      </w:r>
      <w:r>
        <w:rPr>
          <w:rFonts w:hint="eastAsia" w:ascii="仿宋_GB2312" w:hAnsi="仿宋_GB2312" w:cs="仿宋_GB2312"/>
          <w:sz w:val="32"/>
          <w:szCs w:val="32"/>
          <w:lang w:eastAsia="zh-CN"/>
        </w:rPr>
        <w:t>，</w:t>
      </w:r>
      <w:r>
        <w:rPr>
          <w:rFonts w:hint="eastAsia" w:ascii="仿宋_GB2312" w:hAnsi="仿宋_GB2312" w:eastAsia="仿宋_GB2312" w:cs="仿宋_GB2312"/>
          <w:szCs w:val="32"/>
        </w:rPr>
        <w:t>保障倒淌河配气站建设</w:t>
      </w:r>
      <w:r>
        <w:rPr>
          <w:rFonts w:hint="eastAsia" w:ascii="仿宋_GB2312" w:hAnsi="仿宋_GB2312" w:cs="仿宋_GB2312"/>
          <w:szCs w:val="32"/>
          <w:lang w:val="en-US" w:eastAsia="zh-CN"/>
        </w:rPr>
        <w:t>用地</w:t>
      </w:r>
      <w:r>
        <w:rPr>
          <w:rFonts w:hint="eastAsia" w:ascii="仿宋_GB2312" w:hAnsi="仿宋_GB2312" w:eastAsia="仿宋_GB2312" w:cs="仿宋_GB2312"/>
          <w:szCs w:val="32"/>
        </w:rPr>
        <w:t>。城镇管网可以延伸到的农村以管道天然气为主，</w:t>
      </w:r>
      <w:r>
        <w:rPr>
          <w:rFonts w:hint="eastAsia" w:ascii="仿宋_GB2312" w:hAnsi="仿宋_GB2312" w:cs="仿宋_GB2312"/>
          <w:szCs w:val="32"/>
          <w:lang w:eastAsia="zh-CN"/>
        </w:rPr>
        <w:t>其他</w:t>
      </w:r>
      <w:r>
        <w:rPr>
          <w:rFonts w:hint="eastAsia" w:ascii="仿宋_GB2312" w:hAnsi="仿宋_GB2312" w:eastAsia="仿宋_GB2312" w:cs="仿宋_GB2312"/>
          <w:szCs w:val="32"/>
        </w:rPr>
        <w:t>村庄以电力、液化石油气为主。</w:t>
      </w:r>
    </w:p>
    <w:p w14:paraId="3BE54A65">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供热工程</w:t>
      </w:r>
    </w:p>
    <w:p w14:paraId="09476C7E">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大力提升供暖清洁率，保障居民温暖过冬。近期，城镇新建建筑中绿色建筑占比达到100%，新建城镇居住建筑全部执行75%及以上节能设计标准、新建公共建筑全部执行72%节能设计标准。至规划末期，清洁取暖率达到100%。</w:t>
      </w:r>
    </w:p>
    <w:p w14:paraId="4D0880B4">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因地制宜选择方式多样清洁供暖模式，推进清洁供暖。</w:t>
      </w:r>
      <w:r>
        <w:rPr>
          <w:rFonts w:hint="eastAsia" w:ascii="仿宋_GB2312" w:hAnsi="仿宋_GB2312" w:cs="仿宋_GB2312"/>
          <w:szCs w:val="32"/>
          <w:lang w:val="en-US" w:eastAsia="zh-CN"/>
        </w:rPr>
        <w:t>镇区及</w:t>
      </w:r>
      <w:r>
        <w:rPr>
          <w:rFonts w:hint="eastAsia" w:ascii="仿宋_GB2312" w:hAnsi="仿宋_GB2312" w:eastAsia="仿宋_GB2312" w:cs="仿宋_GB2312"/>
          <w:szCs w:val="32"/>
        </w:rPr>
        <w:t>周边乡村天然气覆盖区域采用气代煤清洁取暖方式；未覆盖到的地区宜采用电采暖方式取暖；农村牧区应通过推广普及电力、太阳能等清洁取暖方式，逐步将农村地区散烧煤、粪区域全部改为清洁取暖。</w:t>
      </w:r>
    </w:p>
    <w:p w14:paraId="6D4E71FC">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环卫工程</w:t>
      </w:r>
    </w:p>
    <w:p w14:paraId="1B24ACB3">
      <w:pPr>
        <w:pStyle w:val="7"/>
        <w:ind w:firstLine="640"/>
        <w:rPr>
          <w:bCs/>
        </w:rPr>
      </w:pPr>
      <w:r>
        <w:rPr>
          <w:rFonts w:hint="eastAsia" w:ascii="楷体_GB2312" w:hAnsi="楷体_GB2312" w:eastAsia="楷体_GB2312" w:cs="楷体_GB2312"/>
          <w:szCs w:val="32"/>
        </w:rPr>
        <w:t>全面推进生活垃圾处理升级。</w:t>
      </w:r>
      <w:r>
        <w:rPr>
          <w:rFonts w:hint="eastAsia" w:ascii="仿宋_GB2312" w:hAnsi="仿宋_GB2312" w:eastAsia="仿宋_GB2312" w:cs="仿宋_GB2312"/>
          <w:sz w:val="32"/>
          <w:szCs w:val="32"/>
        </w:rPr>
        <w:t>规划采用“户收集、村转运、镇处理”的收集方式处理生活垃圾</w:t>
      </w:r>
      <w:r>
        <w:rPr>
          <w:rFonts w:hint="eastAsia" w:ascii="仿宋_GB2312" w:hAnsi="仿宋_GB2312" w:cs="仿宋_GB2312"/>
          <w:sz w:val="32"/>
          <w:szCs w:val="32"/>
          <w:lang w:eastAsia="zh-CN"/>
        </w:rPr>
        <w:t>，</w:t>
      </w:r>
      <w:r>
        <w:rPr>
          <w:rFonts w:hint="eastAsia"/>
          <w:bCs/>
        </w:rPr>
        <w:t>通过“填埋</w:t>
      </w:r>
      <w:r>
        <w:rPr>
          <w:bCs/>
        </w:rPr>
        <w:t>+</w:t>
      </w:r>
      <w:r>
        <w:rPr>
          <w:rFonts w:hint="eastAsia"/>
          <w:bCs/>
        </w:rPr>
        <w:t>高温热解</w:t>
      </w:r>
      <w:r>
        <w:rPr>
          <w:bCs/>
        </w:rPr>
        <w:t>”相结</w:t>
      </w:r>
      <w:r>
        <w:rPr>
          <w:rFonts w:hint="eastAsia"/>
          <w:bCs/>
        </w:rPr>
        <w:t>合</w:t>
      </w:r>
      <w:r>
        <w:rPr>
          <w:bCs/>
        </w:rPr>
        <w:t>的垃圾处理方式延长生活垃圾填埋场使用年限</w:t>
      </w:r>
      <w:r>
        <w:rPr>
          <w:rFonts w:hint="eastAsia"/>
          <w:bCs/>
          <w:lang w:eastAsia="zh-CN"/>
        </w:rPr>
        <w:t>。</w:t>
      </w:r>
      <w:r>
        <w:rPr>
          <w:rFonts w:hint="eastAsia"/>
          <w:bCs/>
          <w:lang w:val="en-US" w:eastAsia="zh-CN"/>
        </w:rPr>
        <w:t>规划</w:t>
      </w:r>
      <w:r>
        <w:rPr>
          <w:rFonts w:hint="eastAsia"/>
          <w:bCs/>
          <w:u w:val="none"/>
          <w:lang w:val="en-US" w:eastAsia="zh-CN"/>
        </w:rPr>
        <w:t>保留现状倒淌河镇生活垃圾填埋场</w:t>
      </w:r>
      <w:r>
        <w:rPr>
          <w:rFonts w:hint="eastAsia"/>
          <w:bCs/>
          <w:u w:val="none"/>
        </w:rPr>
        <w:t>用地，</w:t>
      </w:r>
      <w:r>
        <w:rPr>
          <w:rFonts w:hint="eastAsia"/>
          <w:bCs/>
        </w:rPr>
        <w:t>位于镇区西部约</w:t>
      </w:r>
      <w:r>
        <w:rPr>
          <w:rFonts w:hint="eastAsia" w:ascii="仿宋_GB2312" w:hAnsi="仿宋_GB2312" w:eastAsia="仿宋_GB2312" w:cs="仿宋_GB2312"/>
          <w:bCs/>
        </w:rPr>
        <w:t>2</w:t>
      </w:r>
      <w:r>
        <w:rPr>
          <w:rFonts w:hint="eastAsia"/>
          <w:bCs/>
        </w:rPr>
        <w:t>公里处</w:t>
      </w:r>
      <w:r>
        <w:rPr>
          <w:bCs/>
        </w:rPr>
        <w:t>；</w:t>
      </w:r>
      <w:r>
        <w:rPr>
          <w:rFonts w:hint="eastAsia"/>
          <w:bCs/>
        </w:rPr>
        <w:t>预留垃圾填埋场扩建用地，合理预控填埋场扩建新增建设用地规模，强化环卫设施用地集约节约利用。</w:t>
      </w:r>
    </w:p>
    <w:p w14:paraId="4F01A727">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贯彻落实国务院办公厅发布的《农村人居环境整治提升五年行动方案（2021－2025年）》中针对“厕所革命”</w:t>
      </w:r>
      <w:r>
        <w:rPr>
          <w:rFonts w:hint="eastAsia" w:ascii="仿宋_GB2312" w:hAnsi="仿宋_GB2312" w:cs="仿宋_GB2312"/>
          <w:szCs w:val="32"/>
          <w:lang w:eastAsia="zh-CN"/>
        </w:rPr>
        <w:t>提</w:t>
      </w:r>
      <w:r>
        <w:rPr>
          <w:rFonts w:hint="eastAsia" w:ascii="仿宋_GB2312" w:hAnsi="仿宋_GB2312" w:eastAsia="仿宋_GB2312" w:cs="仿宋_GB2312"/>
          <w:szCs w:val="32"/>
        </w:rPr>
        <w:t>出的重要要求：逐步普及农村卫生厕所；切实提高改厕质量；加强厕所粪污无害化处理与资源化利用。</w:t>
      </w:r>
    </w:p>
    <w:p w14:paraId="2B58951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新基建工程</w:t>
      </w:r>
    </w:p>
    <w:p w14:paraId="45C7A0B5">
      <w:pPr>
        <w:pStyle w:val="7"/>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加快推进5G基站建设，</w:t>
      </w:r>
      <w:r>
        <w:rPr>
          <w:rFonts w:hint="eastAsia" w:ascii="仿宋_GB2312" w:hAnsi="仿宋_GB2312" w:cs="仿宋_GB2312"/>
          <w:szCs w:val="32"/>
          <w:lang w:val="en-US" w:eastAsia="zh-CN"/>
        </w:rPr>
        <w:t>镇区</w:t>
      </w:r>
      <w:r>
        <w:rPr>
          <w:rFonts w:hint="eastAsia" w:ascii="仿宋_GB2312" w:hAnsi="仿宋_GB2312" w:eastAsia="仿宋_GB2312" w:cs="仿宋_GB2312"/>
          <w:szCs w:val="32"/>
        </w:rPr>
        <w:t>宏基站设置密度为7个基站/平方千米，基站站间距400-450米；农村宏基站设置密度为2个基站/平方千米，基站站间距750-700米。依托清洁能源发电优势，重点推进高压输配电设施建设。因地制宜建设充电场、充电桩等新能源汽车充电设施，多途径推进新基建工程建设。</w:t>
      </w:r>
    </w:p>
    <w:p w14:paraId="7D775832">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8" w:name="_Toc11775"/>
      <w:r>
        <w:rPr>
          <w:rFonts w:hint="eastAsia" w:ascii="Arial" w:hAnsi="Arial" w:eastAsia="黑体" w:cs="Times New Roman"/>
          <w:b w:val="0"/>
          <w:lang w:val="en-US" w:eastAsia="zh-CN"/>
        </w:rPr>
        <w:t>构建韧性安全的综合防灾体系</w:t>
      </w:r>
      <w:bookmarkEnd w:id="78"/>
    </w:p>
    <w:p w14:paraId="0AC3809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防震减灾工程</w:t>
      </w:r>
    </w:p>
    <w:p w14:paraId="723FFE71">
      <w:pPr>
        <w:pStyle w:val="7"/>
        <w:ind w:firstLine="640"/>
        <w:rPr>
          <w:rFonts w:hint="eastAsia" w:ascii="仿宋_GB2312" w:hAnsi="仿宋_GB2312" w:eastAsia="仿宋_GB2312" w:cs="仿宋_GB2312"/>
          <w:szCs w:val="32"/>
        </w:rPr>
      </w:pPr>
      <w:r>
        <w:rPr>
          <w:rFonts w:hint="eastAsia" w:ascii="仿宋_GB2312" w:hAnsi="仿宋_GB2312" w:cs="仿宋_GB2312"/>
          <w:szCs w:val="32"/>
          <w:lang w:val="en-US" w:eastAsia="zh-CN"/>
        </w:rPr>
        <w:t>倒淌河镇位于</w:t>
      </w:r>
      <w:r>
        <w:rPr>
          <w:rFonts w:hint="eastAsia" w:ascii="仿宋_GB2312" w:hAnsi="仿宋_GB2312" w:eastAsia="仿宋_GB2312" w:cs="仿宋_GB2312"/>
          <w:szCs w:val="32"/>
        </w:rPr>
        <w:t>倒淌河—临夏断裂</w:t>
      </w:r>
      <w:r>
        <w:rPr>
          <w:rFonts w:hint="eastAsia" w:ascii="仿宋_GB2312" w:hAnsi="仿宋_GB2312" w:cs="仿宋_GB2312"/>
          <w:szCs w:val="32"/>
          <w:lang w:eastAsia="zh-CN"/>
        </w:rPr>
        <w:t>，</w:t>
      </w:r>
      <w:r>
        <w:rPr>
          <w:rFonts w:hint="eastAsia" w:ascii="仿宋_GB2312" w:hAnsi="仿宋_GB2312" w:cs="仿宋_GB2312"/>
          <w:szCs w:val="32"/>
          <w:lang w:val="en-US" w:eastAsia="zh-CN"/>
        </w:rPr>
        <w:t>属于地震灾害风险区</w:t>
      </w:r>
      <w:r>
        <w:rPr>
          <w:rFonts w:hint="eastAsia" w:ascii="仿宋_GB2312" w:hAnsi="仿宋_GB2312" w:eastAsia="仿宋_GB2312" w:cs="仿宋_GB2312"/>
          <w:szCs w:val="32"/>
        </w:rPr>
        <w:t>，城乡建设工程应充分考虑断裂带的地震危害性及对场地的影响，按照国家相关标准及抗震主管部门相关要求采取合理的避让或抗震措施。</w:t>
      </w:r>
    </w:p>
    <w:p w14:paraId="15AEACC7">
      <w:pPr>
        <w:pStyle w:val="7"/>
        <w:ind w:firstLine="640"/>
        <w:rPr>
          <w:rFonts w:hint="eastAsia" w:ascii="仿宋_GB2312" w:hAnsi="仿宋_GB2312" w:eastAsia="仿宋_GB2312" w:cs="仿宋_GB2312"/>
          <w:szCs w:val="32"/>
        </w:rPr>
      </w:pPr>
      <w:r>
        <w:rPr>
          <w:rFonts w:hint="eastAsia" w:ascii="仿宋_GB2312" w:hAnsi="仿宋_GB2312"/>
          <w:szCs w:val="32"/>
          <w:u w:val="single"/>
          <w:lang w:val="en-US" w:eastAsia="zh-CN"/>
        </w:rPr>
        <w:t>倒淌河</w:t>
      </w:r>
      <w:r>
        <w:rPr>
          <w:rFonts w:hint="eastAsia" w:ascii="仿宋_GB2312" w:hAnsi="仿宋_GB2312"/>
          <w:szCs w:val="32"/>
          <w:u w:val="single"/>
        </w:rPr>
        <w:t>地震动峰值加速度</w:t>
      </w:r>
      <w:r>
        <w:rPr>
          <w:rFonts w:ascii="仿宋_GB2312" w:hAnsi="仿宋_GB2312"/>
          <w:szCs w:val="32"/>
          <w:u w:val="single"/>
        </w:rPr>
        <w:t>0.15g，抗震设防基本烈度7度</w:t>
      </w:r>
      <w:r>
        <w:rPr>
          <w:rFonts w:hint="eastAsia"/>
          <w:bCs/>
          <w:u w:val="single"/>
        </w:rPr>
        <w:t>。</w:t>
      </w:r>
      <w:r>
        <w:rPr>
          <w:rFonts w:hint="eastAsia"/>
          <w:bCs/>
        </w:rPr>
        <w:t>新建、改建、扩建工程应严格按照标准设防，重大工程和可能因地震产生严重次生灾害的建设工程，应当按照有关规定开展地震安全性评价，并</w:t>
      </w:r>
      <w:r>
        <w:rPr>
          <w:rFonts w:hint="eastAsia"/>
          <w:bCs/>
          <w:lang w:eastAsia="zh-CN"/>
        </w:rPr>
        <w:t>按照</w:t>
      </w:r>
      <w:r>
        <w:rPr>
          <w:rFonts w:hint="eastAsia"/>
          <w:bCs/>
        </w:rPr>
        <w:t>地震安全性评价结果所确定的抗震设防要求进行抗震设计。学校、医院、体育场馆、文化场馆等大型公共建筑和重要生命线工程应当适当提高地震动峰值加速度取值，在建设工程中采取有效措施，增强抗震能力。建设项目必须满足相应的抗震设防要求。落实</w:t>
      </w:r>
      <w:r>
        <w:rPr>
          <w:rFonts w:hint="eastAsia"/>
        </w:rPr>
        <w:t>海南州</w:t>
      </w:r>
      <w:r>
        <w:rPr>
          <w:rFonts w:hint="eastAsia"/>
          <w:bCs/>
        </w:rPr>
        <w:t>测震站网规划，完善地震监测设施布局，加强地震监测设施和地震观测环境的保护。</w:t>
      </w:r>
    </w:p>
    <w:p w14:paraId="43BE1BAD">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地质灾害防治</w:t>
      </w:r>
    </w:p>
    <w:p w14:paraId="7B8BF3F0">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倒淌河镇处于地质灾害易发区，对地质灾害隐患点进行分类管控，综合采用工程治理、排危除险、避让搬迁、专业监测和监测预警等多种措施，对镇域内地质灾害实施综合防治。</w:t>
      </w:r>
    </w:p>
    <w:p w14:paraId="330575AC">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严格落实地质灾害安全管控要求，</w:t>
      </w:r>
      <w:r>
        <w:rPr>
          <w:rFonts w:hint="eastAsia" w:ascii="仿宋_GB2312" w:hAnsi="仿宋_GB2312" w:cs="仿宋_GB2312"/>
          <w:szCs w:val="32"/>
          <w:u w:val="single"/>
          <w:lang w:val="en-US" w:eastAsia="zh-CN"/>
        </w:rPr>
        <w:t>地质灾害易发区内的开发建设，应当进行地质灾害危险性评估，并根据地质灾害危险性评估提出的预防治理措施，有序开展地质灾害工程治理或搬迁避让工作，对可能引发地质灾害的建设活动采取积极有效的防护治理措施，避免工程建设引发或遭受地质灾害的威胁。评估结果为不适宜的场地不得进行开发建设，地质灾害危险区内禁止从事容易诱发地质灾害的各种活动。</w:t>
      </w:r>
    </w:p>
    <w:p w14:paraId="1B7FCA8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防洪排涝工程</w:t>
      </w:r>
    </w:p>
    <w:p w14:paraId="00614825">
      <w:pPr>
        <w:pStyle w:val="7"/>
        <w:ind w:firstLine="640"/>
        <w:rPr>
          <w:rFonts w:hint="eastAsia" w:ascii="仿宋_GB2312" w:hAnsi="仿宋_GB2312" w:cs="仿宋_GB2312"/>
          <w:szCs w:val="32"/>
          <w:lang w:val="en-US" w:eastAsia="zh-CN"/>
        </w:rPr>
      </w:pPr>
      <w:r>
        <w:rPr>
          <w:rFonts w:hint="eastAsia" w:ascii="楷体_GB2312" w:hAnsi="楷体_GB2312" w:eastAsia="楷体_GB2312" w:cs="楷体_GB2312"/>
          <w:szCs w:val="32"/>
          <w:lang w:val="en-US" w:eastAsia="zh-CN"/>
        </w:rPr>
        <w:t>洪涝风险控制线。</w:t>
      </w:r>
      <w:r>
        <w:rPr>
          <w:rFonts w:hint="eastAsia" w:ascii="仿宋_GB2312" w:hAnsi="仿宋_GB2312" w:cs="仿宋_GB2312"/>
          <w:szCs w:val="32"/>
          <w:lang w:val="en-US" w:eastAsia="zh-CN"/>
        </w:rPr>
        <w:t>以水利部门依法划定的河湖管理范围为基础，将主要行洪排涝通道、蓄洪水库、河湖湿地等洪涝水行泄、调蓄的自然空间划入洪涝风险控制线，保障防洪排涝系统完整性和通达性，洪涝风险控制线总面积36.09平方千米。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6436CEBD">
      <w:pPr>
        <w:pStyle w:val="7"/>
        <w:ind w:firstLine="640"/>
        <w:rPr>
          <w:rFonts w:hint="eastAsia" w:ascii="仿宋_GB2312" w:hAnsi="仿宋_GB2312" w:cs="仿宋_GB2312"/>
          <w:szCs w:val="32"/>
          <w:lang w:val="en-US" w:eastAsia="zh-CN"/>
        </w:rPr>
      </w:pPr>
      <w:r>
        <w:rPr>
          <w:rFonts w:hint="eastAsia" w:ascii="楷体_GB2312" w:hAnsi="楷体_GB2312" w:eastAsia="楷体_GB2312" w:cs="楷体_GB2312"/>
          <w:szCs w:val="32"/>
          <w:lang w:val="en-US" w:eastAsia="zh-CN"/>
        </w:rPr>
        <w:t>完善镇村防洪排涝体系。</w:t>
      </w:r>
      <w:r>
        <w:rPr>
          <w:rFonts w:hint="eastAsia" w:ascii="仿宋_GB2312" w:hAnsi="仿宋_GB2312" w:cs="仿宋_GB2312"/>
          <w:szCs w:val="32"/>
          <w:u w:val="single"/>
          <w:lang w:val="en-US" w:eastAsia="zh-CN"/>
        </w:rPr>
        <w:t>镇区防洪标准达到20年一遇，农村10年一遇。</w:t>
      </w:r>
      <w:r>
        <w:rPr>
          <w:rFonts w:hint="eastAsia" w:ascii="仿宋_GB2312" w:hAnsi="仿宋_GB2312" w:cs="仿宋_GB2312"/>
          <w:szCs w:val="32"/>
          <w:lang w:val="en-US" w:eastAsia="zh-CN"/>
        </w:rPr>
        <w:t>完善重要河流防洪治理工程建设，加快推进倒淌河等重点河段防洪达标治理，全面推进中小河流治理工程。实施重点山洪沟防洪治理工程措施，巩固提升山洪防治非工程措施。保障防洪堤、排洪沟（渠）等水工设施用地需求。</w:t>
      </w:r>
    </w:p>
    <w:p w14:paraId="1135EBA9">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消防工程</w:t>
      </w:r>
    </w:p>
    <w:p w14:paraId="5FE4A209">
      <w:pPr>
        <w:pStyle w:val="7"/>
        <w:ind w:firstLine="640"/>
        <w:rPr>
          <w:rFonts w:hint="eastAsia" w:ascii="仿宋_GB2312" w:hAnsi="仿宋_GB2312" w:cs="仿宋_GB2312"/>
          <w:szCs w:val="32"/>
          <w:lang w:val="en-US" w:eastAsia="zh-CN"/>
        </w:rPr>
      </w:pPr>
      <w:r>
        <w:rPr>
          <w:rFonts w:hint="eastAsia" w:ascii="楷体_GB2312" w:hAnsi="楷体_GB2312" w:eastAsia="楷体_GB2312" w:cs="楷体_GB2312"/>
          <w:szCs w:val="32"/>
          <w:lang w:val="en-US" w:eastAsia="zh-CN"/>
        </w:rPr>
        <w:t>完善消防力量建设。</w:t>
      </w:r>
      <w:r>
        <w:rPr>
          <w:rFonts w:hint="eastAsia" w:ascii="仿宋_GB2312" w:hAnsi="仿宋_GB2312" w:cs="仿宋_GB2312"/>
          <w:szCs w:val="32"/>
          <w:lang w:val="en-US" w:eastAsia="zh-CN"/>
        </w:rPr>
        <w:t>形成以乡镇政府专职消防队伍为主要消防力量，</w:t>
      </w:r>
      <w:r>
        <w:rPr>
          <w:rFonts w:hint="eastAsia"/>
          <w:bCs/>
        </w:rPr>
        <w:t>以</w:t>
      </w:r>
      <w:r>
        <w:rPr>
          <w:bCs/>
        </w:rPr>
        <w:t>志愿消防队伍</w:t>
      </w:r>
      <w:r>
        <w:rPr>
          <w:rFonts w:hint="eastAsia"/>
          <w:bCs/>
        </w:rPr>
        <w:t>或</w:t>
      </w:r>
      <w:r>
        <w:rPr>
          <w:bCs/>
        </w:rPr>
        <w:t>企业兼职消防队伍</w:t>
      </w:r>
      <w:r>
        <w:rPr>
          <w:rFonts w:hint="eastAsia"/>
          <w:bCs/>
        </w:rPr>
        <w:t>为补充的消防体系</w:t>
      </w:r>
      <w:r>
        <w:rPr>
          <w:rFonts w:hint="eastAsia"/>
          <w:bCs/>
          <w:lang w:eastAsia="zh-CN"/>
        </w:rPr>
        <w:t>，</w:t>
      </w:r>
      <w:r>
        <w:rPr>
          <w:rFonts w:hint="eastAsia" w:ascii="仿宋_GB2312" w:hAnsi="仿宋_GB2312" w:cs="仿宋_GB2312"/>
          <w:szCs w:val="32"/>
          <w:lang w:val="en-US" w:eastAsia="zh-CN"/>
        </w:rPr>
        <w:t>农业牧区集中居民点内设置微型消防站，配备供紧急使用的灭火器材、前线救援器材和消防人员防护器材。规划在镇区、湖东种羊场设置微型消防站，在各村结合实际情况建设消防水池，消防水池的建设应满足防寒抗冻的要求。</w:t>
      </w:r>
    </w:p>
    <w:p w14:paraId="0213F656">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消防设施：形成以乡镇政府专职消防队伍为主要消防力量，以志愿消防队伍或企业兼职消防队伍为补充的消防体系，农业牧区集中居民点内结合村委会设置微型消防站，配备供紧急使用的灭火器材、前线救援器材和消防人员防护器材。规划在镇区设置微型消防站，在风情小镇设置1处消防站。</w:t>
      </w:r>
    </w:p>
    <w:p w14:paraId="77B06C27">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消防供水：镇区、湖东种羊场、甲乙村消防供水以市政给水管网为主，给水管网管径不低于DN100，管网埋深位于冻土层以下。结合市政给水管网设置消火栓，间距不超过120米。其余各村结合实际情况建设消防水池，消防水池的建设应满足防寒抗冻的要求。</w:t>
      </w:r>
    </w:p>
    <w:p w14:paraId="63AAFD9C">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消防通道：消防车通道应符合消防车辆安全、快捷通行的要求。加强消防车通道建设，提高道路承载大型消防车的能力，确保消防车辆安全、快捷通行。</w:t>
      </w:r>
    </w:p>
    <w:p w14:paraId="07A62E95">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耐火等级：新建建筑应当达到一、二级耐火等级标准，控制三级建筑，严格限制四级建筑，不准易燃简易搭盖。</w:t>
      </w:r>
    </w:p>
    <w:p w14:paraId="43817B56">
      <w:pPr>
        <w:pStyle w:val="7"/>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消防科技赋能：通过物联网传感器、大数据与AI分析、消防机器人等技术创新与数字化手段，全面提升火灾预防、监测、救援和管理的效率，实现从"被动响应"到"主动防控"的转型，最终构建"人防+技防+智防"的全新体系。</w:t>
      </w:r>
    </w:p>
    <w:p w14:paraId="1F913460">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气象灾害防治</w:t>
      </w:r>
    </w:p>
    <w:p w14:paraId="4293A827">
      <w:pPr>
        <w:pStyle w:val="7"/>
        <w:ind w:firstLine="640"/>
        <w:rPr>
          <w:rFonts w:hint="eastAsia" w:ascii="仿宋_GB2312" w:hAnsi="仿宋_GB2312" w:cs="仿宋_GB2312"/>
          <w:szCs w:val="32"/>
          <w:lang w:val="en-US" w:eastAsia="zh-CN"/>
        </w:rPr>
      </w:pPr>
      <w:r>
        <w:rPr>
          <w:rFonts w:hint="eastAsia"/>
        </w:rPr>
        <w:t>坚持“预防为主、防抗结合、以人为本、科学应对”的气象灾害防治原则</w:t>
      </w:r>
      <w:r>
        <w:rPr>
          <w:rFonts w:hint="eastAsia"/>
          <w:lang w:eastAsia="zh-CN"/>
        </w:rPr>
        <w:t>。倒淌河镇政府牵头，建立健全气象灾害防治小组，与共和县气象部门构建专项预防体系，构建乡镇暴雨、暴雪、冰雹及雷暴等极端天气预警体系，完善对极端天气的应急能力；建筑设计应确保建筑结构荷载能够抵御暴雨、冰雹等恶劣天气；通信、电力等设施，应安装避雷、防雷设施。</w:t>
      </w:r>
    </w:p>
    <w:p w14:paraId="7EB7921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应急救援体系</w:t>
      </w:r>
    </w:p>
    <w:p w14:paraId="45649A76">
      <w:pPr>
        <w:pStyle w:val="7"/>
        <w:ind w:firstLine="640"/>
        <w:rPr>
          <w:rFonts w:hint="eastAsia"/>
        </w:rPr>
      </w:pPr>
      <w:r>
        <w:rPr>
          <w:rFonts w:hint="eastAsia" w:ascii="楷体_GB2312" w:hAnsi="楷体_GB2312" w:eastAsia="楷体_GB2312" w:cs="楷体_GB2312"/>
        </w:rPr>
        <w:t>建立防灾减灾指挥机构。</w:t>
      </w:r>
      <w:r>
        <w:rPr>
          <w:rFonts w:hint="eastAsia"/>
        </w:rPr>
        <w:t>充分发挥政府防灾指挥职能，</w:t>
      </w:r>
      <w:r>
        <w:rPr>
          <w:rFonts w:hint="eastAsia"/>
          <w:lang w:val="en-US" w:eastAsia="zh-CN"/>
        </w:rPr>
        <w:t>以镇政府作为</w:t>
      </w:r>
      <w:r>
        <w:rPr>
          <w:rFonts w:hint="eastAsia"/>
        </w:rPr>
        <w:t>应急指挥中心。建立涵盖</w:t>
      </w:r>
      <w:r>
        <w:rPr>
          <w:rFonts w:hint="eastAsia"/>
          <w:lang w:val="en-US" w:eastAsia="zh-CN"/>
        </w:rPr>
        <w:t>全镇</w:t>
      </w:r>
      <w:r>
        <w:rPr>
          <w:rFonts w:hint="eastAsia"/>
        </w:rPr>
        <w:t>的灾害应急指挥系统和防灾减灾救灾工作站，构建多元立体的信息报送体系。</w:t>
      </w:r>
    </w:p>
    <w:p w14:paraId="758690F7">
      <w:pPr>
        <w:pStyle w:val="7"/>
        <w:ind w:firstLine="640"/>
        <w:rPr>
          <w:rFonts w:hint="eastAsia"/>
        </w:rPr>
      </w:pPr>
      <w:r>
        <w:rPr>
          <w:rFonts w:hint="eastAsia" w:ascii="楷体_GB2312" w:hAnsi="楷体_GB2312" w:eastAsia="楷体_GB2312" w:cs="楷体_GB2312"/>
        </w:rPr>
        <w:t>健全应急救援力量体系。</w:t>
      </w:r>
      <w:r>
        <w:rPr>
          <w:rFonts w:hint="eastAsia"/>
        </w:rPr>
        <w:t>构建以专业应急救援力量为主、以社会应急力量为</w:t>
      </w:r>
      <w:r>
        <w:rPr>
          <w:rFonts w:hint="eastAsia"/>
          <w:lang w:eastAsia="zh-CN"/>
        </w:rPr>
        <w:t>辅</w:t>
      </w:r>
      <w:r>
        <w:rPr>
          <w:rFonts w:hint="eastAsia"/>
        </w:rPr>
        <w:t>，基层救援力量有效覆盖的应急救援力量体系。专业应急救援队伍依托海南州消防救援支队，强化地震、地质灾害专业救援队伍和森林（草原）火灾专业扑救队伍建设，鼓励社会应急力量参与应急救援行动，结合县消防大队、乡镇专职消防队组建基层应急救援队。</w:t>
      </w:r>
    </w:p>
    <w:p w14:paraId="510BFAF2">
      <w:pPr>
        <w:pStyle w:val="7"/>
        <w:ind w:firstLine="640"/>
        <w:rPr>
          <w:rFonts w:hint="eastAsia"/>
          <w:bCs/>
        </w:rPr>
      </w:pPr>
      <w:r>
        <w:rPr>
          <w:rFonts w:hint="eastAsia" w:ascii="楷体_GB2312" w:hAnsi="楷体_GB2312" w:eastAsia="楷体_GB2312" w:cs="楷体_GB2312"/>
        </w:rPr>
        <w:t>完善应急避难疏散救援系统。</w:t>
      </w:r>
      <w:r>
        <w:rPr>
          <w:rFonts w:hint="eastAsia"/>
          <w:lang w:val="en-US" w:eastAsia="zh-CN"/>
        </w:rPr>
        <w:t>以公园、广场、学校操场等开敞空间作为</w:t>
      </w:r>
      <w:r>
        <w:rPr>
          <w:rFonts w:hint="eastAsia"/>
        </w:rPr>
        <w:t>紧急避难场所，以高速公路为对外救援疏散通道，负责大范围的人员、物资调度和转移；以一级公路等干线公路为抗灾救灾干道，与对外救援疏散通道共同形成高效应急疏散网络体系；以省道、县道等公路及其他与对外救援疏散通道连接的</w:t>
      </w:r>
      <w:r>
        <w:rPr>
          <w:rFonts w:hint="eastAsia"/>
          <w:lang w:val="en-US" w:eastAsia="zh-CN"/>
        </w:rPr>
        <w:t>主要道路</w:t>
      </w:r>
      <w:r>
        <w:rPr>
          <w:rFonts w:hint="eastAsia"/>
        </w:rPr>
        <w:t>为避难疏散主、次干道。</w:t>
      </w:r>
      <w:r>
        <w:rPr>
          <w:rFonts w:hint="eastAsia"/>
          <w:lang w:val="en-US" w:eastAsia="zh-CN"/>
        </w:rPr>
        <w:t>在镇区</w:t>
      </w:r>
      <w:r>
        <w:rPr>
          <w:rFonts w:hint="eastAsia"/>
          <w:bCs/>
        </w:rPr>
        <w:t>建设救灾物资储备点</w:t>
      </w:r>
      <w:r>
        <w:rPr>
          <w:rFonts w:hint="eastAsia"/>
          <w:bCs/>
          <w:lang w:eastAsia="zh-CN"/>
        </w:rPr>
        <w:t>，</w:t>
      </w:r>
      <w:r>
        <w:rPr>
          <w:rFonts w:hint="eastAsia"/>
          <w:bCs/>
        </w:rPr>
        <w:t>提高应急保障物资储备能力。</w:t>
      </w:r>
    </w:p>
    <w:p w14:paraId="654BDECE">
      <w:pPr>
        <w:pStyle w:val="7"/>
        <w:ind w:firstLine="640"/>
        <w:rPr>
          <w:rFonts w:hint="default"/>
          <w:bCs/>
          <w:lang w:val="en-US" w:eastAsia="zh-CN"/>
        </w:rPr>
      </w:pPr>
      <w:r>
        <w:rPr>
          <w:rFonts w:hint="eastAsia" w:ascii="楷体_GB2312" w:hAnsi="楷体_GB2312" w:eastAsia="楷体_GB2312" w:cs="楷体_GB2312"/>
          <w:bCs/>
          <w:lang w:val="en-US" w:eastAsia="zh-CN"/>
        </w:rPr>
        <w:t>建设“平急两用”公共基础设施。</w:t>
      </w:r>
      <w:r>
        <w:rPr>
          <w:rFonts w:hint="default"/>
          <w:bCs/>
          <w:lang w:val="en-US" w:eastAsia="zh-CN"/>
        </w:rPr>
        <w:t>建设完善城镇空间布局合理、资源统筹共享、功能设施完备、平急（疫/战）综合利用的防灾设施体系。推进城镇公共设施及空间资源的功能复合利用，将防灾防疫</w:t>
      </w:r>
      <w:r>
        <w:rPr>
          <w:rFonts w:hint="eastAsia"/>
          <w:bCs/>
          <w:lang w:val="en-US" w:eastAsia="zh-CN"/>
        </w:rPr>
        <w:t>防控</w:t>
      </w:r>
      <w:r>
        <w:rPr>
          <w:rFonts w:hint="default"/>
          <w:bCs/>
          <w:lang w:val="en-US" w:eastAsia="zh-CN"/>
        </w:rPr>
        <w:t>与公共文化、教育、体育、旅游和城乡基础设施等融合共建共用。完善集隔离、应急医疗和物资保障为一体的“平急两用”重要应急保障设施，做好应急避难、疫情防控等功能转换，改善交通、市政等生命线工程接入条件，提高城镇公共空间韧性，预留应急避难、医疗空间。</w:t>
      </w:r>
    </w:p>
    <w:p w14:paraId="7C179893">
      <w:pPr>
        <w:pStyle w:val="3"/>
        <w:keepNext/>
        <w:keepLines/>
        <w:pageBreakBefore w:val="0"/>
        <w:widowControl w:val="0"/>
        <w:numPr>
          <w:ilvl w:val="1"/>
          <w:numId w:val="12"/>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79" w:name="_Toc15176"/>
      <w:r>
        <w:rPr>
          <w:rFonts w:hint="eastAsia" w:ascii="Arial" w:hAnsi="Arial" w:eastAsia="黑体" w:cs="Times New Roman"/>
          <w:b w:val="0"/>
          <w:lang w:val="en-US" w:eastAsia="zh-CN"/>
        </w:rPr>
        <w:t>保障基础设施用地</w:t>
      </w:r>
      <w:bookmarkEnd w:id="79"/>
    </w:p>
    <w:p w14:paraId="5015099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统筹协调</w:t>
      </w:r>
      <w:r>
        <w:rPr>
          <w:rFonts w:hint="eastAsia" w:ascii="楷体_GB2312" w:hAnsi="Times New Roman" w:eastAsia="楷体_GB2312" w:cs="Times New Roman"/>
          <w:bCs/>
          <w:sz w:val="32"/>
          <w:szCs w:val="32"/>
          <w:lang w:val="en-US" w:eastAsia="zh-CN"/>
        </w:rPr>
        <w:t>与落实</w:t>
      </w:r>
      <w:r>
        <w:rPr>
          <w:rFonts w:hint="eastAsia" w:ascii="楷体_GB2312" w:hAnsi="Times New Roman" w:eastAsia="楷体_GB2312" w:cs="Times New Roman"/>
          <w:bCs/>
          <w:sz w:val="32"/>
          <w:szCs w:val="32"/>
        </w:rPr>
        <w:t>基础设施布局</w:t>
      </w:r>
    </w:p>
    <w:p w14:paraId="35BC6B48">
      <w:pPr>
        <w:pStyle w:val="7"/>
        <w:ind w:firstLine="640"/>
        <w:rPr>
          <w:rFonts w:hint="eastAsia" w:ascii="仿宋_GB2312" w:hAnsi="仿宋_GB2312" w:eastAsia="仿宋_GB2312" w:cs="仿宋_GB2312"/>
          <w:bCs/>
          <w:lang w:val="en-US" w:eastAsia="zh-CN"/>
        </w:rPr>
      </w:pPr>
      <w:r>
        <w:rPr>
          <w:rFonts w:hint="eastAsia" w:ascii="楷体_GB2312" w:hAnsi="楷体_GB2312" w:eastAsia="楷体_GB2312" w:cs="楷体_GB2312"/>
          <w:bCs/>
          <w:lang w:val="en-US" w:eastAsia="zh-CN"/>
        </w:rPr>
        <w:t>统筹协调与落实各类基础设施布局。</w:t>
      </w:r>
      <w:r>
        <w:rPr>
          <w:rFonts w:hint="eastAsia" w:ascii="仿宋_GB2312" w:hAnsi="仿宋_GB2312" w:eastAsia="仿宋_GB2312" w:cs="仿宋_GB2312"/>
          <w:bCs/>
          <w:lang w:val="en-US" w:eastAsia="zh-CN"/>
        </w:rPr>
        <w:t>加强</w:t>
      </w:r>
      <w:r>
        <w:rPr>
          <w:rFonts w:hint="eastAsia" w:ascii="仿宋_GB2312" w:hAnsi="仿宋_GB2312" w:cs="仿宋_GB2312"/>
          <w:bCs/>
          <w:lang w:val="en-US" w:eastAsia="zh-CN"/>
        </w:rPr>
        <w:t>县级国土空间规划、</w:t>
      </w:r>
      <w:r>
        <w:rPr>
          <w:rFonts w:hint="eastAsia" w:ascii="仿宋_GB2312" w:hAnsi="仿宋_GB2312" w:eastAsia="仿宋_GB2312" w:cs="仿宋_GB2312"/>
          <w:bCs/>
          <w:lang w:val="en-US" w:eastAsia="zh-CN"/>
        </w:rPr>
        <w:t>相关专项规划与</w:t>
      </w:r>
      <w:r>
        <w:rPr>
          <w:rFonts w:hint="eastAsia" w:ascii="仿宋_GB2312" w:hAnsi="仿宋_GB2312" w:cs="仿宋_GB2312"/>
          <w:bCs/>
          <w:lang w:val="en-US" w:eastAsia="zh-CN"/>
        </w:rPr>
        <w:t>乡镇</w:t>
      </w:r>
      <w:r>
        <w:rPr>
          <w:rFonts w:hint="eastAsia" w:ascii="仿宋_GB2312" w:hAnsi="仿宋_GB2312" w:eastAsia="仿宋_GB2312" w:cs="仿宋_GB2312"/>
          <w:bCs/>
          <w:lang w:val="en-US" w:eastAsia="zh-CN"/>
        </w:rPr>
        <w:t>国土空间规划的衔接，严格按照“三区三线”等国土空间规划管控要求，在国土空间规划“一张图”上统筹</w:t>
      </w:r>
      <w:r>
        <w:rPr>
          <w:rFonts w:hint="eastAsia" w:ascii="仿宋_GB2312" w:hAnsi="仿宋_GB2312" w:cs="仿宋_GB2312"/>
          <w:bCs/>
          <w:lang w:val="en-US" w:eastAsia="zh-CN"/>
        </w:rPr>
        <w:t>落实各类设施项目</w:t>
      </w:r>
      <w:r>
        <w:rPr>
          <w:rFonts w:hint="eastAsia" w:ascii="仿宋_GB2312" w:hAnsi="仿宋_GB2312" w:eastAsia="仿宋_GB2312" w:cs="仿宋_GB2312"/>
          <w:bCs/>
          <w:lang w:val="en-US" w:eastAsia="zh-CN"/>
        </w:rPr>
        <w:t>的空间需求，协调项目选址、布局和空间规模，确保各类项目的空间布局不冲突。线性基础设施在满足安全要求的基础上尽量共用廊道，提高复合利用水平，减少对国土空间的分割和过度占用。</w:t>
      </w:r>
    </w:p>
    <w:p w14:paraId="11F11A5A">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基础设施用地集约化利用</w:t>
      </w:r>
    </w:p>
    <w:p w14:paraId="492F499F">
      <w:pPr>
        <w:pStyle w:val="7"/>
        <w:ind w:firstLine="640"/>
        <w:rPr>
          <w:rFonts w:hint="eastAsia" w:ascii="仿宋_GB2312" w:hAnsi="仿宋_GB2312" w:eastAsia="仿宋_GB2312" w:cs="仿宋_GB2312"/>
          <w:bCs/>
          <w:lang w:val="en-US" w:eastAsia="zh-CN"/>
        </w:rPr>
      </w:pPr>
      <w:r>
        <w:rPr>
          <w:rFonts w:hint="eastAsia" w:ascii="楷体_GB2312" w:hAnsi="楷体_GB2312" w:eastAsia="楷体_GB2312" w:cs="楷体_GB2312"/>
          <w:bCs/>
          <w:lang w:val="en-US" w:eastAsia="zh-CN"/>
        </w:rPr>
        <w:t>引导各类基础设施集约用地。</w:t>
      </w:r>
      <w:r>
        <w:rPr>
          <w:rFonts w:hint="eastAsia" w:ascii="仿宋_GB2312" w:hAnsi="仿宋_GB2312" w:eastAsia="仿宋_GB2312" w:cs="仿宋_GB2312"/>
          <w:bCs/>
          <w:lang w:val="en-US" w:eastAsia="zh-CN"/>
        </w:rPr>
        <w:t>加强各类基础设施用地规模控制，严格执行各类项目建设用地标准，严格节约集约用地评价，积极推广节地技术。协调好清洁能源基地、基础设施建设与耕地保护、生态保护的关系。各类基础设施用地要合理避让耕地和永久基本农田、生态保护红线、自然灾害高风险区等区域，减少对生态敏感区的侵占和扰动，保障生态系统的连通性和完整性，降低对自然生态空间的分割和环境影响。确实无法避让的，应采取严格的环境保护措施，避免对相关区域生态系统造成重大不利影响。</w:t>
      </w:r>
    </w:p>
    <w:p w14:paraId="1841571F">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保障基础设施用地</w:t>
      </w:r>
    </w:p>
    <w:p w14:paraId="0D1E69F9">
      <w:pPr>
        <w:pStyle w:val="7"/>
        <w:ind w:firstLine="640"/>
        <w:rPr>
          <w:rFonts w:hint="eastAsia" w:ascii="仿宋_GB2312" w:hAnsi="仿宋_GB2312" w:eastAsia="仿宋_GB2312" w:cs="仿宋_GB2312"/>
          <w:bCs/>
          <w:lang w:val="en-US" w:eastAsia="zh-CN"/>
        </w:rPr>
      </w:pPr>
      <w:r>
        <w:rPr>
          <w:rFonts w:hint="eastAsia" w:ascii="楷体_GB2312" w:hAnsi="楷体_GB2312" w:eastAsia="楷体_GB2312" w:cs="楷体_GB2312"/>
          <w:bCs/>
          <w:lang w:val="en-US" w:eastAsia="zh-CN"/>
        </w:rPr>
        <w:t>加大重大基础设施建设用地保障力度，</w:t>
      </w:r>
      <w:r>
        <w:rPr>
          <w:rFonts w:hint="eastAsia" w:ascii="仿宋_GB2312" w:hAnsi="仿宋_GB2312" w:eastAsia="仿宋_GB2312" w:cs="仿宋_GB2312"/>
          <w:bCs/>
          <w:lang w:val="en-US" w:eastAsia="zh-CN"/>
        </w:rPr>
        <w:t>强化用地要素保障，保障交通、能源、水利等重大基础设施项目建设用地需求，合理保障其他基础设施用地，引导基础设施科学合理选址选线，落实最严格的耕地保护制度、节约集约制度和生态环境保护制度，各类建设项目不得突破建设用地标准。通过梳理重大基础设施项目清单、合理安排基础设施建设用地指标、加强基础设施建设用地审批管理等措施，多举措保障基础设施用地。</w:t>
      </w:r>
    </w:p>
    <w:p w14:paraId="388F950B">
      <w:pPr>
        <w:pStyle w:val="7"/>
        <w:ind w:firstLine="640"/>
        <w:rPr>
          <w:rFonts w:hint="eastAsia" w:ascii="仿宋_GB2312" w:hAnsi="仿宋_GB2312" w:eastAsia="仿宋_GB2312" w:cs="仿宋_GB2312"/>
          <w:bCs/>
          <w:lang w:val="en-US" w:eastAsia="zh-CN"/>
        </w:rPr>
      </w:pPr>
      <w:r>
        <w:rPr>
          <w:rFonts w:hint="eastAsia" w:ascii="楷体_GB2312" w:hAnsi="楷体_GB2312" w:eastAsia="楷体_GB2312" w:cs="楷体_GB2312"/>
          <w:bCs/>
          <w:lang w:val="en-US" w:eastAsia="zh-CN"/>
        </w:rPr>
        <w:t>保障重大交通设施用地。</w:t>
      </w:r>
      <w:r>
        <w:rPr>
          <w:rFonts w:hint="eastAsia" w:ascii="仿宋_GB2312" w:hAnsi="仿宋_GB2312" w:eastAsia="仿宋_GB2312" w:cs="仿宋_GB2312"/>
          <w:bCs/>
          <w:lang w:val="en-US" w:eastAsia="zh-CN"/>
        </w:rPr>
        <w:t>加快城际铁路和铁路综合枢纽建设，保障“西宁-共和-青海湖-茶卡”城际铁路重点建设项目用地，发挥铁路在区域客、货运交通中的骨干作用，提高区域交通运输能力和服务水平。完善国家高速公路及国省干线公路网络，保障青海湖旅游专用公路、峨堡-共和高速公路</w:t>
      </w:r>
      <w:r>
        <w:rPr>
          <w:rFonts w:hint="eastAsia" w:ascii="仿宋_GB2312" w:hAnsi="仿宋_GB2312" w:cs="仿宋_GB2312"/>
          <w:bCs/>
          <w:lang w:val="en-US" w:eastAsia="zh-CN"/>
        </w:rPr>
        <w:t>（S19）</w:t>
      </w:r>
      <w:r>
        <w:rPr>
          <w:rFonts w:hint="eastAsia" w:ascii="仿宋_GB2312" w:hAnsi="仿宋_GB2312" w:eastAsia="仿宋_GB2312" w:cs="仿宋_GB2312"/>
          <w:bCs/>
          <w:lang w:val="en-US" w:eastAsia="zh-CN"/>
        </w:rPr>
        <w:t>等重点公路建设项目用地，落实农村公路提档升级改造项目建设用地，带动城镇建设，形成新的经济增长板块和产业带。保障各燃气输配设施用地。保障农村公交客运站场建设用地，完善区域公交运输体系。保障物流中心建设用地，提高区域货运配送及保障能力。</w:t>
      </w:r>
    </w:p>
    <w:p w14:paraId="19FC0EAB">
      <w:pPr>
        <w:pStyle w:val="7"/>
        <w:ind w:firstLine="640"/>
        <w:rPr>
          <w:rFonts w:hint="eastAsia" w:ascii="仿宋_GB2312" w:hAnsi="仿宋_GB2312" w:eastAsia="仿宋_GB2312" w:cs="仿宋_GB2312"/>
          <w:bCs/>
          <w:lang w:val="en-US" w:eastAsia="zh-CN"/>
        </w:rPr>
      </w:pPr>
      <w:r>
        <w:rPr>
          <w:rFonts w:hint="eastAsia" w:ascii="楷体_GB2312" w:hAnsi="楷体_GB2312" w:eastAsia="楷体_GB2312" w:cs="楷体_GB2312"/>
          <w:bCs/>
          <w:lang w:val="en-US" w:eastAsia="zh-CN"/>
        </w:rPr>
        <w:t>水利设施建设用地。</w:t>
      </w:r>
      <w:r>
        <w:rPr>
          <w:rFonts w:hint="eastAsia" w:ascii="仿宋_GB2312" w:hAnsi="仿宋_GB2312" w:eastAsia="仿宋_GB2312" w:cs="仿宋_GB2312"/>
          <w:bCs/>
          <w:lang w:val="en-US" w:eastAsia="zh-CN"/>
        </w:rPr>
        <w:t>支撑农村供水保障工程建设；保障重要河流防洪治理工程建设用地，提高城乡防灾减灾能力，推进</w:t>
      </w:r>
      <w:r>
        <w:rPr>
          <w:rFonts w:hint="eastAsia" w:ascii="仿宋_GB2312" w:hAnsi="仿宋_GB2312" w:cs="仿宋_GB2312"/>
          <w:bCs/>
          <w:lang w:val="en-US" w:eastAsia="zh-CN"/>
        </w:rPr>
        <w:t>倒淌河</w:t>
      </w:r>
      <w:r>
        <w:rPr>
          <w:rFonts w:hint="eastAsia" w:ascii="仿宋_GB2312" w:hAnsi="仿宋_GB2312" w:eastAsia="仿宋_GB2312" w:cs="仿宋_GB2312"/>
          <w:bCs/>
          <w:lang w:val="en-US" w:eastAsia="zh-CN"/>
        </w:rPr>
        <w:t>等重点河段防洪达标治理工程;实施中小河流及农村河道治理工程；保</w:t>
      </w:r>
      <w:r>
        <w:rPr>
          <w:rFonts w:hint="eastAsia" w:ascii="仿宋_GB2312" w:hAnsi="仿宋_GB2312" w:cs="仿宋_GB2312"/>
          <w:bCs/>
          <w:lang w:val="en-US" w:eastAsia="zh-CN"/>
        </w:rPr>
        <w:t>障中</w:t>
      </w:r>
      <w:r>
        <w:rPr>
          <w:rFonts w:hint="eastAsia" w:ascii="仿宋_GB2312" w:hAnsi="仿宋_GB2312" w:eastAsia="仿宋_GB2312" w:cs="仿宋_GB2312"/>
          <w:bCs/>
          <w:lang w:val="en-US" w:eastAsia="zh-CN"/>
        </w:rPr>
        <w:t>小流域生态治理综合工程项目建设用地。</w:t>
      </w:r>
    </w:p>
    <w:p w14:paraId="49B7639E">
      <w:pPr>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br w:type="page"/>
      </w:r>
    </w:p>
    <w:p w14:paraId="7FAC97A1">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80" w:name="_Toc6165"/>
      <w:r>
        <w:rPr>
          <w:rFonts w:hint="eastAsia" w:ascii="Times New Roman" w:hAnsi="Times New Roman" w:eastAsia="方正小标宋简体" w:cs="Times New Roman"/>
          <w:b w:val="0"/>
          <w:bCs w:val="0"/>
          <w:sz w:val="36"/>
          <w:szCs w:val="36"/>
        </w:rPr>
        <w:t>加强区域协调，引领</w:t>
      </w:r>
      <w:r>
        <w:rPr>
          <w:rFonts w:hint="eastAsia" w:ascii="Times New Roman" w:hAnsi="Times New Roman" w:eastAsia="方正小标宋简体" w:cs="Times New Roman"/>
          <w:b w:val="0"/>
          <w:bCs w:val="0"/>
          <w:sz w:val="36"/>
          <w:szCs w:val="36"/>
          <w:lang w:val="en-US" w:eastAsia="zh-CN"/>
        </w:rPr>
        <w:t>倒淌河发展</w:t>
      </w:r>
      <w:bookmarkEnd w:id="80"/>
    </w:p>
    <w:p w14:paraId="17C83895">
      <w:pPr>
        <w:pStyle w:val="3"/>
        <w:keepNext/>
        <w:keepLines/>
        <w:pageBreakBefore w:val="0"/>
        <w:widowControl w:val="0"/>
        <w:numPr>
          <w:ilvl w:val="1"/>
          <w:numId w:val="13"/>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81" w:name="_Toc167960586"/>
      <w:bookmarkStart w:id="82" w:name="_Toc13091"/>
      <w:r>
        <w:rPr>
          <w:rFonts w:hint="eastAsia" w:ascii="Arial" w:hAnsi="Arial" w:eastAsia="黑体" w:cs="Times New Roman"/>
          <w:b w:val="0"/>
          <w:lang w:val="en-US" w:eastAsia="zh-CN"/>
        </w:rPr>
        <w:t>加快融入国家区域协调发展战略</w:t>
      </w:r>
      <w:bookmarkEnd w:id="81"/>
      <w:bookmarkEnd w:id="82"/>
    </w:p>
    <w:p w14:paraId="51776EF6">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bookmarkStart w:id="83" w:name="_Hlk137362007"/>
      <w:r>
        <w:rPr>
          <w:rFonts w:hint="eastAsia" w:ascii="楷体_GB2312" w:hAnsi="Times New Roman" w:eastAsia="楷体_GB2312" w:cs="Times New Roman"/>
          <w:bCs/>
          <w:sz w:val="32"/>
          <w:szCs w:val="32"/>
        </w:rPr>
        <w:t>融入“一带一路”建设</w:t>
      </w:r>
    </w:p>
    <w:bookmarkEnd w:id="83"/>
    <w:p w14:paraId="394385F3">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Times New Roman" w:hAnsi="Times New Roman" w:eastAsia="仿宋_GB2312" w:cs="Times New Roman"/>
          <w:bCs/>
          <w:kern w:val="2"/>
          <w:sz w:val="32"/>
          <w:szCs w:val="24"/>
          <w:lang w:val="en-US" w:eastAsia="zh-CN" w:bidi="ar-SA"/>
        </w:rPr>
        <w:t>强化倒淌河镇与丝绸之路经济带沿线国家和地区的交流合作；加快铁路、公路建设，提升枢纽功能；夯实对外开放的互联互通基础；对接新亚欧大陆桥、中国—中亚和西亚，加大对中亚、西亚的产品输出。突出牛羊肉等优势产业，逐步扩大特色农畜产品出口贸易规模。</w:t>
      </w:r>
    </w:p>
    <w:p w14:paraId="48A891CD">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融入兰州—西宁城市群建设</w:t>
      </w:r>
    </w:p>
    <w:p w14:paraId="69A90E1D">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Times New Roman" w:hAnsi="Times New Roman" w:eastAsia="仿宋_GB2312" w:cs="Times New Roman"/>
          <w:bCs/>
          <w:kern w:val="2"/>
          <w:sz w:val="32"/>
          <w:szCs w:val="24"/>
          <w:lang w:val="en-US" w:eastAsia="zh-CN" w:bidi="ar-SA"/>
        </w:rPr>
        <w:t>积极发展新型清洁能源产业，融入共和县与西宁市协同发展新能源装备制造业。加快区域交通设施建设，融入国家综合交通运输体系，借力西宁至茶卡城际铁路，强化城际通勤和旅游交通联系；</w:t>
      </w:r>
      <w:bookmarkStart w:id="84" w:name="_Hlk149556947"/>
      <w:r>
        <w:rPr>
          <w:rFonts w:hint="eastAsia" w:ascii="Times New Roman" w:hAnsi="Times New Roman" w:eastAsia="仿宋_GB2312" w:cs="Times New Roman"/>
          <w:bCs/>
          <w:kern w:val="2"/>
          <w:sz w:val="32"/>
          <w:szCs w:val="24"/>
          <w:lang w:val="en-US" w:eastAsia="zh-CN" w:bidi="ar-SA"/>
        </w:rPr>
        <w:t>借助</w:t>
      </w:r>
      <w:r>
        <w:rPr>
          <w:rFonts w:hint="eastAsia" w:ascii="Times New Roman" w:hAnsi="Times New Roman" w:eastAsia="仿宋_GB2312" w:cs="Times New Roman"/>
          <w:bCs/>
          <w:kern w:val="2"/>
          <w:sz w:val="32"/>
          <w:szCs w:val="24"/>
          <w:lang w:val="zh-CN" w:eastAsia="zh-CN" w:bidi="ar-SA"/>
        </w:rPr>
        <w:t>青海湖旅游专线公路</w:t>
      </w:r>
      <w:bookmarkEnd w:id="84"/>
      <w:r>
        <w:rPr>
          <w:rFonts w:hint="eastAsia" w:ascii="Times New Roman" w:hAnsi="Times New Roman" w:eastAsia="仿宋_GB2312" w:cs="Times New Roman"/>
          <w:bCs/>
          <w:kern w:val="2"/>
          <w:sz w:val="32"/>
          <w:szCs w:val="24"/>
          <w:lang w:val="en-US" w:eastAsia="zh-CN" w:bidi="ar-SA"/>
        </w:rPr>
        <w:t>，与周边市县互联互通。积极承接西宁向外疏解的小型创新、文化等非中心功能，补位旅游休闲、康养等功能。</w:t>
      </w:r>
    </w:p>
    <w:p w14:paraId="386A7064">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bookmarkStart w:id="85" w:name="_Hlk137362256"/>
      <w:r>
        <w:rPr>
          <w:rFonts w:hint="eastAsia" w:ascii="楷体_GB2312" w:hAnsi="Times New Roman" w:eastAsia="楷体_GB2312" w:cs="Times New Roman"/>
          <w:bCs/>
          <w:sz w:val="32"/>
          <w:szCs w:val="32"/>
        </w:rPr>
        <w:t>推动青海湖环湖地区保护与特色发展</w:t>
      </w:r>
      <w:bookmarkEnd w:id="85"/>
    </w:p>
    <w:p w14:paraId="4E353DF7">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楷体" w:hAnsi="楷体" w:eastAsia="楷体" w:cs="Times New Roman"/>
          <w:kern w:val="2"/>
          <w:sz w:val="32"/>
          <w:szCs w:val="32"/>
          <w:lang w:val="en-US" w:eastAsia="zh-CN" w:bidi="ar-SA"/>
        </w:rPr>
        <w:t>协同环青海湖保护与开发</w:t>
      </w:r>
      <w:r>
        <w:rPr>
          <w:rFonts w:hint="eastAsia" w:ascii="Times New Roman" w:hAnsi="Times New Roman" w:eastAsia="仿宋_GB2312" w:cs="Times New Roman"/>
          <w:bCs/>
          <w:kern w:val="2"/>
          <w:sz w:val="32"/>
          <w:szCs w:val="24"/>
          <w:lang w:val="en-US" w:eastAsia="zh-CN" w:bidi="ar-SA"/>
        </w:rPr>
        <w:t>。加强与周边区域在环湖天然林草恢复、退化草原治理、湿地保护修复、水土保持和沙化土地封禁保护、污染源清理等方面的生态保护与修复协作。与青海湖融合发展，带动相关产业发展和吸纳就业，助推倒淌河镇乡村振兴。联动推进青海湖环湖旅游，完善倒淌河镇区区域旅游集散中心配套建设。</w:t>
      </w:r>
    </w:p>
    <w:p w14:paraId="60F45504">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楷体" w:hAnsi="楷体" w:eastAsia="楷体" w:cs="Times New Roman"/>
          <w:kern w:val="2"/>
          <w:sz w:val="32"/>
          <w:szCs w:val="32"/>
          <w:lang w:val="en-US" w:eastAsia="zh-CN" w:bidi="ar-SA"/>
        </w:rPr>
        <w:t>坚守底线管控，落实国家公园管控分区</w:t>
      </w:r>
      <w:r>
        <w:rPr>
          <w:rFonts w:hint="eastAsia" w:ascii="Times New Roman" w:hAnsi="Times New Roman" w:eastAsia="仿宋_GB2312" w:cs="Times New Roman"/>
          <w:bCs/>
          <w:kern w:val="2"/>
          <w:sz w:val="32"/>
          <w:szCs w:val="24"/>
          <w:lang w:val="en-US" w:eastAsia="zh-CN" w:bidi="ar-SA"/>
        </w:rPr>
        <w:t>。按照建设国家公园的标准，落实青海湖控制界限与管控分区；重点协调管控分区与生态保护红线、永久基本农田和城镇开发边界控制线的空间关系，确保各控制线之间不冲突。推进生态优先，强化环湖生态保护修复。增强服务能级，提升环湖旅游发展功能。做好园地协同，推动国家公园社区建设。</w:t>
      </w:r>
    </w:p>
    <w:p w14:paraId="3CB0ECF4">
      <w:pPr>
        <w:pStyle w:val="3"/>
        <w:keepNext/>
        <w:keepLines/>
        <w:pageBreakBefore w:val="0"/>
        <w:widowControl w:val="0"/>
        <w:numPr>
          <w:ilvl w:val="1"/>
          <w:numId w:val="13"/>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86" w:name="_Toc167960588"/>
      <w:bookmarkStart w:id="87" w:name="_Toc20297"/>
      <w:r>
        <w:rPr>
          <w:rFonts w:hint="eastAsia" w:ascii="Arial" w:hAnsi="Arial" w:eastAsia="黑体" w:cs="Times New Roman"/>
          <w:b w:val="0"/>
          <w:lang w:val="en-US" w:eastAsia="zh-CN"/>
        </w:rPr>
        <w:t>引领倒淌河镇</w:t>
      </w:r>
      <w:bookmarkEnd w:id="86"/>
      <w:r>
        <w:rPr>
          <w:rFonts w:hint="eastAsia" w:ascii="Arial" w:hAnsi="Arial" w:eastAsia="黑体" w:cs="Times New Roman"/>
          <w:b w:val="0"/>
          <w:lang w:val="en-US" w:eastAsia="zh-CN"/>
        </w:rPr>
        <w:t>发展</w:t>
      </w:r>
      <w:bookmarkEnd w:id="87"/>
    </w:p>
    <w:p w14:paraId="3D5D1567">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建设泛共和盆地</w:t>
      </w:r>
      <w:r>
        <w:rPr>
          <w:rFonts w:hint="eastAsia" w:ascii="楷体_GB2312" w:hAnsi="Times New Roman" w:eastAsia="楷体_GB2312" w:cs="Times New Roman"/>
          <w:bCs/>
          <w:sz w:val="32"/>
          <w:szCs w:val="32"/>
          <w:lang w:val="en-US" w:eastAsia="zh-CN"/>
        </w:rPr>
        <w:t>重点城镇</w:t>
      </w:r>
    </w:p>
    <w:p w14:paraId="1BC9AD2F">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楷体" w:hAnsi="楷体" w:eastAsia="楷体" w:cs="Times New Roman"/>
          <w:kern w:val="2"/>
          <w:sz w:val="32"/>
          <w:szCs w:val="32"/>
          <w:lang w:val="en-US" w:eastAsia="zh-CN" w:bidi="ar-SA"/>
        </w:rPr>
        <w:t>强化公共服务共建共享，提升区域集聚度</w:t>
      </w:r>
      <w:r>
        <w:rPr>
          <w:rFonts w:hint="eastAsia" w:ascii="Times New Roman" w:hAnsi="Times New Roman" w:eastAsia="仿宋_GB2312" w:cs="Times New Roman"/>
          <w:bCs/>
          <w:kern w:val="2"/>
          <w:sz w:val="32"/>
          <w:szCs w:val="24"/>
          <w:lang w:val="en-US" w:eastAsia="zh-CN" w:bidi="ar-SA"/>
        </w:rPr>
        <w:t>。高标准建设教育、医疗、文化、体育等各类州、县级公共服务设施，增强倒淌河镇区对区域服务功能。加快城镇产业集群发展，培育清洁能源、大数据等现代产业集群。加快打造现代服务业高地，积极发展商务服务、金融服务、酒店餐饮服务、物流服务等现代服务业。</w:t>
      </w:r>
    </w:p>
    <w:p w14:paraId="27AC5194">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强化与周边各</w:t>
      </w:r>
      <w:r>
        <w:rPr>
          <w:rFonts w:hint="eastAsia" w:ascii="楷体_GB2312" w:hAnsi="Times New Roman" w:eastAsia="楷体_GB2312" w:cs="Times New Roman"/>
          <w:bCs/>
          <w:sz w:val="32"/>
          <w:szCs w:val="32"/>
          <w:lang w:val="en-US" w:eastAsia="zh-CN"/>
        </w:rPr>
        <w:t>镇</w:t>
      </w:r>
      <w:r>
        <w:rPr>
          <w:rFonts w:hint="eastAsia" w:ascii="楷体_GB2312" w:hAnsi="Times New Roman" w:eastAsia="楷体_GB2312" w:cs="Times New Roman"/>
          <w:bCs/>
          <w:sz w:val="32"/>
          <w:szCs w:val="32"/>
        </w:rPr>
        <w:t>协调联动发展</w:t>
      </w:r>
    </w:p>
    <w:p w14:paraId="3896DFB4">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楷体" w:hAnsi="楷体" w:eastAsia="楷体" w:cs="Times New Roman"/>
          <w:kern w:val="2"/>
          <w:sz w:val="32"/>
          <w:szCs w:val="32"/>
          <w:lang w:val="en-US" w:eastAsia="zh-CN" w:bidi="ar-SA"/>
        </w:rPr>
        <w:t>联动环湖四镇，共塑环湖城镇发展新格局</w:t>
      </w:r>
      <w:r>
        <w:rPr>
          <w:rFonts w:hint="eastAsia" w:ascii="Times New Roman" w:hAnsi="Times New Roman" w:eastAsia="仿宋_GB2312" w:cs="Times New Roman"/>
          <w:bCs/>
          <w:kern w:val="2"/>
          <w:sz w:val="32"/>
          <w:szCs w:val="24"/>
          <w:lang w:val="en-US" w:eastAsia="zh-CN" w:bidi="ar-SA"/>
        </w:rPr>
        <w:t>。联动黑马河镇、石乃亥镇和江西沟镇，加强</w:t>
      </w:r>
      <w:r>
        <w:rPr>
          <w:rFonts w:hint="eastAsia" w:ascii="Times New Roman" w:hAnsi="Times New Roman" w:eastAsia="仿宋_GB2312" w:cs="Times New Roman"/>
          <w:bCs/>
          <w:kern w:val="2"/>
          <w:sz w:val="32"/>
          <w:szCs w:val="24"/>
          <w:lang w:val="en-US" w:eastAsia="zh-CN" w:bidi="ar"/>
        </w:rPr>
        <w:t>生态保护与修复协作，协调</w:t>
      </w:r>
      <w:r>
        <w:rPr>
          <w:rFonts w:hint="eastAsia" w:ascii="Times New Roman" w:hAnsi="Times New Roman" w:eastAsia="仿宋_GB2312" w:cs="Times New Roman"/>
          <w:bCs/>
          <w:kern w:val="2"/>
          <w:sz w:val="32"/>
          <w:szCs w:val="24"/>
          <w:lang w:val="en-US" w:eastAsia="zh-CN" w:bidi="ar-SA"/>
        </w:rPr>
        <w:t>统筹青海湖环湖旅游，推动共创青海湖国家公园。加强产业链上下游对接、旅游市场开拓等方面的错位协同。</w:t>
      </w:r>
    </w:p>
    <w:p w14:paraId="54C8AE18">
      <w:pPr>
        <w:pStyle w:val="3"/>
        <w:keepNext/>
        <w:keepLines/>
        <w:pageBreakBefore w:val="0"/>
        <w:widowControl w:val="0"/>
        <w:numPr>
          <w:ilvl w:val="1"/>
          <w:numId w:val="13"/>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zh-CN" w:eastAsia="zh-CN"/>
        </w:rPr>
      </w:pPr>
      <w:bookmarkStart w:id="88" w:name="_Toc167960589"/>
      <w:bookmarkStart w:id="89" w:name="_Toc28115"/>
      <w:bookmarkStart w:id="90" w:name="_Hlk137362397"/>
      <w:r>
        <w:rPr>
          <w:rFonts w:hint="eastAsia" w:ascii="Arial" w:hAnsi="Arial" w:eastAsia="黑体" w:cs="Times New Roman"/>
          <w:b w:val="0"/>
          <w:lang w:val="en-US" w:eastAsia="zh-CN"/>
        </w:rPr>
        <w:t>辐射带动周边城镇保护与发展</w:t>
      </w:r>
      <w:bookmarkEnd w:id="88"/>
      <w:bookmarkEnd w:id="89"/>
    </w:p>
    <w:p w14:paraId="26A08B1F">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推动面向</w:t>
      </w:r>
      <w:r>
        <w:rPr>
          <w:rFonts w:hint="eastAsia" w:ascii="楷体_GB2312" w:hAnsi="Times New Roman" w:eastAsia="楷体_GB2312" w:cs="Times New Roman"/>
          <w:bCs/>
          <w:sz w:val="32"/>
          <w:szCs w:val="32"/>
          <w:lang w:val="en-US" w:eastAsia="zh-CN"/>
        </w:rPr>
        <w:t>环湖</w:t>
      </w:r>
      <w:r>
        <w:rPr>
          <w:rFonts w:hint="eastAsia" w:ascii="楷体_GB2312" w:hAnsi="Times New Roman" w:eastAsia="楷体_GB2312" w:cs="Times New Roman"/>
          <w:bCs/>
          <w:sz w:val="32"/>
          <w:szCs w:val="32"/>
        </w:rPr>
        <w:t>地区的经济合作</w:t>
      </w:r>
    </w:p>
    <w:p w14:paraId="299FD2ED">
      <w:pPr>
        <w:widowControl w:val="0"/>
        <w:spacing w:after="120" w:line="600" w:lineRule="exact"/>
        <w:ind w:firstLine="640" w:firstLineChars="200"/>
        <w:jc w:val="both"/>
        <w:rPr>
          <w:rFonts w:ascii="Times New Roman" w:hAnsi="Times New Roman" w:eastAsia="仿宋_GB2312" w:cs="Times New Roman"/>
          <w:bCs/>
          <w:kern w:val="2"/>
          <w:sz w:val="32"/>
          <w:szCs w:val="24"/>
          <w:lang w:val="en-US" w:eastAsia="zh-CN" w:bidi="ar-SA"/>
        </w:rPr>
      </w:pPr>
      <w:r>
        <w:rPr>
          <w:rFonts w:hint="eastAsia" w:ascii="Times New Roman" w:hAnsi="Times New Roman" w:eastAsia="仿宋_GB2312" w:cs="Times New Roman"/>
          <w:bCs/>
          <w:kern w:val="2"/>
          <w:sz w:val="32"/>
          <w:szCs w:val="24"/>
          <w:lang w:val="en-US" w:eastAsia="zh-CN" w:bidi="ar-SA"/>
        </w:rPr>
        <w:t>建立共和县环湖四镇区域联动机制，承接产业转移、建设跨镇园区、发展飞地经济，完善公共基础设施，促进产业集约发展和优化升级。</w:t>
      </w:r>
    </w:p>
    <w:p w14:paraId="79FC9FDE">
      <w:pPr>
        <w:keepNext/>
        <w:keepLines/>
        <w:numPr>
          <w:ilvl w:val="0"/>
          <w:numId w:val="4"/>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强化</w:t>
      </w:r>
      <w:r>
        <w:rPr>
          <w:rFonts w:hint="eastAsia" w:ascii="楷体_GB2312" w:hAnsi="Times New Roman" w:eastAsia="楷体_GB2312" w:cs="Times New Roman"/>
          <w:bCs/>
          <w:sz w:val="32"/>
          <w:szCs w:val="32"/>
          <w:lang w:val="en-US" w:eastAsia="zh-CN"/>
        </w:rPr>
        <w:t>环湖地区</w:t>
      </w:r>
      <w:r>
        <w:rPr>
          <w:rFonts w:hint="eastAsia" w:ascii="楷体_GB2312" w:hAnsi="Times New Roman" w:eastAsia="楷体_GB2312" w:cs="Times New Roman"/>
          <w:bCs/>
          <w:sz w:val="32"/>
          <w:szCs w:val="32"/>
        </w:rPr>
        <w:t>生态保护与文化协作</w:t>
      </w:r>
    </w:p>
    <w:p w14:paraId="46A929D8">
      <w:pPr>
        <w:widowControl w:val="0"/>
        <w:spacing w:after="120" w:line="600" w:lineRule="exact"/>
        <w:ind w:firstLine="640" w:firstLineChars="200"/>
        <w:jc w:val="both"/>
        <w:rPr>
          <w:rFonts w:hint="eastAsia" w:ascii="Times New Roman" w:hAnsi="Times New Roman" w:eastAsia="仿宋_GB2312" w:cs="Times New Roman"/>
          <w:bCs/>
          <w:kern w:val="2"/>
          <w:sz w:val="32"/>
          <w:szCs w:val="24"/>
          <w:lang w:val="en-US" w:eastAsia="zh-CN" w:bidi="ar-SA"/>
        </w:rPr>
      </w:pPr>
      <w:r>
        <w:rPr>
          <w:rFonts w:hint="eastAsia" w:ascii="Times New Roman" w:hAnsi="Times New Roman" w:eastAsia="仿宋_GB2312" w:cs="Times New Roman"/>
          <w:bCs/>
          <w:kern w:val="2"/>
          <w:sz w:val="32"/>
          <w:szCs w:val="24"/>
          <w:lang w:val="en-US" w:eastAsia="zh-CN" w:bidi="ar-SA"/>
        </w:rPr>
        <w:t>共同推进青海湖旅游专线建设，推动环青海湖旅游精品线路提档升级。协同环湖地区生态综合治理，联动保护湿地生态系统、高寒生态系统和野生动植物。强化环湖地区在唐蕃文化、吐谷浑文化方面的共同保护与开发。</w:t>
      </w:r>
    </w:p>
    <w:p w14:paraId="3ED40CCF">
      <w:pPr>
        <w:rPr>
          <w:rFonts w:hint="eastAsia" w:ascii="Times New Roman" w:hAnsi="Times New Roman" w:eastAsia="仿宋_GB2312" w:cs="Times New Roman"/>
          <w:bCs/>
          <w:kern w:val="2"/>
          <w:sz w:val="32"/>
          <w:szCs w:val="24"/>
          <w:lang w:val="en-US" w:eastAsia="zh-CN" w:bidi="ar-SA"/>
        </w:rPr>
      </w:pPr>
      <w:r>
        <w:rPr>
          <w:rFonts w:hint="eastAsia" w:ascii="Times New Roman" w:hAnsi="Times New Roman" w:eastAsia="仿宋_GB2312" w:cs="Times New Roman"/>
          <w:bCs/>
          <w:kern w:val="2"/>
          <w:sz w:val="32"/>
          <w:szCs w:val="24"/>
          <w:lang w:val="en-US" w:eastAsia="zh-CN" w:bidi="ar-SA"/>
        </w:rPr>
        <w:br w:type="page"/>
      </w:r>
    </w:p>
    <w:bookmarkEnd w:id="90"/>
    <w:p w14:paraId="093F6879">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520" w:lineRule="exact"/>
        <w:ind w:left="0" w:leftChars="0" w:firstLine="0" w:firstLineChars="0"/>
        <w:jc w:val="center"/>
        <w:textAlignment w:val="auto"/>
        <w:rPr>
          <w:rFonts w:hint="eastAsia" w:ascii="Times New Roman" w:hAnsi="Times New Roman" w:eastAsia="方正小标宋简体" w:cs="Times New Roman"/>
          <w:b w:val="0"/>
          <w:bCs w:val="0"/>
          <w:sz w:val="36"/>
          <w:szCs w:val="36"/>
        </w:rPr>
      </w:pPr>
      <w:bookmarkStart w:id="91" w:name="_Toc18552"/>
      <w:r>
        <w:rPr>
          <w:rFonts w:hint="eastAsia" w:ascii="Times New Roman" w:hAnsi="Times New Roman" w:eastAsia="方正小标宋简体" w:cs="Times New Roman"/>
          <w:b w:val="0"/>
          <w:bCs w:val="0"/>
          <w:sz w:val="36"/>
          <w:szCs w:val="36"/>
        </w:rPr>
        <w:t>完善体制机制，高质量做好规划实施保障</w:t>
      </w:r>
      <w:bookmarkEnd w:id="91"/>
    </w:p>
    <w:p w14:paraId="7B5520B7">
      <w:pPr>
        <w:pStyle w:val="3"/>
        <w:keepNext/>
        <w:keepLines/>
        <w:pageBreakBefore w:val="0"/>
        <w:widowControl w:val="0"/>
        <w:numPr>
          <w:ilvl w:val="1"/>
          <w:numId w:val="14"/>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92" w:name="_Toc10291"/>
      <w:r>
        <w:rPr>
          <w:rFonts w:hint="eastAsia" w:ascii="Arial" w:hAnsi="Arial" w:eastAsia="黑体" w:cs="Times New Roman"/>
          <w:b w:val="0"/>
          <w:lang w:val="en-US" w:eastAsia="zh-CN"/>
        </w:rPr>
        <w:t>加强党的领导</w:t>
      </w:r>
      <w:bookmarkEnd w:id="92"/>
    </w:p>
    <w:p w14:paraId="504FA8E7">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加强党的领导</w:t>
      </w:r>
    </w:p>
    <w:p w14:paraId="2E24AB11">
      <w:pPr>
        <w:pStyle w:val="7"/>
        <w:ind w:firstLine="640"/>
        <w:rPr>
          <w:rFonts w:hint="eastAsia"/>
        </w:rPr>
      </w:pPr>
      <w:r>
        <w:rPr>
          <w:rFonts w:hint="eastAsia"/>
        </w:rPr>
        <w:t>坚持以习近平新时代中国特色社会主义思想为指导，全面贯彻落实党的二十大精神，深入领会“两个确立”的决定性意义，</w:t>
      </w:r>
      <w:r>
        <w:rPr>
          <w:rFonts w:hint="eastAsia"/>
          <w:lang w:eastAsia="zh-CN"/>
        </w:rPr>
        <w:t>增强“四个意识”、坚定“四个自信”、做到“两个维护”</w:t>
      </w:r>
      <w:r>
        <w:rPr>
          <w:rFonts w:hint="eastAsia"/>
        </w:rPr>
        <w:t>，充分发挥党总揽全局、协调各方的领导核心作用，把党的领导贯彻落实到国土空间规划实施与管理的各领域各环节。</w:t>
      </w:r>
    </w:p>
    <w:p w14:paraId="7AD9683B">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落实各级党委和国土空间规划管理主体责任</w:t>
      </w:r>
    </w:p>
    <w:p w14:paraId="0443B511">
      <w:pPr>
        <w:pStyle w:val="7"/>
        <w:ind w:firstLine="640"/>
        <w:rPr>
          <w:rFonts w:hint="eastAsia"/>
        </w:rPr>
      </w:pPr>
      <w:r>
        <w:rPr>
          <w:rFonts w:hint="eastAsia"/>
        </w:rPr>
        <w:t>坚持“多规合一”，不在国土空间规划体系之外另设其他空间规划。强化规划严肃性，规划一经批准，任何部门和个人不得随意修改、违规变更。</w:t>
      </w:r>
    </w:p>
    <w:p w14:paraId="7DFD652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健全国土空间规划委员会制度</w:t>
      </w:r>
    </w:p>
    <w:p w14:paraId="1A84366D">
      <w:pPr>
        <w:pStyle w:val="7"/>
        <w:ind w:firstLine="640"/>
        <w:rPr>
          <w:rFonts w:hint="default"/>
          <w:lang w:val="en-US" w:eastAsia="zh-CN"/>
        </w:rPr>
      </w:pPr>
      <w:r>
        <w:rPr>
          <w:rFonts w:hint="default"/>
          <w:lang w:val="en-US" w:eastAsia="zh-CN"/>
        </w:rPr>
        <w:t>建立</w:t>
      </w:r>
      <w:r>
        <w:rPr>
          <w:rFonts w:hint="eastAsia"/>
          <w:lang w:val="en-US" w:eastAsia="zh-CN"/>
        </w:rPr>
        <w:t>县</w:t>
      </w:r>
      <w:r>
        <w:rPr>
          <w:rFonts w:hint="default"/>
          <w:lang w:val="en-US" w:eastAsia="zh-CN"/>
        </w:rPr>
        <w:t>级国土空间规划委员会，加强部门和</w:t>
      </w:r>
      <w:r>
        <w:rPr>
          <w:rFonts w:hint="eastAsia"/>
          <w:lang w:val="en-US" w:eastAsia="zh-CN"/>
        </w:rPr>
        <w:t>乡镇</w:t>
      </w:r>
      <w:r>
        <w:rPr>
          <w:rFonts w:hint="default"/>
          <w:lang w:val="en-US" w:eastAsia="zh-CN"/>
        </w:rPr>
        <w:t>间协同，进一步完善国土空间规划编制实施管理的配套政策，确保规划各项目标任务落地实施。建立规划实施的部门沟通协商机制，协调解决国土空间保护、开发、利用和修复中的相关问题，确保国家、省级、州级</w:t>
      </w:r>
      <w:r>
        <w:rPr>
          <w:rFonts w:hint="eastAsia"/>
          <w:lang w:val="en-US" w:eastAsia="zh-CN"/>
        </w:rPr>
        <w:t>、县级</w:t>
      </w:r>
      <w:r>
        <w:rPr>
          <w:rFonts w:hint="default"/>
          <w:lang w:val="en-US" w:eastAsia="zh-CN"/>
        </w:rPr>
        <w:t>重大决策部署落实到位。</w:t>
      </w:r>
    </w:p>
    <w:p w14:paraId="335C8505">
      <w:pPr>
        <w:pStyle w:val="3"/>
        <w:keepNext/>
        <w:keepLines/>
        <w:pageBreakBefore w:val="0"/>
        <w:widowControl w:val="0"/>
        <w:numPr>
          <w:ilvl w:val="1"/>
          <w:numId w:val="14"/>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93" w:name="_Toc17075"/>
      <w:r>
        <w:rPr>
          <w:rFonts w:hint="eastAsia" w:ascii="Arial" w:hAnsi="Arial" w:eastAsia="黑体" w:cs="Times New Roman"/>
          <w:b w:val="0"/>
          <w:lang w:val="en-US" w:eastAsia="zh-CN"/>
        </w:rPr>
        <w:t>健全配套政策</w:t>
      </w:r>
      <w:bookmarkEnd w:id="93"/>
    </w:p>
    <w:p w14:paraId="6C101871">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健全国土空间规划法规政策和标准体系</w:t>
      </w:r>
    </w:p>
    <w:p w14:paraId="5C44A161">
      <w:pPr>
        <w:pStyle w:val="7"/>
        <w:ind w:firstLine="640"/>
        <w:rPr>
          <w:rFonts w:hint="default"/>
          <w:lang w:val="en-US" w:eastAsia="zh-CN"/>
        </w:rPr>
      </w:pPr>
      <w:r>
        <w:rPr>
          <w:rFonts w:hint="eastAsia"/>
          <w:lang w:val="en-US" w:eastAsia="zh-CN"/>
        </w:rPr>
        <w:t>严格落实</w:t>
      </w:r>
      <w:r>
        <w:rPr>
          <w:rFonts w:hint="default"/>
          <w:lang w:val="en-US" w:eastAsia="zh-CN"/>
        </w:rPr>
        <w:t>国土空间规划编制、审批与实施管理的相关法规政策，落实国家统一的技术标准，落实青海省或海南州地方规划标准和技术管理规定，支撑规划实施。</w:t>
      </w:r>
    </w:p>
    <w:p w14:paraId="09C66EC2">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完善规划实施的配套制度</w:t>
      </w:r>
    </w:p>
    <w:p w14:paraId="427D773A">
      <w:pPr>
        <w:pStyle w:val="7"/>
        <w:ind w:firstLine="640"/>
        <w:rPr>
          <w:rFonts w:hint="eastAsia"/>
          <w:lang w:val="en-US" w:eastAsia="zh-CN"/>
        </w:rPr>
      </w:pPr>
      <w:r>
        <w:rPr>
          <w:rFonts w:hint="eastAsia"/>
          <w:lang w:val="en-US" w:eastAsia="zh-CN"/>
        </w:rPr>
        <w:t>在充分发挥现有政策综合效能的基础上，合力构建财政、投资、产业、人口、自然资源、生态环境、农业农村发展等配套制度，推进生态产品价值实现机制探索和生态综合补偿试点工作，保障规划实施。各级政府和相关部门要细化分工安排，完善配套政策，促进国土空间规划各项任务落地实施。</w:t>
      </w:r>
    </w:p>
    <w:p w14:paraId="26029694">
      <w:pPr>
        <w:pStyle w:val="3"/>
        <w:keepNext/>
        <w:keepLines/>
        <w:pageBreakBefore w:val="0"/>
        <w:widowControl w:val="0"/>
        <w:numPr>
          <w:ilvl w:val="1"/>
          <w:numId w:val="14"/>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94" w:name="_Toc27664"/>
      <w:r>
        <w:rPr>
          <w:rFonts w:hint="eastAsia" w:ascii="Arial" w:hAnsi="Arial" w:eastAsia="黑体" w:cs="Times New Roman"/>
          <w:b w:val="0"/>
          <w:lang w:val="en-US" w:eastAsia="zh-CN"/>
        </w:rPr>
        <w:t>强化规划传导与用途管制</w:t>
      </w:r>
      <w:bookmarkEnd w:id="94"/>
    </w:p>
    <w:p w14:paraId="7D4C4138">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严格落实县级国土空间总体规划</w:t>
      </w:r>
    </w:p>
    <w:p w14:paraId="7AC4D29F">
      <w:pPr>
        <w:pStyle w:val="7"/>
        <w:ind w:firstLine="640"/>
        <w:rPr>
          <w:rFonts w:hint="default"/>
          <w:lang w:val="en-US" w:eastAsia="zh-CN"/>
        </w:rPr>
      </w:pPr>
      <w:r>
        <w:rPr>
          <w:rFonts w:hint="eastAsia"/>
          <w:lang w:val="en-US" w:eastAsia="zh-CN"/>
        </w:rPr>
        <w:t>落实县级总规确定的开发保护目标定位、城镇体系、空间策略、城镇特色指引等宏观定性内容。严格落实生态保护红线、耕地和永久基本农田保护线、城镇开发边界、洪涝风险控制线、清洁能源用地引导线、重要历史文化保护线等空间管控线，落实相应管控措施。各类城乡建设行为及项目审批都应落实相应管控要求。严格落实县级国土空间总体规划提出的规划指标，依据核心指标制定评估考核机制，强化对资源总量和利用效率、空间管控底线的管控。落实县级规划划定的功能分区和管控要求。</w:t>
      </w:r>
      <w:r>
        <w:rPr>
          <w:rFonts w:hint="eastAsia" w:ascii="仿宋_GB2312" w:hAnsi="仿宋_GB2312" w:eastAsia="仿宋_GB2312"/>
          <w:sz w:val="32"/>
          <w:szCs w:val="32"/>
        </w:rPr>
        <w:t>严格落实县级国土空间总体规划提出的战略性矿产保障区名录、自然保护地名录、历史文化资源保护名录、重点建设项目名录、生态修复项目名录、过渡区承诺纳入项目名录、村庄分类引导名录等要求。</w:t>
      </w:r>
    </w:p>
    <w:p w14:paraId="62B2FEC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详细规划</w:t>
      </w:r>
      <w:r>
        <w:rPr>
          <w:rFonts w:hint="eastAsia" w:ascii="楷体_GB2312" w:hAnsi="Times New Roman" w:eastAsia="楷体_GB2312" w:cs="Times New Roman"/>
          <w:bCs/>
          <w:sz w:val="32"/>
          <w:szCs w:val="32"/>
        </w:rPr>
        <w:t>传导</w:t>
      </w:r>
    </w:p>
    <w:p w14:paraId="7358FE52">
      <w:pPr>
        <w:pStyle w:val="7"/>
        <w:ind w:firstLine="640"/>
        <w:rPr>
          <w:rFonts w:hint="eastAsia"/>
          <w:lang w:val="en-US" w:eastAsia="zh-CN"/>
        </w:rPr>
      </w:pPr>
      <w:r>
        <w:rPr>
          <w:rFonts w:hint="eastAsia" w:ascii="楷体_GB2312" w:hAnsi="楷体_GB2312" w:eastAsia="楷体_GB2312" w:cs="楷体_GB2312"/>
          <w:szCs w:val="32"/>
        </w:rPr>
        <w:t>健全国土空间规划体系，加强详细规划传导</w:t>
      </w:r>
      <w:r>
        <w:rPr>
          <w:rFonts w:hint="eastAsia" w:ascii="楷体_GB2312" w:hAnsi="楷体_GB2312" w:eastAsia="楷体_GB2312" w:cs="楷体_GB2312"/>
        </w:rPr>
        <w:t>。</w:t>
      </w:r>
      <w:r>
        <w:rPr>
          <w:rFonts w:hint="eastAsia" w:ascii="仿宋_GB2312" w:hAnsi="仿宋_GB2312" w:eastAsia="仿宋_GB2312" w:cs="仿宋_GB2312"/>
          <w:lang w:val="en-US" w:eastAsia="zh-CN"/>
        </w:rPr>
        <w:t>镇区</w:t>
      </w:r>
      <w:r>
        <w:rPr>
          <w:rFonts w:hint="eastAsia" w:ascii="仿宋_GB2312" w:hAnsi="仿宋_GB2312" w:cs="仿宋_GB2312"/>
          <w:lang w:val="en-US" w:eastAsia="zh-CN"/>
        </w:rPr>
        <w:t>划分为1个详细规划编制单元，</w:t>
      </w:r>
      <w:r>
        <w:rPr>
          <w:rFonts w:hint="eastAsia"/>
          <w:lang w:val="en-US" w:eastAsia="zh-CN"/>
        </w:rPr>
        <w:t>明确倒淌河镇村庄规划编制单元和村庄规划编制数量。对各村庄的等级类型、发展方向等提出规划引导，划定村庄建设用地边界。</w:t>
      </w:r>
    </w:p>
    <w:p w14:paraId="190D2B7A">
      <w:pPr>
        <w:pStyle w:val="7"/>
        <w:ind w:firstLine="640"/>
        <w:rPr>
          <w:rFonts w:hint="eastAsia"/>
          <w:lang w:val="en-US" w:eastAsia="zh-CN"/>
        </w:rPr>
      </w:pPr>
      <w:r>
        <w:rPr>
          <w:rFonts w:hint="eastAsia"/>
          <w:lang w:val="en-US" w:eastAsia="zh-CN"/>
        </w:rPr>
        <w:t>将生态保护红线、耕地和永久基本农田保护线、城镇开发边界、洪涝风险控制线、清洁能源用地引导线、重要历史文化保护线等空间管控线的指标规模和空间布局传导至各村庄。</w:t>
      </w:r>
    </w:p>
    <w:p w14:paraId="54CBC7A3">
      <w:pPr>
        <w:pStyle w:val="7"/>
        <w:ind w:firstLine="640"/>
        <w:rPr>
          <w:rFonts w:hint="eastAsia"/>
          <w:lang w:val="en-US" w:eastAsia="zh-CN"/>
        </w:rPr>
      </w:pPr>
      <w:r>
        <w:rPr>
          <w:rFonts w:hint="eastAsia"/>
          <w:lang w:val="en-US" w:eastAsia="zh-CN"/>
        </w:rPr>
        <w:t>镇区详细规划编制需要，进一步划分各类功能分区内部用途分区，确定用地比例结构控制的相关要求。应根据上层次规划的国土空间利用主导功能和结构控制要求，确定不同地块划分、地块的使用性质以及相关控制指标，作为实施用地规划许可和规划管理的依据。通过划定镇区“五线”，明确基础设施、公共服务设施和综合防灾设施布局。</w:t>
      </w:r>
    </w:p>
    <w:p w14:paraId="0C3A36C2">
      <w:pPr>
        <w:pStyle w:val="3"/>
        <w:keepNext/>
        <w:keepLines/>
        <w:pageBreakBefore w:val="0"/>
        <w:widowControl w:val="0"/>
        <w:numPr>
          <w:ilvl w:val="1"/>
          <w:numId w:val="14"/>
        </w:numPr>
        <w:kinsoku/>
        <w:wordWrap/>
        <w:overflowPunct/>
        <w:topLinePunct w:val="0"/>
        <w:autoSpaceDE/>
        <w:autoSpaceDN/>
        <w:bidi w:val="0"/>
        <w:adjustRightInd/>
        <w:snapToGrid/>
        <w:spacing w:before="100" w:after="100" w:line="400" w:lineRule="exact"/>
        <w:ind w:left="0" w:leftChars="0" w:firstLine="0" w:firstLineChars="0"/>
        <w:jc w:val="center"/>
        <w:textAlignment w:val="auto"/>
        <w:rPr>
          <w:rFonts w:hint="eastAsia" w:ascii="Arial" w:hAnsi="Arial" w:eastAsia="黑体" w:cs="Times New Roman"/>
          <w:b w:val="0"/>
          <w:lang w:val="en-US" w:eastAsia="zh-CN"/>
        </w:rPr>
      </w:pPr>
      <w:bookmarkStart w:id="95" w:name="_Toc21391"/>
      <w:r>
        <w:rPr>
          <w:rFonts w:hint="eastAsia" w:ascii="Arial" w:hAnsi="Arial" w:eastAsia="黑体" w:cs="Times New Roman"/>
          <w:b w:val="0"/>
          <w:lang w:val="en-US" w:eastAsia="zh-CN"/>
        </w:rPr>
        <w:t>近期安排</w:t>
      </w:r>
      <w:bookmarkEnd w:id="95"/>
    </w:p>
    <w:p w14:paraId="2539652E">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近期规划目标</w:t>
      </w:r>
    </w:p>
    <w:p w14:paraId="57B96649">
      <w:pPr>
        <w:pStyle w:val="7"/>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到2025年，乡村现代化取得重要进展；农牧区生产生活绿色转型，人居和生态环境明显改善，城乡基本公共服务均等化水平显著提升；城乡居民收入差距明显缩小；乡村产业体系健全完善，城乡融合和可持续发展能力显著增强；乡风文明明显提升，发展安全保障更加有力，农牧民获得感、幸福感、安全感全面提高。</w:t>
      </w:r>
    </w:p>
    <w:p w14:paraId="59E3CAD8">
      <w:pPr>
        <w:pStyle w:val="7"/>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到2025年，</w:t>
      </w:r>
      <w:r>
        <w:rPr>
          <w:rFonts w:hint="eastAsia"/>
        </w:rPr>
        <w:t>镇区服务功能进一步完善，功能服务多样化，生活质量提升，镇区有机更新稳步推进；道路系统和基础设施建设更加完善，镇区环境质量更加优化，人居环境更加美好。</w:t>
      </w:r>
    </w:p>
    <w:p w14:paraId="7E01EFD6">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保障近期重点项目空间</w:t>
      </w:r>
    </w:p>
    <w:p w14:paraId="0183CC81">
      <w:pPr>
        <w:pStyle w:val="7"/>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做好国家、省、州、县“十四五”交通、水利、能源等重大基础设施项目用地保障，落实省、州、县重大创新载体、重大产业项目、重大生态环保、重大民生工程和重大基础设施用地需求，持续优化国土空间格局和用地结构，提升生态屏障功能，促进生态保护和高质量发展协同并进。</w:t>
      </w:r>
    </w:p>
    <w:p w14:paraId="070CDCB3">
      <w:pPr>
        <w:keepNext/>
        <w:keepLines/>
        <w:pageBreakBefore w:val="0"/>
        <w:widowControl w:val="0"/>
        <w:numPr>
          <w:ilvl w:val="0"/>
          <w:numId w:val="4"/>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rPr>
      </w:pPr>
      <w:r>
        <w:rPr>
          <w:rFonts w:hint="eastAsia" w:ascii="楷体_GB2312" w:hAnsi="Times New Roman" w:eastAsia="楷体_GB2312" w:cs="Times New Roman"/>
          <w:bCs/>
          <w:sz w:val="32"/>
          <w:szCs w:val="32"/>
        </w:rPr>
        <w:t>统筹推进生态修复重大工程</w:t>
      </w:r>
    </w:p>
    <w:p w14:paraId="37BAD6BF">
      <w:pPr>
        <w:pStyle w:val="7"/>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坚持自然恢复与工程措施相结合，深入贯彻“山水林田湖草沙是一个生命共同体”的理念，统筹山水林田湖草沙系统治理，以大项工程、专项工程全面提升全域生态功能。重点推进青海湖流域生态保护与环境综合治理工程、森林生态系统修复工程、荒漠生态系统重大修复工程、湿地生态系统重大修复工程、重点水源涵养地保护工程、城镇周边绿化生态造林屏障建设工程等大项生态修复工程。</w:t>
      </w:r>
    </w:p>
    <w:p w14:paraId="373649E0">
      <w:pPr>
        <w:rPr>
          <w:rFonts w:hint="default" w:ascii="仿宋_GB2312" w:hAnsi="仿宋_GB2312" w:eastAsia="仿宋_GB2312" w:cs="仿宋_GB231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968D79-7504-4D0F-905C-37F77D2BA23F}"/>
  </w:font>
  <w:font w:name="黑体">
    <w:panose1 w:val="02010609060101010101"/>
    <w:charset w:val="86"/>
    <w:family w:val="auto"/>
    <w:pitch w:val="default"/>
    <w:sig w:usb0="800002BF" w:usb1="38CF7CFA" w:usb2="00000016" w:usb3="00000000" w:csb0="00040001" w:csb1="00000000"/>
    <w:embedRegular r:id="rId2" w:fontKey="{A2DE8A1A-6C10-48C3-A1E1-FA9E560257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646E4DC-8A4C-4048-9675-424552F9317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35A188FB-AA39-46A3-ADFF-74DD6D6C86D6}"/>
  </w:font>
  <w:font w:name="方正小标宋简体">
    <w:panose1 w:val="03000509000000000000"/>
    <w:charset w:val="86"/>
    <w:family w:val="script"/>
    <w:pitch w:val="default"/>
    <w:sig w:usb0="00000001" w:usb1="080E0000" w:usb2="00000000" w:usb3="00000000" w:csb0="00040000" w:csb1="00000000"/>
    <w:embedRegular r:id="rId5" w:fontKey="{DD287C2F-324D-49EA-8A63-AE2A670C7C4C}"/>
  </w:font>
  <w:font w:name="楷体_GB2312">
    <w:panose1 w:val="02010609030101010101"/>
    <w:charset w:val="86"/>
    <w:family w:val="modern"/>
    <w:pitch w:val="default"/>
    <w:sig w:usb0="00000001" w:usb1="080E0000" w:usb2="00000000" w:usb3="00000000" w:csb0="00040000" w:csb1="00000000"/>
    <w:embedRegular r:id="rId6" w:fontKey="{15974E53-AF96-4364-8D41-552A718C4F41}"/>
  </w:font>
  <w:font w:name="楷体">
    <w:panose1 w:val="02010609060101010101"/>
    <w:charset w:val="86"/>
    <w:family w:val="modern"/>
    <w:pitch w:val="default"/>
    <w:sig w:usb0="800002BF" w:usb1="38CF7CFA" w:usb2="00000016" w:usb3="00000000" w:csb0="00040001" w:csb1="00000000"/>
    <w:embedRegular r:id="rId7" w:fontKey="{6336BEAD-2F2C-4E38-BE29-EFDC41BD550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C434">
    <w:pPr>
      <w:pStyle w:val="11"/>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180</w:t>
    </w:r>
    <w:r>
      <w:rPr>
        <w:rFonts w:hint="default"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B1A0">
    <w:pPr>
      <w:pStyle w:val="11"/>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180</w:t>
    </w:r>
    <w:r>
      <w:rPr>
        <w:rFonts w:hint="default" w:ascii="Times New Roman" w:hAnsi="Times New Roman" w:cs="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EE0C0"/>
    <w:multiLevelType w:val="multilevel"/>
    <w:tmpl w:val="8DDEE0C0"/>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A2E64C41"/>
    <w:multiLevelType w:val="multilevel"/>
    <w:tmpl w:val="A2E64C41"/>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B36193A0"/>
    <w:multiLevelType w:val="multilevel"/>
    <w:tmpl w:val="B36193A0"/>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E5E5F961"/>
    <w:multiLevelType w:val="multilevel"/>
    <w:tmpl w:val="E5E5F961"/>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FE4FFF15"/>
    <w:multiLevelType w:val="multilevel"/>
    <w:tmpl w:val="FE4FFF1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FFE625A3"/>
    <w:multiLevelType w:val="multilevel"/>
    <w:tmpl w:val="FFE625A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21A7378D"/>
    <w:multiLevelType w:val="multilevel"/>
    <w:tmpl w:val="21A7378D"/>
    <w:lvl w:ilvl="0" w:tentative="0">
      <w:start w:val="1"/>
      <w:numFmt w:val="japaneseCounting"/>
      <w:pStyle w:val="27"/>
      <w:lvlText w:val="（%1）"/>
      <w:lvlJc w:val="left"/>
      <w:pPr>
        <w:ind w:left="1640" w:hanging="108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7">
    <w:nsid w:val="30CF119B"/>
    <w:multiLevelType w:val="multilevel"/>
    <w:tmpl w:val="30CF119B"/>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8">
    <w:nsid w:val="35A2F500"/>
    <w:multiLevelType w:val="multilevel"/>
    <w:tmpl w:val="35A2F500"/>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38EF649B"/>
    <w:multiLevelType w:val="multilevel"/>
    <w:tmpl w:val="38EF649B"/>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56A3B412"/>
    <w:multiLevelType w:val="multilevel"/>
    <w:tmpl w:val="56A3B412"/>
    <w:lvl w:ilvl="0" w:tentative="0">
      <w:start w:val="1"/>
      <w:numFmt w:val="chineseCounting"/>
      <w:suff w:val="nothing"/>
      <w:lvlText w:val="第%1章 "/>
      <w:lvlJc w:val="left"/>
      <w:pPr>
        <w:ind w:left="0" w:firstLine="402"/>
      </w:pPr>
      <w:rPr>
        <w:rFonts w:hint="eastAsia" w:ascii="方正小标宋简体" w:hAnsi="方正小标宋简体" w:eastAsia="方正小标宋简体" w:cs="方正小标宋简体"/>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5F76B54D"/>
    <w:multiLevelType w:val="multilevel"/>
    <w:tmpl w:val="5F76B54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2">
    <w:nsid w:val="62BA49CC"/>
    <w:multiLevelType w:val="multilevel"/>
    <w:tmpl w:val="62BA49CC"/>
    <w:lvl w:ilvl="0" w:tentative="0">
      <w:start w:val="1"/>
      <w:numFmt w:val="decimal"/>
      <w:lvlText w:val="第%1条 "/>
      <w:lvlJc w:val="left"/>
      <w:pPr>
        <w:ind w:left="1552" w:hanging="984"/>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3F281A7"/>
    <w:multiLevelType w:val="multilevel"/>
    <w:tmpl w:val="63F281A7"/>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6"/>
  </w:num>
  <w:num w:numId="2">
    <w:abstractNumId w:val="10"/>
  </w:num>
  <w:num w:numId="3">
    <w:abstractNumId w:val="3"/>
  </w:num>
  <w:num w:numId="4">
    <w:abstractNumId w:val="12"/>
  </w:num>
  <w:num w:numId="5">
    <w:abstractNumId w:val="1"/>
  </w:num>
  <w:num w:numId="6">
    <w:abstractNumId w:val="7"/>
  </w:num>
  <w:num w:numId="7">
    <w:abstractNumId w:val="9"/>
  </w:num>
  <w:num w:numId="8">
    <w:abstractNumId w:val="11"/>
  </w:num>
  <w:num w:numId="9">
    <w:abstractNumId w:val="2"/>
  </w:num>
  <w:num w:numId="10">
    <w:abstractNumId w:val="8"/>
  </w:num>
  <w:num w:numId="11">
    <w:abstractNumId w:val="4"/>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Dc1YTVkYTZiMWRhZjUyNzg0N2I4MjlmZTlkODcifQ=="/>
  </w:docVars>
  <w:rsids>
    <w:rsidRoot w:val="00172A27"/>
    <w:rsid w:val="000613C2"/>
    <w:rsid w:val="00183859"/>
    <w:rsid w:val="00315BAD"/>
    <w:rsid w:val="003E5364"/>
    <w:rsid w:val="004A7559"/>
    <w:rsid w:val="004C6B38"/>
    <w:rsid w:val="004D0FFE"/>
    <w:rsid w:val="00606846"/>
    <w:rsid w:val="007030DC"/>
    <w:rsid w:val="00847627"/>
    <w:rsid w:val="009643E6"/>
    <w:rsid w:val="00B34DBA"/>
    <w:rsid w:val="00CD3927"/>
    <w:rsid w:val="00CF38C9"/>
    <w:rsid w:val="00D6174F"/>
    <w:rsid w:val="00DF5326"/>
    <w:rsid w:val="00F103A4"/>
    <w:rsid w:val="00FA0908"/>
    <w:rsid w:val="00FD1DD7"/>
    <w:rsid w:val="02941414"/>
    <w:rsid w:val="03052895"/>
    <w:rsid w:val="047A798B"/>
    <w:rsid w:val="05962243"/>
    <w:rsid w:val="05AD5FE5"/>
    <w:rsid w:val="06A643D2"/>
    <w:rsid w:val="06D33870"/>
    <w:rsid w:val="07073C20"/>
    <w:rsid w:val="07711C3C"/>
    <w:rsid w:val="0A1B544D"/>
    <w:rsid w:val="0B2A5972"/>
    <w:rsid w:val="0C834535"/>
    <w:rsid w:val="10645C6F"/>
    <w:rsid w:val="119651CC"/>
    <w:rsid w:val="144C6DFF"/>
    <w:rsid w:val="18090CAA"/>
    <w:rsid w:val="194275AC"/>
    <w:rsid w:val="19461623"/>
    <w:rsid w:val="196B01BF"/>
    <w:rsid w:val="1A6F1FF1"/>
    <w:rsid w:val="1BC624E9"/>
    <w:rsid w:val="1C644D67"/>
    <w:rsid w:val="1D2D1856"/>
    <w:rsid w:val="1E1A3708"/>
    <w:rsid w:val="1F5934ED"/>
    <w:rsid w:val="2480282D"/>
    <w:rsid w:val="2524511C"/>
    <w:rsid w:val="26766764"/>
    <w:rsid w:val="26AC3A6A"/>
    <w:rsid w:val="27885954"/>
    <w:rsid w:val="28797BA6"/>
    <w:rsid w:val="299B32E4"/>
    <w:rsid w:val="29FF4AFC"/>
    <w:rsid w:val="2B001E91"/>
    <w:rsid w:val="2D106E30"/>
    <w:rsid w:val="2E1A41A4"/>
    <w:rsid w:val="33F91440"/>
    <w:rsid w:val="34343810"/>
    <w:rsid w:val="34AB35B3"/>
    <w:rsid w:val="35DC5DD2"/>
    <w:rsid w:val="362668D9"/>
    <w:rsid w:val="36351405"/>
    <w:rsid w:val="385672B3"/>
    <w:rsid w:val="3990612E"/>
    <w:rsid w:val="39DF4C7B"/>
    <w:rsid w:val="3A9C574C"/>
    <w:rsid w:val="3B0E24AB"/>
    <w:rsid w:val="3CA620E5"/>
    <w:rsid w:val="3CE22CCE"/>
    <w:rsid w:val="3D905419"/>
    <w:rsid w:val="3DDE58CC"/>
    <w:rsid w:val="3DFB09DB"/>
    <w:rsid w:val="3E094962"/>
    <w:rsid w:val="3F5B66B6"/>
    <w:rsid w:val="3FC748BC"/>
    <w:rsid w:val="42BA1E87"/>
    <w:rsid w:val="43C42766"/>
    <w:rsid w:val="47CB5A57"/>
    <w:rsid w:val="48750E49"/>
    <w:rsid w:val="4961652D"/>
    <w:rsid w:val="4A46348A"/>
    <w:rsid w:val="4F5C3F82"/>
    <w:rsid w:val="4FB1665D"/>
    <w:rsid w:val="51AE2D78"/>
    <w:rsid w:val="52DE294E"/>
    <w:rsid w:val="55922DC9"/>
    <w:rsid w:val="55EA58B6"/>
    <w:rsid w:val="563036AA"/>
    <w:rsid w:val="5732424A"/>
    <w:rsid w:val="577B4363"/>
    <w:rsid w:val="5A04713E"/>
    <w:rsid w:val="5BCC1777"/>
    <w:rsid w:val="5CB07840"/>
    <w:rsid w:val="5D2D5649"/>
    <w:rsid w:val="5E1B045A"/>
    <w:rsid w:val="600D1DD9"/>
    <w:rsid w:val="60150C86"/>
    <w:rsid w:val="605610C0"/>
    <w:rsid w:val="60C01654"/>
    <w:rsid w:val="61BF7DEE"/>
    <w:rsid w:val="64D36E23"/>
    <w:rsid w:val="659E378D"/>
    <w:rsid w:val="66794E53"/>
    <w:rsid w:val="67D8124B"/>
    <w:rsid w:val="67F82636"/>
    <w:rsid w:val="69254D0B"/>
    <w:rsid w:val="69771943"/>
    <w:rsid w:val="69B93063"/>
    <w:rsid w:val="6A254564"/>
    <w:rsid w:val="6AED777A"/>
    <w:rsid w:val="6D930760"/>
    <w:rsid w:val="6E40711C"/>
    <w:rsid w:val="6F420FD1"/>
    <w:rsid w:val="6F711581"/>
    <w:rsid w:val="70182D01"/>
    <w:rsid w:val="7326481B"/>
    <w:rsid w:val="75926C48"/>
    <w:rsid w:val="75E949D7"/>
    <w:rsid w:val="77145730"/>
    <w:rsid w:val="77D16760"/>
    <w:rsid w:val="793D4465"/>
    <w:rsid w:val="7A0E2D85"/>
    <w:rsid w:val="7A474029"/>
    <w:rsid w:val="7C6238C3"/>
    <w:rsid w:val="7E6F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spacing w:line="360" w:lineRule="auto"/>
      <w:ind w:firstLine="420"/>
    </w:pPr>
    <w:rPr>
      <w:rFonts w:ascii="宋体" w:hAnsi="宋体"/>
      <w:szCs w:val="20"/>
    </w:rPr>
  </w:style>
  <w:style w:type="paragraph" w:styleId="6">
    <w:name w:val="caption"/>
    <w:basedOn w:val="1"/>
    <w:next w:val="1"/>
    <w:qFormat/>
    <w:uiPriority w:val="0"/>
    <w:pPr>
      <w:ind w:firstLine="0" w:firstLineChars="0"/>
    </w:pPr>
    <w:rPr>
      <w:rFonts w:ascii="Arial" w:hAnsi="Arial" w:eastAsia="黑体" w:cs="Arial"/>
      <w:sz w:val="21"/>
      <w:szCs w:val="20"/>
    </w:rPr>
  </w:style>
  <w:style w:type="paragraph" w:styleId="7">
    <w:name w:val="Body Text"/>
    <w:basedOn w:val="1"/>
    <w:qFormat/>
    <w:uiPriority w:val="0"/>
    <w:pPr>
      <w:spacing w:after="120" w:line="600" w:lineRule="exact"/>
    </w:pPr>
    <w:rPr>
      <w:rFonts w:eastAsia="仿宋_GB2312"/>
      <w:sz w:val="32"/>
    </w:rPr>
  </w:style>
  <w:style w:type="paragraph" w:styleId="8">
    <w:name w:val="Body Text Indent"/>
    <w:basedOn w:val="1"/>
    <w:semiHidden/>
    <w:unhideWhenUsed/>
    <w:qFormat/>
    <w:uiPriority w:val="99"/>
    <w:pPr>
      <w:spacing w:after="120"/>
      <w:ind w:left="420" w:leftChars="200"/>
    </w:pPr>
  </w:style>
  <w:style w:type="paragraph" w:styleId="9">
    <w:name w:val="Plain Text"/>
    <w:basedOn w:val="1"/>
    <w:qFormat/>
    <w:uiPriority w:val="0"/>
    <w:rPr>
      <w:rFonts w:ascii="宋体"/>
      <w14:ligatures w14:val="none"/>
    </w:rPr>
  </w:style>
  <w:style w:type="paragraph" w:styleId="10">
    <w:name w:val="Date"/>
    <w:basedOn w:val="1"/>
    <w:next w:val="1"/>
    <w:link w:val="20"/>
    <w:semiHidden/>
    <w:unhideWhenUsed/>
    <w:qFormat/>
    <w:uiPriority w:val="99"/>
    <w:pPr>
      <w:ind w:left="100" w:leftChars="2500"/>
    </w:p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styleId="16">
    <w:name w:val="Body Text First Indent 2"/>
    <w:basedOn w:val="8"/>
    <w:next w:val="9"/>
    <w:semiHidden/>
    <w:unhideWhenUsed/>
    <w:qFormat/>
    <w:uiPriority w:val="99"/>
    <w:pPr>
      <w:ind w:firstLine="420"/>
    </w:pPr>
  </w:style>
  <w:style w:type="table" w:styleId="18">
    <w:name w:val="Table Grid"/>
    <w:basedOn w:val="17"/>
    <w:qFormat/>
    <w:uiPriority w:val="39"/>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customStyle="1" w:styleId="20">
    <w:name w:val="日期 Char"/>
    <w:basedOn w:val="19"/>
    <w:link w:val="10"/>
    <w:semiHidden/>
    <w:qFormat/>
    <w:uiPriority w:val="99"/>
  </w:style>
  <w:style w:type="character" w:customStyle="1" w:styleId="21">
    <w:name w:val="标题 1 Char"/>
    <w:basedOn w:val="19"/>
    <w:link w:val="2"/>
    <w:qFormat/>
    <w:uiPriority w:val="9"/>
    <w:rPr>
      <w:b/>
      <w:bCs/>
      <w:kern w:val="44"/>
      <w:sz w:val="44"/>
      <w:szCs w:val="44"/>
    </w:rPr>
  </w:style>
  <w:style w:type="character" w:customStyle="1" w:styleId="22">
    <w:name w:val="标题 2 Char"/>
    <w:basedOn w:val="19"/>
    <w:link w:val="3"/>
    <w:qFormat/>
    <w:uiPriority w:val="9"/>
    <w:rPr>
      <w:rFonts w:asciiTheme="majorHAnsi" w:hAnsiTheme="majorHAnsi" w:eastAsiaTheme="majorEastAsia" w:cstheme="majorBidi"/>
      <w:b/>
      <w:bCs/>
      <w:sz w:val="32"/>
      <w:szCs w:val="32"/>
    </w:rPr>
  </w:style>
  <w:style w:type="paragraph" w:styleId="23">
    <w:name w:val="List Paragraph"/>
    <w:basedOn w:val="1"/>
    <w:qFormat/>
    <w:uiPriority w:val="34"/>
    <w:pPr>
      <w:ind w:firstLine="420" w:firstLineChars="200"/>
    </w:pPr>
  </w:style>
  <w:style w:type="character" w:customStyle="1" w:styleId="24">
    <w:name w:val="标题 3 Char"/>
    <w:basedOn w:val="19"/>
    <w:link w:val="4"/>
    <w:qFormat/>
    <w:uiPriority w:val="9"/>
    <w:rPr>
      <w:b/>
      <w:bCs/>
      <w:sz w:val="32"/>
      <w:szCs w:val="32"/>
    </w:rPr>
  </w:style>
  <w:style w:type="paragraph" w:customStyle="1" w:styleId="25">
    <w:name w:val="0-表格正文"/>
    <w:basedOn w:val="1"/>
    <w:qFormat/>
    <w:uiPriority w:val="0"/>
    <w:pPr>
      <w:widowControl/>
      <w:spacing w:line="500" w:lineRule="exact"/>
      <w:ind w:firstLine="0" w:firstLineChars="0"/>
      <w:jc w:val="center"/>
    </w:pPr>
    <w:rPr>
      <w:rFonts w:eastAsia="仿宋_GB2312"/>
      <w:kern w:val="0"/>
      <w:sz w:val="21"/>
      <w:szCs w:val="20"/>
    </w:rPr>
  </w:style>
  <w:style w:type="paragraph" w:customStyle="1" w:styleId="26">
    <w:name w:val="0-专栏标题"/>
    <w:basedOn w:val="1"/>
    <w:qFormat/>
    <w:uiPriority w:val="99"/>
    <w:pPr>
      <w:spacing w:line="420" w:lineRule="exact"/>
      <w:ind w:firstLine="0" w:firstLineChars="0"/>
      <w:jc w:val="center"/>
    </w:pPr>
    <w:rPr>
      <w:rFonts w:eastAsia="黑体"/>
      <w:sz w:val="30"/>
    </w:rPr>
  </w:style>
  <w:style w:type="paragraph" w:customStyle="1" w:styleId="27">
    <w:name w:val="四级"/>
    <w:basedOn w:val="1"/>
    <w:next w:val="1"/>
    <w:autoRedefine/>
    <w:qFormat/>
    <w:uiPriority w:val="0"/>
    <w:pPr>
      <w:numPr>
        <w:ilvl w:val="0"/>
        <w:numId w:val="1"/>
      </w:numPr>
      <w:adjustRightInd w:val="0"/>
      <w:snapToGrid w:val="0"/>
      <w:spacing w:before="100" w:beforeLines="100" w:after="100" w:afterLines="100" w:line="240" w:lineRule="auto"/>
      <w:ind w:firstLine="0" w:firstLineChars="0"/>
      <w:jc w:val="left"/>
      <w:outlineLvl w:val="3"/>
    </w:pPr>
    <w:rPr>
      <w:rFonts w:eastAsia="仿宋_GB2312"/>
      <w:b/>
      <w:bCs/>
      <w:sz w:val="30"/>
      <w:szCs w:val="28"/>
    </w:rPr>
  </w:style>
  <w:style w:type="paragraph" w:customStyle="1" w:styleId="28">
    <w:name w:val="文本四级"/>
    <w:basedOn w:val="27"/>
    <w:next w:val="1"/>
    <w:autoRedefine/>
    <w:qFormat/>
    <w:uiPriority w:val="0"/>
    <w:pPr>
      <w:ind w:hanging="1080"/>
    </w:pPr>
  </w:style>
  <w:style w:type="paragraph" w:customStyle="1" w:styleId="29">
    <w:name w:val="表格表头"/>
    <w:basedOn w:val="6"/>
    <w:autoRedefine/>
    <w:qFormat/>
    <w:uiPriority w:val="0"/>
    <w:pPr>
      <w:ind w:firstLine="360"/>
      <w:jc w:val="center"/>
    </w:pPr>
  </w:style>
  <w:style w:type="paragraph" w:customStyle="1" w:styleId="30">
    <w:name w:val="表格"/>
    <w:basedOn w:val="1"/>
    <w:autoRedefine/>
    <w:qFormat/>
    <w:uiPriority w:val="0"/>
    <w:pPr>
      <w:ind w:firstLine="0" w:firstLineChars="0"/>
      <w:jc w:val="center"/>
    </w:pPr>
    <w:rPr>
      <w:kern w:val="0"/>
      <w:sz w:val="18"/>
      <w:szCs w:val="18"/>
    </w:rPr>
  </w:style>
  <w:style w:type="paragraph" w:customStyle="1" w:styleId="31">
    <w:name w:val="图名标题"/>
    <w:basedOn w:val="1"/>
    <w:qFormat/>
    <w:uiPriority w:val="0"/>
    <w:pPr>
      <w:spacing w:line="600" w:lineRule="exact"/>
    </w:pPr>
    <w:rPr>
      <w:rFonts w:ascii="仿宋" w:hAnsi="仿宋" w:eastAsia="仿宋_GB2312" w:cs="仿宋"/>
      <w:sz w:val="32"/>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99</Pages>
  <Words>9098</Words>
  <Characters>9556</Characters>
  <Lines>22</Lines>
  <Paragraphs>6</Paragraphs>
  <TotalTime>130</TotalTime>
  <ScaleCrop>false</ScaleCrop>
  <LinksUpToDate>false</LinksUpToDate>
  <CharactersWithSpaces>9689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2024-07-18T15:58:00Z</dcterms:created>
  <dc:creator>dell</dc:creator>
  <cp:lastModifiedBy>第八号当铺</cp:lastModifiedBy>
  <dcterms:modified xsi:type="dcterms:W3CDTF">2025-09-19T04:25:38Z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2209B64F355F452FBF11319C0452CF90_13</vt:lpwstr>
  </property>
  <property fmtid="{D5CDD505-2E9C-101B-9397-08002B2CF9AE}" pid="4" name="KSOTemplateDocerSaveRecord">
    <vt:lpwstr>eyJoZGlkIjoiOTY1MDc1YTVkYTZiMWRhZjUyNzg0N2I4MjlmZTlkODciLCJ1c2VySWQiOiIxMzEzNjY3MDIwIn0=</vt:lpwstr>
  </property>
</Properties>
</file>