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资源税申报</w:t>
      </w:r>
    </w:p>
    <w:p>
      <w:pPr>
        <w:spacing w:line="800" w:lineRule="exact"/>
        <w:jc w:val="center"/>
        <w:rPr>
          <w:rFonts w:hint="eastAsia"/>
          <w:b/>
          <w:bCs/>
          <w:sz w:val="52"/>
          <w:szCs w:val="5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资源税申报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领域和中华人民共和国管辖的其他海域开发应税资源的单位和个人，为资源税的纳税义务人，应当依照规定缴纳资源税。在水资源税试点地区利用取水工程或者设施直接从江河、湖泊(含水库)和地下取用地表水、地下水的单位和个人，应当依照规定缴纳水资源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2. 《中华人民共和国资源税法》第一条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3. 《财政部 国家税务总局 水利部关于印发〈水资源税改革试点暂行办法〉的通知》（财税〔</w:t>
      </w:r>
      <w:r>
        <w:rPr>
          <w:rFonts w:hint="default"/>
          <w:sz w:val="24"/>
          <w:szCs w:val="24"/>
          <w:lang w:val="en-US" w:eastAsia="zh-CN"/>
        </w:rPr>
        <w:t>2016</w:t>
      </w:r>
      <w:r>
        <w:rPr>
          <w:rFonts w:hint="eastAsia"/>
          <w:sz w:val="24"/>
          <w:szCs w:val="24"/>
          <w:lang w:val="en-US" w:eastAsia="zh-CN"/>
        </w:rPr>
        <w:t>〕</w:t>
      </w:r>
      <w:r>
        <w:rPr>
          <w:rFonts w:hint="default"/>
          <w:sz w:val="24"/>
          <w:szCs w:val="24"/>
          <w:lang w:val="en-US" w:eastAsia="zh-CN"/>
        </w:rPr>
        <w:t>55 </w:t>
      </w:r>
      <w:r>
        <w:rPr>
          <w:rFonts w:hint="eastAsia"/>
          <w:sz w:val="24"/>
          <w:szCs w:val="24"/>
          <w:lang w:val="en-US" w:eastAsia="zh-CN"/>
        </w:rPr>
        <w:t>号）第三条、第十六条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4.《财政部 国家税务总局 水利部关于印发〈扩大水资源税改革试点实施办法〉的通知》（财税〔2017〕80 号）第三条、第十八条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1. 资源税（不含水资源税）纳税人：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1867"/>
        <w:gridCol w:w="2571"/>
        <w:gridCol w:w="674"/>
        <w:gridCol w:w="348"/>
        <w:gridCol w:w="643"/>
        <w:gridCol w:w="12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84"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gridSpan w:val="3"/>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gridSpan w:val="3"/>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6"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《资源税税源明细表》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gridSpan w:val="3"/>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66" w:hRule="atLeast"/>
        </w:trPr>
        <w:tc>
          <w:tcPr>
            <w:tcW w:w="8163" w:type="dxa"/>
            <w:gridSpan w:val="7"/>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8" w:hRule="atLeast"/>
        </w:trPr>
        <w:tc>
          <w:tcPr>
            <w:tcW w:w="2586"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666" w:type="dxa"/>
            <w:gridSpan w:val="3"/>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53"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量</w:t>
            </w:r>
          </w:p>
        </w:tc>
        <w:tc>
          <w:tcPr>
            <w:tcW w:w="1258"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24" w:hRule="atLeast"/>
        </w:trPr>
        <w:tc>
          <w:tcPr>
            <w:tcW w:w="2586"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享受资源税优惠的纳税人</w:t>
            </w:r>
          </w:p>
        </w:tc>
        <w:tc>
          <w:tcPr>
            <w:tcW w:w="3666" w:type="dxa"/>
            <w:gridSpan w:val="3"/>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6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25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2. 水资源税纳税人报送资料由试点省税务机关确定。</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994"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63"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6"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资源税按月或者按季申报缴纳，不能按固定期限计算纳税的，可以按次计算纳税。纳税人按月或者按季申报缴纳的，应当自月度或者季度终了之日起十五日内，向税务机关办理纳税申报并缴纳税款；按次申报缴纳的，应当自纳税义务发生之日起十五日内，向税务机关办理纳税申报并缴纳税款。水资源税按季或者按月征收，由主管税务机关根据实际情况确定。不能按固定期限计算纳税的，可以按次申报纳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7. 符合税收优惠条件的纳税人，在减税、免税期间，应按规定办理纳税申报。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8.2016 年 7 月 1 日，河北省开征水资源税。自 2017 年 12 月 1 日起，北京、天津、山西、内蒙古、山东、河南、四川、陕西、宁夏 9 个省（自治区、直辖市） 扩大水资源税改革试点。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9. 资源税（不含水资源税）纳税义务人在申报时，应办理“财产和行为税税源信息报告”。</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10. 税务机关根据纳税人识别号及该纳税人当期有效的税源明细信息自动生成《财产和行为税纳税申报表》《财产和行为税减免税明细申报附表》。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2081B"/>
    <w:rsid w:val="2B12081B"/>
    <w:rsid w:val="2DDB78C9"/>
    <w:rsid w:val="7CC4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2022-11-23T06:33:00Z</dcterms:created>
  <dc:creator>李增梅</dc:creator>
  <cp:lastModifiedBy>汤永生</cp:lastModifiedBy>
  <dcterms:modified xsi:type="dcterms:W3CDTF">2022-11-28T02:23:59Z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