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印花税申报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印花税申报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在中华人民共和国境内书立、领受印花税应税凭证的单位和个人，填报《财产和行为税纳税申报表》，按规定向主管税务机关办理印花税申报。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2. 《中华人民共和国印花税暂行条例》第一条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42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01"/>
        <w:gridCol w:w="1817"/>
        <w:gridCol w:w="2412"/>
        <w:gridCol w:w="705"/>
        <w:gridCol w:w="762"/>
        <w:gridCol w:w="14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1" w:hRule="atLeast"/>
        </w:trPr>
        <w:tc>
          <w:tcPr>
            <w:tcW w:w="704"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253"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0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5" w:hRule="atLeast"/>
        </w:trPr>
        <w:tc>
          <w:tcPr>
            <w:tcW w:w="704"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25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《财产和行为税纳税申报表》</w:t>
            </w:r>
          </w:p>
        </w:tc>
        <w:tc>
          <w:tcPr>
            <w:tcW w:w="70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00" w:hRule="atLeast"/>
        </w:trPr>
        <w:tc>
          <w:tcPr>
            <w:tcW w:w="704"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253"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《印花税税源明细表》</w:t>
            </w:r>
          </w:p>
        </w:tc>
        <w:tc>
          <w:tcPr>
            <w:tcW w:w="70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66" w:hRule="atLeast"/>
        </w:trPr>
        <w:tc>
          <w:tcPr>
            <w:tcW w:w="7933" w:type="dxa"/>
            <w:gridSpan w:val="6"/>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9" w:hRule="atLeast"/>
        </w:trPr>
        <w:tc>
          <w:tcPr>
            <w:tcW w:w="2531"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134" w:type="dxa"/>
            <w:gridSpan w:val="2"/>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6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量</w:t>
            </w:r>
          </w:p>
        </w:tc>
        <w:tc>
          <w:tcPr>
            <w:tcW w:w="1503"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20" w:hRule="atLeast"/>
        </w:trPr>
        <w:tc>
          <w:tcPr>
            <w:tcW w:w="253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享受印花税优惠的纳税人</w:t>
            </w:r>
          </w:p>
        </w:tc>
        <w:tc>
          <w:tcPr>
            <w:tcW w:w="3134"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《财产和行为税减免税明细申报附表》</w:t>
            </w:r>
          </w:p>
        </w:tc>
        <w:tc>
          <w:tcPr>
            <w:tcW w:w="76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50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jc w:val="center"/>
        </w:trPr>
        <w:tc>
          <w:tcPr>
            <w:tcW w:w="183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62"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5"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同一种类应纳税凭证，需频繁贴花的，纳税人可以根据实际情况自行决定是否采用按期汇总缴纳印花税的方式。汇总缴纳的期限为一个月。采用按期汇总缴纳方式的纳税人应事先告知主管税务机关。缴纳方式一经选定，一年内不得改变。</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7. 实行核定征收印花税的，纳税期限为一个月，税额较小的，纳税期限可为一个季度，具体由主管税务机关确定。纳税人应当自纳税期满之日起 15 日内申报缴纳印花税。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8. 纳税人享受减税、免税待遇的，在减税、免税期间应当按照规定办理申报纳税。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9. 印花税纳税义务人在申报时，应办理“财产和行为税税源信息报告”。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10.税务机关根据纳税人识别号及该纳税人当期有效的税源明细信息自动生成《财产和行为税纳税申报表》《财产和行为税减免税明细申报附表》。</w:t>
      </w:r>
    </w:p>
    <w:p>
      <w:pPr>
        <w:pStyle w:val="3"/>
        <w:keepNext w:val="0"/>
        <w:keepLines w:val="0"/>
        <w:widowControl/>
        <w:suppressLineNumbers w:val="0"/>
        <w:spacing w:before="100" w:beforeAutospacing="0" w:after="100" w:afterAutospacing="0" w:line="360" w:lineRule="atLeast"/>
        <w:ind w:left="0" w:right="0"/>
        <w:jc w:val="left"/>
        <w:rPr>
          <w:rFonts w:hint="eastAsia"/>
        </w:rPr>
      </w:pPr>
      <w:r>
        <w:rPr>
          <w:rFonts w:hint="eastAsia"/>
          <w:sz w:val="24"/>
          <w:szCs w:val="24"/>
          <w:lang w:val="en-US" w:eastAsia="zh-CN"/>
        </w:rPr>
        <w:t>11. 《中华人民共和国印花税法》自 2022 年 7 月 1 日起施行。1988 年 8 月 6日国务院发布的《中华人民共和国印花税暂行条例》同时废止。</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CD"/>
    <w:rsid w:val="00CF76CD"/>
    <w:rsid w:val="31932785"/>
    <w:rsid w:val="7982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2022-11-23T06:34:00Z</dcterms:created>
  <dc:creator>李增梅</dc:creator>
  <cp:lastModifiedBy>汤永生</cp:lastModifiedBy>
  <dcterms:modified xsi:type="dcterms:W3CDTF">2022-11-28T02:20:18Z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