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消费税申报</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消费税申报</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在中华人民共和国境内生产、委托加工和进口规定的消费品的单位和个人，以及国务院确定的销售规定的消费品的其他单位和个人，依据相关税收法律、法规、规章及其他有关规定，在规定的纳税申报期限内填报《消费税及附加税费申报表》和其他相关资料，向税务机关进行纳税申报。</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 《中华人民共和国税收征收管理法》第二十五条第一款</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 《中华人民共和国消费税暂行条例》第一条第一款</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1.烟类应税消费品消费税申报</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4"/>
        <w:tblW w:w="77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1080"/>
        <w:gridCol w:w="3643"/>
        <w:gridCol w:w="907"/>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723" w:type="dxa"/>
            <w:gridSpan w:val="2"/>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907"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067"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723"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《消费税及附加税费申报表》</w:t>
            </w:r>
          </w:p>
        </w:tc>
        <w:tc>
          <w:tcPr>
            <w:tcW w:w="90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06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723"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6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777" w:type="dxa"/>
            <w:gridSpan w:val="5"/>
            <w:tcBorders>
              <w:top w:val="single" w:color="000000" w:sz="8" w:space="0"/>
              <w:left w:val="single" w:color="000000" w:sz="8" w:space="0"/>
              <w:bottom w:val="single" w:color="000000" w:sz="8" w:space="0"/>
              <w:right w:val="single" w:color="000000" w:sz="8" w:space="0"/>
            </w:tcBorders>
            <w:shd w:val="clear" w:color="auto" w:fill="D8D8D8"/>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以下为条件报送资料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4" w:hRule="atLeast"/>
        </w:trPr>
        <w:tc>
          <w:tcPr>
            <w:tcW w:w="216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外购已税烟丝用于连续生产卷烟的纳税人，还应报送</w:t>
            </w:r>
          </w:p>
        </w:tc>
        <w:tc>
          <w:tcPr>
            <w:tcW w:w="36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外购应税消费品增值税专用发票抵扣联复印件</w:t>
            </w:r>
          </w:p>
        </w:tc>
        <w:tc>
          <w:tcPr>
            <w:tcW w:w="90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0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6"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6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外购应税消费品增值税专用发票（汇总填开）销货清单复印件</w:t>
            </w:r>
          </w:p>
        </w:tc>
        <w:tc>
          <w:tcPr>
            <w:tcW w:w="90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0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6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委托加工收回应已税烟丝用于连续生产卷烟的纳税人，还应报送</w:t>
            </w:r>
          </w:p>
        </w:tc>
        <w:tc>
          <w:tcPr>
            <w:tcW w:w="364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《代扣代收税款凭证》复印件</w:t>
            </w:r>
          </w:p>
        </w:tc>
        <w:tc>
          <w:tcPr>
            <w:tcW w:w="90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06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64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6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216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进口已税烟丝用于连续生产卷烟的纳税人，还应报送</w:t>
            </w:r>
          </w:p>
        </w:tc>
        <w:tc>
          <w:tcPr>
            <w:tcW w:w="364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《海关进口消费税专用缴款书》复印件</w:t>
            </w:r>
          </w:p>
        </w:tc>
        <w:tc>
          <w:tcPr>
            <w:tcW w:w="90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06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64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6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6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委托方以高于受托方的计税价格出售应税消费品时，还应报送</w:t>
            </w:r>
          </w:p>
        </w:tc>
        <w:tc>
          <w:tcPr>
            <w:tcW w:w="364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《代扣代收税款凭证》复印件</w:t>
            </w:r>
          </w:p>
        </w:tc>
        <w:tc>
          <w:tcPr>
            <w:tcW w:w="90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067" w:type="dxa"/>
            <w:vMerge w:val="restar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64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67" w:type="dxa"/>
            <w:vMerge w:val="continue"/>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br w:type="textWrapping"/>
      </w:r>
      <w:r>
        <w:rPr>
          <w:rFonts w:hint="eastAsia"/>
          <w:sz w:val="24"/>
          <w:szCs w:val="24"/>
          <w:lang w:val="en-US" w:eastAsia="zh-CN"/>
        </w:rPr>
        <w:t>2.酒类应税消费品消费税申报</w:t>
      </w: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4"/>
        <w:tblW w:w="8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1080"/>
        <w:gridCol w:w="3222"/>
        <w:gridCol w:w="1538"/>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80"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302" w:type="dxa"/>
            <w:gridSpan w:val="2"/>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1538"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340"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302"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《消费税及附加税费申报表》</w:t>
            </w:r>
          </w:p>
        </w:tc>
        <w:tc>
          <w:tcPr>
            <w:tcW w:w="153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3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302"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53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8260" w:type="dxa"/>
            <w:gridSpan w:val="5"/>
            <w:tcBorders>
              <w:top w:val="single" w:color="000000" w:sz="8" w:space="0"/>
              <w:left w:val="single" w:color="000000" w:sz="8" w:space="0"/>
              <w:bottom w:val="single" w:color="000000" w:sz="8" w:space="0"/>
              <w:right w:val="single" w:color="000000" w:sz="8" w:space="0"/>
            </w:tcBorders>
            <w:shd w:val="clear" w:color="auto" w:fill="D8D8D8"/>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以下为条件报送资料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6" w:hRule="atLeast"/>
        </w:trPr>
        <w:tc>
          <w:tcPr>
            <w:tcW w:w="2160"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白酒生产企业，还应报送</w:t>
            </w:r>
          </w:p>
        </w:tc>
        <w:tc>
          <w:tcPr>
            <w:tcW w:w="322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《已核定最低计税价格白酒清单》</w:t>
            </w:r>
          </w:p>
        </w:tc>
        <w:tc>
          <w:tcPr>
            <w:tcW w:w="153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3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216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委托方以高于受托方的计税价格出售应税消费品时，还应报送</w:t>
            </w:r>
          </w:p>
        </w:tc>
        <w:tc>
          <w:tcPr>
            <w:tcW w:w="322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《代扣代收税款凭证》复印件</w:t>
            </w:r>
          </w:p>
        </w:tc>
        <w:tc>
          <w:tcPr>
            <w:tcW w:w="153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340" w:type="dxa"/>
            <w:vMerge w:val="restar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22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53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40" w:type="dxa"/>
            <w:vMerge w:val="continue"/>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3.成品油消费税申报</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tbl>
      <w:tblPr>
        <w:tblStyle w:val="4"/>
        <w:tblW w:w="83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1080"/>
        <w:gridCol w:w="4184"/>
        <w:gridCol w:w="1007"/>
        <w:gridCol w:w="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264" w:type="dxa"/>
            <w:gridSpan w:val="2"/>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1007"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986"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264" w:type="dxa"/>
            <w:gridSpan w:val="2"/>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1007"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986"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264"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《消费税及附加税费申报表》</w:t>
            </w:r>
          </w:p>
        </w:tc>
        <w:tc>
          <w:tcPr>
            <w:tcW w:w="100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98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5264"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337" w:type="dxa"/>
            <w:gridSpan w:val="5"/>
            <w:tcBorders>
              <w:top w:val="single" w:color="000000" w:sz="8" w:space="0"/>
              <w:left w:val="single" w:color="000000" w:sz="8" w:space="0"/>
              <w:bottom w:val="single" w:color="000000" w:sz="8" w:space="0"/>
              <w:right w:val="single" w:color="000000" w:sz="8" w:space="0"/>
            </w:tcBorders>
            <w:shd w:val="clear" w:color="auto" w:fill="D8D8D8"/>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以下为条件报送资料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216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外购已税汽油、柴油、石脑油、燃料油、润滑油用于连续生产应税成品油的纳税人，还应报送</w:t>
            </w:r>
          </w:p>
        </w:tc>
        <w:tc>
          <w:tcPr>
            <w:tcW w:w="41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外购应税消费品增值税专用发票抵扣联复印件</w:t>
            </w:r>
          </w:p>
        </w:tc>
        <w:tc>
          <w:tcPr>
            <w:tcW w:w="100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98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外购应税消费品增值税专用发票（汇总填开）销货清单复印件</w:t>
            </w:r>
          </w:p>
        </w:tc>
        <w:tc>
          <w:tcPr>
            <w:tcW w:w="100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98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委托加工收回已税汽油、柴油、石脑油、燃料油、润滑油用于连续生产应税成品油的纳税人，还应报送</w:t>
            </w:r>
          </w:p>
        </w:tc>
        <w:tc>
          <w:tcPr>
            <w:tcW w:w="418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《代扣代收税款凭证》复印件</w:t>
            </w:r>
          </w:p>
        </w:tc>
        <w:tc>
          <w:tcPr>
            <w:tcW w:w="100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98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进口已税汽油、柴油、石脑油、燃料油、润滑油用于连续生产应税成品油的纳税人，还应报送</w:t>
            </w:r>
          </w:p>
        </w:tc>
        <w:tc>
          <w:tcPr>
            <w:tcW w:w="418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《海关进口消费税专用缴款书》复印 件</w:t>
            </w:r>
          </w:p>
        </w:tc>
        <w:tc>
          <w:tcPr>
            <w:tcW w:w="100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98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2160"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石脑油、燃料油生产企业，还应报送</w:t>
            </w:r>
          </w:p>
        </w:tc>
        <w:tc>
          <w:tcPr>
            <w:tcW w:w="41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《生产企业销售含税石脑油、燃料油 完税情况明细表》</w:t>
            </w:r>
          </w:p>
        </w:tc>
        <w:tc>
          <w:tcPr>
            <w:tcW w:w="100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98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执行定点直供计划销售石脑油、燃料油，且开具普通版增值税专用发票的纳税人，还应报送</w:t>
            </w:r>
          </w:p>
        </w:tc>
        <w:tc>
          <w:tcPr>
            <w:tcW w:w="418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《生产企业定点直供石脑油、燃料油 开具普通版增值税专用发票明细表》</w:t>
            </w:r>
          </w:p>
        </w:tc>
        <w:tc>
          <w:tcPr>
            <w:tcW w:w="100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98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6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石脑油、燃料油使用企业，还应报送</w:t>
            </w:r>
          </w:p>
        </w:tc>
        <w:tc>
          <w:tcPr>
            <w:tcW w:w="418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《使用企业外购石脑油、燃料油凭证明细表》</w:t>
            </w:r>
          </w:p>
        </w:tc>
        <w:tc>
          <w:tcPr>
            <w:tcW w:w="100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98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《石脑油、燃料油生产、外购、耗用、 库存月度统计表》</w:t>
            </w: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《乙烯、芳烃生产装置投入产出流量计统计表》</w:t>
            </w: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《使用企业外购石脑油、燃料油凭证明细表》 中“外购含税油品”项“消费税税款缴纳凭证号码”所对应的消费税税款缴纳凭证的复印件</w:t>
            </w: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当期外购石脑油、燃料油取得认证相符的普通版及汉字防伪版（非 DDZG）增值税专用发票复印件</w:t>
            </w: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进口货物报关单、海关进口消费税专用缴款书、 自动进口许可证等材料复印件</w:t>
            </w: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216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委托方以高于受托方的计税价格出售应税消费品时，还应报送</w:t>
            </w:r>
          </w:p>
        </w:tc>
        <w:tc>
          <w:tcPr>
            <w:tcW w:w="418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《代扣代收税款凭证》复印件</w:t>
            </w:r>
          </w:p>
        </w:tc>
        <w:tc>
          <w:tcPr>
            <w:tcW w:w="100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986" w:type="dxa"/>
            <w:vMerge w:val="restar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0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986" w:type="dxa"/>
            <w:vMerge w:val="continue"/>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br w:type="textWrapping"/>
      </w:r>
      <w:r>
        <w:rPr>
          <w:rFonts w:hint="eastAsia"/>
          <w:sz w:val="24"/>
          <w:szCs w:val="24"/>
          <w:lang w:val="en-US" w:eastAsia="zh-CN"/>
        </w:rPr>
        <w:t>4.小汽车消费税申报</w:t>
      </w:r>
    </w:p>
    <w:tbl>
      <w:tblPr>
        <w:tblStyle w:val="4"/>
        <w:tblW w:w="81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1080"/>
        <w:gridCol w:w="4184"/>
        <w:gridCol w:w="1023"/>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264" w:type="dxa"/>
            <w:gridSpan w:val="2"/>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1023"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791"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264"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《消费税及附加税费申报表》</w:t>
            </w:r>
          </w:p>
        </w:tc>
        <w:tc>
          <w:tcPr>
            <w:tcW w:w="102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79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5264"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9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8158" w:type="dxa"/>
            <w:gridSpan w:val="5"/>
            <w:tcBorders>
              <w:top w:val="single" w:color="000000" w:sz="8" w:space="0"/>
              <w:left w:val="single" w:color="000000" w:sz="8" w:space="0"/>
              <w:bottom w:val="single" w:color="000000" w:sz="8" w:space="0"/>
              <w:right w:val="single" w:color="000000" w:sz="8" w:space="0"/>
            </w:tcBorders>
            <w:shd w:val="clear" w:color="auto" w:fill="D8D8D8"/>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以下为条件报送资料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6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委托方以高于受托方的计税价格出售应税消费品时，还应报送</w:t>
            </w:r>
          </w:p>
        </w:tc>
        <w:tc>
          <w:tcPr>
            <w:tcW w:w="418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《代扣代收税款凭证》复印件</w:t>
            </w:r>
          </w:p>
        </w:tc>
        <w:tc>
          <w:tcPr>
            <w:tcW w:w="102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791" w:type="dxa"/>
            <w:vMerge w:val="restar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4"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91" w:type="dxa"/>
            <w:vMerge w:val="continue"/>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216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8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02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91" w:type="dxa"/>
            <w:vMerge w:val="continue"/>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br w:type="textWrapping"/>
      </w:r>
      <w:r>
        <w:rPr>
          <w:rFonts w:hint="default"/>
          <w:sz w:val="24"/>
          <w:szCs w:val="24"/>
          <w:lang w:val="en-US" w:eastAsia="zh-CN"/>
        </w:rPr>
        <w:t> </w:t>
      </w:r>
      <w:r>
        <w:rPr>
          <w:rFonts w:hint="eastAsia"/>
          <w:sz w:val="24"/>
          <w:szCs w:val="24"/>
          <w:lang w:val="en-US" w:eastAsia="zh-CN"/>
        </w:rPr>
        <w:t>5. 5.电池消费税申报</w:t>
      </w:r>
    </w:p>
    <w:tbl>
      <w:tblPr>
        <w:tblStyle w:val="4"/>
        <w:tblW w:w="7937" w:type="dxa"/>
        <w:tblInd w:w="30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133"/>
        <w:gridCol w:w="708"/>
        <w:gridCol w:w="3786"/>
        <w:gridCol w:w="889"/>
        <w:gridCol w:w="14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9" w:hRule="atLeast"/>
        </w:trPr>
        <w:tc>
          <w:tcPr>
            <w:tcW w:w="1133"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494"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88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42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5" w:hRule="atLeast"/>
        </w:trPr>
        <w:tc>
          <w:tcPr>
            <w:tcW w:w="1133"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494"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《消费税及附加税费申报表》</w:t>
            </w:r>
          </w:p>
        </w:tc>
        <w:tc>
          <w:tcPr>
            <w:tcW w:w="8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42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5" w:hRule="atLeast"/>
        </w:trPr>
        <w:tc>
          <w:tcPr>
            <w:tcW w:w="7937" w:type="dxa"/>
            <w:gridSpan w:val="5"/>
            <w:tcBorders>
              <w:top w:val="nil"/>
              <w:left w:val="single" w:color="000000" w:sz="8" w:space="0"/>
              <w:bottom w:val="single" w:color="000000" w:sz="8" w:space="0"/>
              <w:right w:val="single" w:color="000000" w:sz="8" w:space="0"/>
            </w:tcBorders>
            <w:shd w:val="clear" w:color="auto" w:fill="D8D8D8"/>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以下为条件报送资料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27" w:hRule="atLeast"/>
        </w:trPr>
        <w:tc>
          <w:tcPr>
            <w:tcW w:w="184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委托方以高于受托方 的计税价格出售应税消费品时，还应报送</w:t>
            </w:r>
          </w:p>
        </w:tc>
        <w:tc>
          <w:tcPr>
            <w:tcW w:w="3786" w:type="dxa"/>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《代扣代收税款凭证》复印件</w:t>
            </w:r>
          </w:p>
        </w:tc>
        <w:tc>
          <w:tcPr>
            <w:tcW w:w="889" w:type="dxa"/>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421" w:type="dxa"/>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6.涂料消费税申报</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bl>
      <w:tblPr>
        <w:tblStyle w:val="4"/>
        <w:tblW w:w="7937" w:type="dxa"/>
        <w:tblInd w:w="30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52"/>
        <w:gridCol w:w="889"/>
        <w:gridCol w:w="3786"/>
        <w:gridCol w:w="889"/>
        <w:gridCol w:w="14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9" w:hRule="atLeast"/>
        </w:trPr>
        <w:tc>
          <w:tcPr>
            <w:tcW w:w="952"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序号</w:t>
            </w:r>
          </w:p>
        </w:tc>
        <w:tc>
          <w:tcPr>
            <w:tcW w:w="4675"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材料名称</w:t>
            </w:r>
          </w:p>
        </w:tc>
        <w:tc>
          <w:tcPr>
            <w:tcW w:w="88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数量</w:t>
            </w:r>
          </w:p>
        </w:tc>
        <w:tc>
          <w:tcPr>
            <w:tcW w:w="142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5" w:hRule="atLeast"/>
        </w:trPr>
        <w:tc>
          <w:tcPr>
            <w:tcW w:w="952"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w:t>
            </w:r>
          </w:p>
        </w:tc>
        <w:tc>
          <w:tcPr>
            <w:tcW w:w="4675"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《消费税及附加税费申报表》</w:t>
            </w:r>
          </w:p>
        </w:tc>
        <w:tc>
          <w:tcPr>
            <w:tcW w:w="88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份</w:t>
            </w:r>
          </w:p>
        </w:tc>
        <w:tc>
          <w:tcPr>
            <w:tcW w:w="142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5" w:hRule="atLeast"/>
        </w:trPr>
        <w:tc>
          <w:tcPr>
            <w:tcW w:w="7937" w:type="dxa"/>
            <w:gridSpan w:val="5"/>
            <w:tcBorders>
              <w:top w:val="nil"/>
              <w:left w:val="single" w:color="000000" w:sz="8" w:space="0"/>
              <w:bottom w:val="single" w:color="000000" w:sz="8" w:space="0"/>
              <w:right w:val="single" w:color="000000" w:sz="8" w:space="0"/>
            </w:tcBorders>
            <w:shd w:val="clear" w:color="auto" w:fill="D8D8D8"/>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以下为条件报送资料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27" w:hRule="atLeast"/>
        </w:trPr>
        <w:tc>
          <w:tcPr>
            <w:tcW w:w="184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委托方以高于受托方的计税价格出售应税消费品时，还应报送</w:t>
            </w:r>
          </w:p>
        </w:tc>
        <w:tc>
          <w:tcPr>
            <w:tcW w:w="3786" w:type="dxa"/>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《代扣代收税款凭证》复印件</w:t>
            </w:r>
          </w:p>
        </w:tc>
        <w:tc>
          <w:tcPr>
            <w:tcW w:w="889" w:type="dxa"/>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份</w:t>
            </w:r>
          </w:p>
        </w:tc>
        <w:tc>
          <w:tcPr>
            <w:tcW w:w="1421" w:type="dxa"/>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7.其他类消费税申报</w:t>
      </w:r>
    </w:p>
    <w:tbl>
      <w:tblPr>
        <w:tblStyle w:val="4"/>
        <w:tblW w:w="8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12"/>
        <w:gridCol w:w="4527"/>
        <w:gridCol w:w="895"/>
        <w:gridCol w:w="1375"/>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312"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76850" cy="9525"/>
                  <wp:effectExtent l="0" t="0" r="0" b="0"/>
                  <wp:docPr id="59" name="图片 1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9" descr="IMG_258"/>
                          <pic:cNvPicPr>
                            <a:picLocks noChangeAspect="1"/>
                          </pic:cNvPicPr>
                        </pic:nvPicPr>
                        <pic:blipFill>
                          <a:blip r:embed="rId4"/>
                          <a:stretch>
                            <a:fillRect/>
                          </a:stretch>
                        </pic:blipFill>
                        <pic:spPr>
                          <a:xfrm>
                            <a:off x="0" y="0"/>
                            <a:ext cx="5276850" cy="9525"/>
                          </a:xfrm>
                          <a:prstGeom prst="rect">
                            <a:avLst/>
                          </a:prstGeom>
                          <a:noFill/>
                          <a:ln>
                            <a:noFill/>
                          </a:ln>
                        </pic:spPr>
                      </pic:pic>
                    </a:graphicData>
                  </a:graphic>
                </wp:inline>
              </w:drawing>
            </w:r>
            <w:r>
              <w:rPr>
                <w:rFonts w:hint="eastAsia"/>
                <w:sz w:val="24"/>
                <w:szCs w:val="24"/>
                <w:lang w:val="en-US" w:eastAsia="zh-CN"/>
              </w:rPr>
              <w:drawing>
                <wp:inline distT="0" distB="0" distL="114300" distR="114300">
                  <wp:extent cx="5276850" cy="9525"/>
                  <wp:effectExtent l="0" t="0" r="0" b="0"/>
                  <wp:docPr id="60" name="图片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0" descr="IMG_257"/>
                          <pic:cNvPicPr>
                            <a:picLocks noChangeAspect="1"/>
                          </pic:cNvPicPr>
                        </pic:nvPicPr>
                        <pic:blipFill>
                          <a:blip r:embed="rId5"/>
                          <a:stretch>
                            <a:fillRect/>
                          </a:stretch>
                        </pic:blipFill>
                        <pic:spPr>
                          <a:xfrm>
                            <a:off x="0" y="0"/>
                            <a:ext cx="5276850" cy="9525"/>
                          </a:xfrm>
                          <a:prstGeom prst="rect">
                            <a:avLst/>
                          </a:prstGeom>
                          <a:noFill/>
                          <a:ln>
                            <a:noFill/>
                          </a:ln>
                        </pic:spPr>
                      </pic:pic>
                    </a:graphicData>
                  </a:graphic>
                </wp:inline>
              </w:drawing>
            </w:r>
            <w:r>
              <w:rPr>
                <w:rFonts w:hint="eastAsia"/>
                <w:sz w:val="24"/>
                <w:szCs w:val="24"/>
                <w:lang w:val="en-US" w:eastAsia="zh-CN"/>
              </w:rPr>
              <w:drawing>
                <wp:inline distT="0" distB="0" distL="114300" distR="114300">
                  <wp:extent cx="5276850" cy="9525"/>
                  <wp:effectExtent l="0" t="0" r="0" b="0"/>
                  <wp:docPr id="61" name="图片 2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1" descr="IMG_258"/>
                          <pic:cNvPicPr>
                            <a:picLocks noChangeAspect="1"/>
                          </pic:cNvPicPr>
                        </pic:nvPicPr>
                        <pic:blipFill>
                          <a:blip r:embed="rId4"/>
                          <a:stretch>
                            <a:fillRect/>
                          </a:stretch>
                        </pic:blipFill>
                        <pic:spPr>
                          <a:xfrm>
                            <a:off x="0" y="0"/>
                            <a:ext cx="5276850" cy="9525"/>
                          </a:xfrm>
                          <a:prstGeom prst="rect">
                            <a:avLst/>
                          </a:prstGeom>
                          <a:noFill/>
                          <a:ln>
                            <a:noFill/>
                          </a:ln>
                        </pic:spPr>
                      </pic:pic>
                    </a:graphicData>
                  </a:graphic>
                </wp:inline>
              </w:drawing>
            </w:r>
            <w:r>
              <w:rPr>
                <w:rFonts w:hint="eastAsia"/>
                <w:sz w:val="24"/>
                <w:szCs w:val="24"/>
                <w:lang w:val="en-US" w:eastAsia="zh-CN"/>
              </w:rPr>
              <w:t>序号</w:t>
            </w:r>
          </w:p>
        </w:tc>
        <w:tc>
          <w:tcPr>
            <w:tcW w:w="4527"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2270" w:type="dxa"/>
            <w:gridSpan w:val="2"/>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709"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1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76850" cy="9525"/>
                  <wp:effectExtent l="0" t="0" r="0" b="0"/>
                  <wp:docPr id="58" name="图片 2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2" descr="IMG_259"/>
                          <pic:cNvPicPr>
                            <a:picLocks noChangeAspect="1"/>
                          </pic:cNvPicPr>
                        </pic:nvPicPr>
                        <pic:blipFill>
                          <a:blip r:embed="rId6"/>
                          <a:stretch>
                            <a:fillRect/>
                          </a:stretch>
                        </pic:blipFill>
                        <pic:spPr>
                          <a:xfrm>
                            <a:off x="0" y="0"/>
                            <a:ext cx="5276850" cy="9525"/>
                          </a:xfrm>
                          <a:prstGeom prst="rect">
                            <a:avLst/>
                          </a:prstGeom>
                          <a:noFill/>
                          <a:ln>
                            <a:noFill/>
                          </a:ln>
                        </pic:spPr>
                      </pic:pic>
                    </a:graphicData>
                  </a:graphic>
                </wp:inline>
              </w:drawing>
            </w:r>
            <w:r>
              <w:rPr>
                <w:rFonts w:hint="eastAsia"/>
                <w:sz w:val="24"/>
                <w:szCs w:val="24"/>
                <w:lang w:val="en-US" w:eastAsia="zh-CN"/>
              </w:rPr>
              <w:t>1</w:t>
            </w:r>
          </w:p>
        </w:tc>
        <w:tc>
          <w:tcPr>
            <w:tcW w:w="452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《消费税及附加税费申报表》</w:t>
            </w:r>
          </w:p>
        </w:tc>
        <w:tc>
          <w:tcPr>
            <w:tcW w:w="227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70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2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818" w:type="dxa"/>
            <w:gridSpan w:val="5"/>
            <w:tcBorders>
              <w:top w:val="single" w:color="000000" w:sz="8" w:space="0"/>
              <w:left w:val="single" w:color="000000" w:sz="8" w:space="0"/>
              <w:bottom w:val="single" w:color="000000" w:sz="8" w:space="0"/>
              <w:right w:val="single" w:color="000000" w:sz="8" w:space="0"/>
            </w:tcBorders>
            <w:shd w:val="clear" w:color="auto" w:fill="D8D8D8"/>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以下为条件报送资料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31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2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（1）纳税人以外购的已税高档化妆品生产的高档化妆品，应报送</w:t>
            </w:r>
          </w:p>
        </w:tc>
        <w:tc>
          <w:tcPr>
            <w:tcW w:w="89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（1）外购应税消费品增值税专用发票抵扣联复印件；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（2）外购应税消费品 增值税专用发票（汇总填开）销货清单复印件</w:t>
            </w:r>
          </w:p>
        </w:tc>
        <w:tc>
          <w:tcPr>
            <w:tcW w:w="137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70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（2）纳税人以外购的已税珠宝玉石生产的贵重首饰及珠宝玉石，应报送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（3）纳税人以外购的已税鞭炮焰火生产的鞭炮焰火，应报送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4"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（4）纳税人以外购的已税杆头、杆身和握把为原料生产的高尔夫球杆，应报送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（5）纳税人以外购的已税木制一次性筷子为原料生产的木制一次性筷子，应报送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（6）纳税人以外购的已税实木地板为原料生产的实木地板，应报送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（7）纳税人以外购的已税摩托车连续生产的应税摩托车，应报送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31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76850" cy="9525"/>
                  <wp:effectExtent l="0" t="0" r="0" b="0"/>
                  <wp:docPr id="57" name="图片 2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3" descr="IMG_260"/>
                          <pic:cNvPicPr>
                            <a:picLocks noChangeAspect="1"/>
                          </pic:cNvPicPr>
                        </pic:nvPicPr>
                        <pic:blipFill>
                          <a:blip r:embed="rId7"/>
                          <a:stretch>
                            <a:fillRect/>
                          </a:stretch>
                        </pic:blipFill>
                        <pic:spPr>
                          <a:xfrm>
                            <a:off x="0" y="0"/>
                            <a:ext cx="5276850" cy="9525"/>
                          </a:xfrm>
                          <a:prstGeom prst="rect">
                            <a:avLst/>
                          </a:prstGeom>
                          <a:noFill/>
                          <a:ln>
                            <a:noFill/>
                          </a:ln>
                        </pic:spPr>
                      </pic:pic>
                    </a:graphicData>
                  </a:graphic>
                </wp:inline>
              </w:drawing>
            </w:r>
            <w:r>
              <w:rPr>
                <w:rFonts w:hint="eastAsia"/>
                <w:sz w:val="24"/>
                <w:szCs w:val="24"/>
                <w:lang w:val="en-US" w:eastAsia="zh-CN"/>
              </w:rPr>
              <w:t>2</w:t>
            </w:r>
          </w:p>
        </w:tc>
        <w:tc>
          <w:tcPr>
            <w:tcW w:w="452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（1）纳税人以委托收回的已税高档化妆品生产的高档化妆品，应报送</w:t>
            </w:r>
          </w:p>
        </w:tc>
        <w:tc>
          <w:tcPr>
            <w:tcW w:w="89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《代扣代收税款凭证》复印件</w:t>
            </w:r>
          </w:p>
        </w:tc>
        <w:tc>
          <w:tcPr>
            <w:tcW w:w="137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70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（2）纳税人以委托收回的已税珠宝玉石生产的贵重首饰及珠宝玉石，应报送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（3）纳税人以委托收回的已税鞭炮焰火生产的鞭炮焰火，应报送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（4）纳税人以委托收回的已税杆头、杆身和握把为原料生产的高尔夫球杆，应报送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（5）纳税人以委托收回的已税木制一次性筷子为原料生产的木制一次性筷子，应报送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0"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（6）纳税人以委托收回的已税实木地板为原料生产的实木地板，应报送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（7）纳税人以委托收回的已税摩托车连续生产的应税摩托车，应报送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31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w:t>
            </w:r>
          </w:p>
        </w:tc>
        <w:tc>
          <w:tcPr>
            <w:tcW w:w="452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（1）纳税人以进口的已税高档化妆品生产的高档化妆品，应报送</w:t>
            </w:r>
          </w:p>
        </w:tc>
        <w:tc>
          <w:tcPr>
            <w:tcW w:w="89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《海关进口消费税专 用缴款书》复印件</w:t>
            </w:r>
          </w:p>
        </w:tc>
        <w:tc>
          <w:tcPr>
            <w:tcW w:w="137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70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（2）纳税人以进口的已税珠宝玉石生产的贵重首饰及珠宝玉石，应报送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（3）纳税人以进口的已税鞭炮焰火生产的鞭炮焰火，应报送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（4）纳税人以进口的已税杆头、杆身 和握把为原料生产的高尔夫球杆，应报送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（5）纳税人以进口的已税木制一次性筷子为原料生产的木制一次性筷子，应报送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（6）纳税人以进口的已税实木地板为原料生产的实木地板，应报送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31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5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（7）纳税人以进口的已税摩托车连续生产的应税摩托车，应报送</w:t>
            </w: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5839"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4.委托方以高于受托方的计税价格出售应税消费品时，还应报送</w:t>
            </w:r>
          </w:p>
        </w:tc>
        <w:tc>
          <w:tcPr>
            <w:tcW w:w="89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《代扣代收税款凭证》复印件</w:t>
            </w:r>
          </w:p>
        </w:tc>
        <w:tc>
          <w:tcPr>
            <w:tcW w:w="137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709" w:type="dxa"/>
            <w:vMerge w:val="restar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839"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3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09" w:type="dxa"/>
            <w:vMerge w:val="continue"/>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【办理渠道】</w:t>
      </w:r>
      <w:r>
        <w:rPr>
          <w:rFonts w:hint="eastAsia"/>
          <w:sz w:val="24"/>
          <w:szCs w:val="24"/>
          <w:lang w:val="en-US" w:eastAsia="zh-CN"/>
        </w:rPr>
        <w:br w:type="textWrapping"/>
      </w: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3.此事项可同城通办。</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drawing>
          <wp:inline distT="0" distB="0" distL="114300" distR="114300">
            <wp:extent cx="5276850" cy="1752600"/>
            <wp:effectExtent l="0" t="0" r="0" b="0"/>
            <wp:docPr id="56" name="图片 2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4" descr="IMG_261"/>
                    <pic:cNvPicPr>
                      <a:picLocks noChangeAspect="1"/>
                    </pic:cNvPicPr>
                  </pic:nvPicPr>
                  <pic:blipFill>
                    <a:blip r:embed="rId8"/>
                    <a:stretch>
                      <a:fillRect/>
                    </a:stretch>
                  </pic:blipFill>
                  <pic:spPr>
                    <a:xfrm>
                      <a:off x="0" y="0"/>
                      <a:ext cx="5276850" cy="1752600"/>
                    </a:xfrm>
                    <a:prstGeom prst="rect">
                      <a:avLst/>
                    </a:prstGeom>
                    <a:noFill/>
                    <a:ln>
                      <a:noFill/>
                    </a:ln>
                  </pic:spPr>
                </pic:pic>
              </a:graphicData>
            </a:graphic>
          </wp:inline>
        </w:drawing>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4.纳税人使用符合电子签名法规定条件的电子签名，与手写签名或者盖章具有同等法律效力。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5.纳税人提供的各项资料为复印件的，均需注明“与原件一致”并签章。</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6.纳税人未按照规定的期限办理纳税申报和报送纳税资料的，将影响纳税信用评价结果，并依照《中华人民共和国税收征收管理法》有关规定承担相应法律责任。</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7.消费税的纳税期限分别为 1 日、3 日、5 日、10 日、15 日、1 个月或者 1 个季度。纳税人的具体纳税期限，由主管税务机关根据纳税人应纳税额的大小分 别核定；不能按照固定期限纳税的，可以按次纳税。纳税人以 1 个月或者 1 个季 度为 1 个纳税期的，自期满之日起 15 日内申报纳税；以1、3日、5日、10日或者 15日为1个纳税期的，自期满之日起 5 日内预缴税款，于次月 1 日起 15 日内申报纳税并结清上月应纳税款。纳税期限遇最后一 日是法定休假日的，以休 假日期满的次日为期限的最后一 日；在期限内有连续 3 日以上法定休假日的，按 休假日天数顺延。</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8.纳税人应建立《葡萄酒消费税抵扣税款台账》，作为申报扣除外购、进口应税葡萄酒已纳消费税税款的备查资料。</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9.纳税人应当建立《电池、涂料税款抵扣台账》，作为申报扣除委托加工收 回应税消费品已纳消费税税款的备查资料。</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10. 自税款所属期 2018 年 3 月起，成品油消费税纳税人申报的某一类成品油 销售数量，应大于或等于开具的该同一类成品油发票所载明的数量；申报扣除的 成品油数量，应小于或等于取得的扣除凭证载明数量。</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11.纳税人享受减税、免税待遇的，在减税、免税期间应当按照规定办理纳税申报，填写申报表及其附表上的优惠栏目。</w:t>
      </w:r>
    </w:p>
    <w:p>
      <w:pPr>
        <w:pStyle w:val="3"/>
        <w:keepNext w:val="0"/>
        <w:keepLines w:val="0"/>
        <w:widowControl/>
        <w:suppressLineNumbers w:val="0"/>
        <w:spacing w:before="100" w:beforeAutospacing="0" w:after="100" w:afterAutospacing="0" w:line="360" w:lineRule="atLeast"/>
        <w:ind w:left="0" w:right="0"/>
        <w:jc w:val="left"/>
        <w:rPr>
          <w:rFonts w:hint="eastAsia"/>
        </w:rPr>
      </w:pPr>
      <w:r>
        <w:rPr>
          <w:rFonts w:hint="eastAsia"/>
          <w:sz w:val="24"/>
          <w:szCs w:val="24"/>
          <w:lang w:val="en-US" w:eastAsia="zh-CN"/>
        </w:rPr>
        <w:t>12. 自 2021 年 8 月 1 日起，附加税费申报表与消费税申报表进行整合申报。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F0290"/>
    <w:rsid w:val="0F3C06D4"/>
    <w:rsid w:val="2A9670DA"/>
    <w:rsid w:val="5A8F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2022-11-23T06:23:00Z</dcterms:created>
  <dc:creator>李增梅</dc:creator>
  <cp:lastModifiedBy>汤永生</cp:lastModifiedBy>
  <dcterms:modified xsi:type="dcterms:W3CDTF">2022-11-28T02:19:09Z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