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r>
        <w:rPr>
          <w:rFonts w:hint="eastAsia"/>
          <w:lang w:eastAsia="zh-CN"/>
        </w:rPr>
        <w:t>事项编码：</w:t>
      </w:r>
    </w:p>
    <w:p>
      <w:pPr>
        <w:rPr>
          <w:rFonts w:hint="eastAsia"/>
        </w:rPr>
      </w:pPr>
      <w:r>
        <w:rPr>
          <w:rFonts w:hint="eastAsia"/>
        </w:rPr>
        <w:t>事项类别：</w:t>
      </w:r>
    </w:p>
    <w:p>
      <w:pPr>
        <w:rPr>
          <w:rFonts w:hint="eastAsia"/>
        </w:rPr>
      </w:pPr>
    </w:p>
    <w:p>
      <w:pPr>
        <w:rPr>
          <w:rFonts w:hint="eastAsia"/>
        </w:rPr>
      </w:pPr>
    </w:p>
    <w:p>
      <w:pPr>
        <w:rPr>
          <w:rFonts w:hint="eastAsia"/>
        </w:rPr>
      </w:pPr>
    </w:p>
    <w:p>
      <w:pPr>
        <w:spacing w:line="800" w:lineRule="exact"/>
        <w:jc w:val="center"/>
        <w:rPr>
          <w:rFonts w:hint="eastAsia"/>
          <w:b/>
          <w:bCs/>
          <w:sz w:val="52"/>
          <w:szCs w:val="52"/>
        </w:rPr>
      </w:pPr>
      <w:r>
        <w:rPr>
          <w:rFonts w:hint="eastAsia"/>
          <w:b/>
          <w:bCs/>
          <w:sz w:val="52"/>
          <w:szCs w:val="52"/>
          <w:lang w:eastAsia="zh-CN"/>
        </w:rPr>
        <w:t>扣缴义务人报告自然人身份信息</w:t>
      </w:r>
    </w:p>
    <w:p>
      <w:pPr>
        <w:spacing w:line="800" w:lineRule="exact"/>
        <w:jc w:val="center"/>
        <w:rPr>
          <w:rFonts w:hint="eastAsia"/>
          <w:b/>
          <w:bCs/>
          <w:sz w:val="52"/>
          <w:szCs w:val="52"/>
        </w:rPr>
      </w:pPr>
    </w:p>
    <w:p>
      <w:pPr>
        <w:spacing w:line="800" w:lineRule="exact"/>
        <w:jc w:val="center"/>
        <w:rPr>
          <w:rFonts w:hint="eastAsia"/>
          <w:b/>
          <w:bCs/>
          <w:sz w:val="52"/>
          <w:szCs w:val="52"/>
        </w:rPr>
      </w:pPr>
    </w:p>
    <w:p>
      <w:pPr>
        <w:spacing w:line="800" w:lineRule="exact"/>
        <w:jc w:val="center"/>
        <w:rPr>
          <w:rFonts w:hint="eastAsia"/>
          <w:b/>
          <w:bCs/>
          <w:sz w:val="52"/>
          <w:szCs w:val="52"/>
        </w:rPr>
      </w:pPr>
    </w:p>
    <w:p>
      <w:pPr>
        <w:spacing w:line="800" w:lineRule="exact"/>
        <w:jc w:val="center"/>
        <w:rPr>
          <w:rFonts w:hint="eastAsia"/>
          <w:b/>
          <w:bCs/>
          <w:sz w:val="52"/>
          <w:szCs w:val="52"/>
        </w:rPr>
      </w:pPr>
      <w:r>
        <w:rPr>
          <w:rFonts w:hint="eastAsia"/>
          <w:b/>
          <w:bCs/>
          <w:sz w:val="52"/>
          <w:szCs w:val="52"/>
        </w:rPr>
        <w:t>办</w:t>
      </w:r>
    </w:p>
    <w:p>
      <w:pPr>
        <w:spacing w:line="800" w:lineRule="exact"/>
        <w:jc w:val="center"/>
        <w:rPr>
          <w:rFonts w:hint="eastAsia"/>
          <w:b/>
          <w:bCs/>
          <w:sz w:val="52"/>
          <w:szCs w:val="52"/>
        </w:rPr>
      </w:pPr>
      <w:r>
        <w:rPr>
          <w:rFonts w:hint="eastAsia"/>
          <w:b/>
          <w:bCs/>
          <w:sz w:val="52"/>
          <w:szCs w:val="52"/>
        </w:rPr>
        <w:t>事</w:t>
      </w:r>
    </w:p>
    <w:p>
      <w:pPr>
        <w:spacing w:line="800" w:lineRule="exact"/>
        <w:jc w:val="center"/>
        <w:rPr>
          <w:rFonts w:hint="eastAsia"/>
          <w:b/>
          <w:bCs/>
          <w:sz w:val="52"/>
          <w:szCs w:val="52"/>
        </w:rPr>
      </w:pPr>
      <w:r>
        <w:rPr>
          <w:rFonts w:hint="eastAsia"/>
          <w:b/>
          <w:bCs/>
          <w:sz w:val="52"/>
          <w:szCs w:val="52"/>
        </w:rPr>
        <w:t>指</w:t>
      </w:r>
    </w:p>
    <w:p>
      <w:pPr>
        <w:spacing w:line="800" w:lineRule="exact"/>
        <w:jc w:val="center"/>
        <w:rPr>
          <w:rFonts w:hint="eastAsia"/>
          <w:b/>
          <w:bCs/>
          <w:sz w:val="52"/>
          <w:szCs w:val="52"/>
        </w:rPr>
      </w:pPr>
      <w:r>
        <w:rPr>
          <w:rFonts w:hint="eastAsia"/>
          <w:b/>
          <w:bCs/>
          <w:sz w:val="52"/>
          <w:szCs w:val="52"/>
        </w:rPr>
        <w:t>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rPr>
          <w:rFonts w:hint="eastAsia"/>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sz w:val="36"/>
          <w:szCs w:val="36"/>
        </w:rPr>
      </w:pPr>
      <w:r>
        <w:rPr>
          <w:rFonts w:hint="eastAsia" w:ascii="黑体" w:hAnsi="黑体" w:eastAsia="黑体" w:cs="黑体"/>
          <w:b/>
          <w:bCs/>
          <w:color w:val="333333"/>
          <w:sz w:val="36"/>
          <w:szCs w:val="36"/>
          <w:shd w:val="clear" w:color="auto" w:fill="FFFFFF"/>
          <w:lang w:eastAsia="zh-CN"/>
        </w:rPr>
        <w:t>国家税务总局共和县税务</w:t>
      </w:r>
      <w:r>
        <w:rPr>
          <w:rFonts w:hint="eastAsia" w:ascii="黑体" w:hAnsi="黑体" w:eastAsia="黑体" w:cs="黑体"/>
          <w:b/>
          <w:bCs/>
          <w:color w:val="333333"/>
          <w:sz w:val="36"/>
          <w:szCs w:val="36"/>
          <w:shd w:val="clear" w:color="auto" w:fill="FFFFFF"/>
        </w:rPr>
        <w:t>局  发布</w:t>
      </w:r>
    </w:p>
    <w:p>
      <w:pPr>
        <w:rPr>
          <w:rFonts w:hint="eastAsia"/>
        </w:rPr>
      </w:pPr>
    </w:p>
    <w:p>
      <w:pPr>
        <w:rPr>
          <w:rFonts w:hint="eastAsia"/>
        </w:rPr>
      </w:pPr>
    </w:p>
    <w:p>
      <w:pPr>
        <w:rPr>
          <w:rFonts w:hint="eastAsia"/>
        </w:rPr>
      </w:pPr>
    </w:p>
    <w:p/>
    <w:p>
      <w:pPr>
        <w:widowControl/>
        <w:jc w:val="center"/>
        <w:rPr>
          <w:rFonts w:hint="eastAsia" w:ascii="黑体" w:hAnsi="黑体" w:eastAsia="黑体" w:cs="黑体"/>
          <w:b/>
          <w:bCs/>
          <w:color w:val="333333"/>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【事项类别】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发起方式：人工发起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适用层级：区县级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【业务概述】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1.基础信息报告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首次向纳税人支付所得时，应当按照纳税人提供的纳税人识别号等基础信息，填写《个人所得税基础信息表（A表）》，并于次月扣缴申报时向税务机关报送。扣缴义务人对纳税人向其报告的相关基础信息变化情况，应当于次月扣缴申报时向税务机关报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税务机关为纳税人建立自然人档案，并为符合条件的纳税人赋予纳税人识别号。自然人可凭已采集的身份证件向税务机关提出申请查询、打印纳税人识别号，税务机关通过纸质或电子的形式向纳税人提供电子纳税人识别号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扣缴义务人向税务机关报送纳税人身份信息时，如因特殊原因无法完成正常信息报送，可到税务机关办税服务厅进行处理。特殊原因主要包括以下情形：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如因生僻字、与公安信息比对不通过等问题导致校验不通过；身份证件信息不符合规则，无法进行采集；不持有居民身份证的而持其他有效证件的中国大陆公民，如军官等；取得应税所得但未入境的外籍人员等。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2.专项附加扣除信息报送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享受子女教育、继续教育、住房贷款利息或者住房租金、赡养老人专项附加扣除的纳税人，应向税务机关报送《个人所得税专项附加扣除信息表》（以下简称《扣除信息表》），由税务机关采集相关家庭成员、房屋、受教育情况等基本信息。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更换工作单位的纳税人，需要由新任职、受雇扣缴义务人办理专项附加扣除的，应当在入职的当月，填写并向扣缴义务人报送《扣除信息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扣缴义务人应当将纳税人报送的专项附加扣除信息，在次月办理扣缴申报时一并报送至主管税务机关。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3.个人股东变动情况报告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被投资单位发生个人股东变动或者个人股东所持股权变动的，扣缴义务人应当在次月15日内向主管税务机关报送含有股东变动信息的《个人所得税基础信息表（A表）》及股东变更情况说明。企业发生股权交易及转增股本等事项后，应在次月15日内，将股东及其股权变化情况、股权交易前原账面记载的盈余积累数额、转增股本数额及扣缴税款情况报告主管税务机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扣缴义务人报告自然人身份信息报送资料清单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扣缴义务人报告自然人身份信息流程如下图所示。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4972050" cy="1162050"/>
            <wp:effectExtent l="0" t="0" r="0" b="0"/>
            <wp:docPr id="243" name="图片 1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140" descr="IMG_256"/>
                    <pic:cNvPicPr>
                      <a:picLocks noChangeAspect="1"/>
                    </pic:cNvPicPr>
                  </pic:nvPicPr>
                  <pic:blipFill>
                    <a:blip r:embed="rId4"/>
                    <a:stretch>
                      <a:fillRect/>
                    </a:stretch>
                  </pic:blipFill>
                  <pic:spPr>
                    <a:xfrm>
                      <a:off x="0" y="0"/>
                      <a:ext cx="4972050" cy="11620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tbl>
      <w:tblPr>
        <w:tblStyle w:val="3"/>
        <w:tblW w:w="4906" w:type="pct"/>
        <w:tblInd w:w="7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5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top"/>
          </w:tcPr>
          <w:tbl>
            <w:tblPr>
              <w:tblStyle w:val="3"/>
              <w:tblW w:w="5000" w:type="pct"/>
              <w:tblInd w:w="-1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3547"/>
              <w:gridCol w:w="667"/>
              <w:gridCol w:w="667"/>
              <w:gridCol w:w="667"/>
              <w:gridCol w:w="667"/>
              <w:gridCol w:w="667"/>
              <w:gridCol w:w="6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2" w:type="dxa"/>
                  <w:tcBorders>
                    <w:top w:val="single" w:color="auto" w:sz="12" w:space="0"/>
                    <w:left w:val="single" w:color="auto" w:sz="12"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序号</w:t>
                  </w:r>
                </w:p>
              </w:tc>
              <w:tc>
                <w:tcPr>
                  <w:tcW w:w="3566" w:type="dxa"/>
                  <w:tcBorders>
                    <w:top w:val="single" w:color="auto" w:sz="12"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报送资料名称</w:t>
                  </w:r>
                </w:p>
              </w:tc>
              <w:tc>
                <w:tcPr>
                  <w:tcW w:w="669" w:type="dxa"/>
                  <w:tcBorders>
                    <w:top w:val="single" w:color="auto" w:sz="12"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必报</w:t>
                  </w:r>
                </w:p>
              </w:tc>
              <w:tc>
                <w:tcPr>
                  <w:tcW w:w="669" w:type="dxa"/>
                  <w:tcBorders>
                    <w:top w:val="single" w:color="auto" w:sz="12"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条件报送</w:t>
                  </w:r>
                </w:p>
              </w:tc>
              <w:tc>
                <w:tcPr>
                  <w:tcW w:w="669" w:type="dxa"/>
                  <w:tcBorders>
                    <w:top w:val="single" w:color="auto" w:sz="12"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归档</w:t>
                  </w:r>
                </w:p>
              </w:tc>
              <w:tc>
                <w:tcPr>
                  <w:tcW w:w="669" w:type="dxa"/>
                  <w:tcBorders>
                    <w:top w:val="single" w:color="auto" w:sz="12"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查验</w:t>
                  </w:r>
                </w:p>
              </w:tc>
              <w:tc>
                <w:tcPr>
                  <w:tcW w:w="669" w:type="dxa"/>
                  <w:tcBorders>
                    <w:top w:val="single" w:color="auto" w:sz="12"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代保管</w:t>
                  </w:r>
                </w:p>
              </w:tc>
              <w:tc>
                <w:tcPr>
                  <w:tcW w:w="669" w:type="dxa"/>
                  <w:tcBorders>
                    <w:top w:val="single" w:color="auto" w:sz="12" w:space="0"/>
                    <w:left w:val="nil"/>
                    <w:bottom w:val="single" w:color="auto" w:sz="8" w:space="0"/>
                    <w:right w:val="single" w:color="auto"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b/>
                      <w:bCs/>
                      <w:color w:val="333333"/>
                      <w:kern w:val="0"/>
                      <w:sz w:val="18"/>
                      <w:szCs w:val="18"/>
                      <w:lang w:val="en-US" w:eastAsia="zh-CN" w:bidi="ar"/>
                    </w:rPr>
                    <w:t>核销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602" w:type="dxa"/>
                  <w:tcBorders>
                    <w:top w:val="nil"/>
                    <w:left w:val="single" w:color="auto" w:sz="12"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1</w:t>
                  </w:r>
                </w:p>
              </w:tc>
              <w:tc>
                <w:tcPr>
                  <w:tcW w:w="356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left"/>
                  </w:pPr>
                  <w:r>
                    <w:rPr>
                      <w:rFonts w:hint="eastAsia" w:ascii="宋体" w:hAnsi="宋体" w:eastAsia="宋体" w:cs="宋体"/>
                      <w:color w:val="333333"/>
                      <w:kern w:val="0"/>
                      <w:sz w:val="18"/>
                      <w:szCs w:val="18"/>
                      <w:lang w:val="en-US" w:eastAsia="zh-CN" w:bidi="ar"/>
                    </w:rPr>
                    <w:t>《个人所得税基础信息表（A表）》</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602" w:type="dxa"/>
                  <w:tcBorders>
                    <w:top w:val="nil"/>
                    <w:left w:val="single" w:color="auto" w:sz="12"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2</w:t>
                  </w:r>
                </w:p>
              </w:tc>
              <w:tc>
                <w:tcPr>
                  <w:tcW w:w="356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left"/>
                  </w:pPr>
                  <w:r>
                    <w:rPr>
                      <w:rFonts w:hint="eastAsia" w:ascii="宋体" w:hAnsi="宋体" w:eastAsia="宋体" w:cs="宋体"/>
                      <w:color w:val="333333"/>
                      <w:kern w:val="0"/>
                      <w:sz w:val="18"/>
                      <w:szCs w:val="18"/>
                      <w:lang w:val="en-US" w:eastAsia="zh-CN" w:bidi="ar"/>
                    </w:rPr>
                    <w:t>《个人所得税专项附加扣除信息表》</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602" w:type="dxa"/>
                  <w:tcBorders>
                    <w:top w:val="nil"/>
                    <w:left w:val="single" w:color="auto" w:sz="12"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3</w:t>
                  </w:r>
                </w:p>
              </w:tc>
              <w:tc>
                <w:tcPr>
                  <w:tcW w:w="356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left"/>
                  </w:pPr>
                  <w:r>
                    <w:rPr>
                      <w:rFonts w:hint="eastAsia" w:ascii="宋体" w:hAnsi="宋体" w:eastAsia="宋体" w:cs="宋体"/>
                      <w:color w:val="333333"/>
                      <w:kern w:val="0"/>
                      <w:sz w:val="18"/>
                      <w:szCs w:val="18"/>
                      <w:lang w:val="en-US" w:eastAsia="zh-CN" w:bidi="ar"/>
                    </w:rPr>
                    <w:t>股东变更情况说明</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8" w:space="0"/>
                    <w:right w:val="single" w:color="auto"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602" w:type="dxa"/>
                  <w:tcBorders>
                    <w:top w:val="nil"/>
                    <w:left w:val="single" w:color="auto" w:sz="12" w:space="0"/>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4</w:t>
                  </w:r>
                </w:p>
              </w:tc>
              <w:tc>
                <w:tcPr>
                  <w:tcW w:w="3566" w:type="dxa"/>
                  <w:tcBorders>
                    <w:top w:val="nil"/>
                    <w:left w:val="nil"/>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left"/>
                  </w:pPr>
                  <w:r>
                    <w:rPr>
                      <w:rFonts w:hint="eastAsia" w:ascii="宋体" w:hAnsi="宋体" w:eastAsia="宋体" w:cs="宋体"/>
                      <w:color w:val="333333"/>
                      <w:kern w:val="0"/>
                      <w:sz w:val="18"/>
                      <w:szCs w:val="18"/>
                      <w:lang w:val="en-US" w:eastAsia="zh-CN" w:bidi="ar"/>
                    </w:rPr>
                    <w:t>股东及其股权变化情况、股权交易前原账面记载的盈余积累数额、转增股本数额及扣缴税款情况报告</w:t>
                  </w:r>
                </w:p>
              </w:tc>
              <w:tc>
                <w:tcPr>
                  <w:tcW w:w="669" w:type="dxa"/>
                  <w:tcBorders>
                    <w:top w:val="nil"/>
                    <w:left w:val="nil"/>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w:t>
                  </w:r>
                </w:p>
              </w:tc>
              <w:tc>
                <w:tcPr>
                  <w:tcW w:w="669" w:type="dxa"/>
                  <w:tcBorders>
                    <w:top w:val="nil"/>
                    <w:left w:val="nil"/>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12"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c>
                <w:tcPr>
                  <w:tcW w:w="669" w:type="dxa"/>
                  <w:tcBorders>
                    <w:top w:val="nil"/>
                    <w:left w:val="nil"/>
                    <w:bottom w:val="single" w:color="auto" w:sz="12" w:space="0"/>
                    <w:right w:val="single" w:color="auto"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50" w:afterAutospacing="0" w:line="24" w:lineRule="atLeast"/>
                    <w:ind w:left="0" w:right="0"/>
                    <w:jc w:val="center"/>
                  </w:pPr>
                  <w:r>
                    <w:rPr>
                      <w:rFonts w:hint="eastAsia" w:ascii="宋体" w:hAnsi="宋体" w:eastAsia="宋体" w:cs="宋体"/>
                      <w:color w:val="333333"/>
                      <w:kern w:val="0"/>
                      <w:sz w:val="18"/>
                      <w:szCs w:val="18"/>
                      <w:lang w:val="en-US" w:eastAsia="zh-CN" w:bidi="ar"/>
                    </w:rPr>
                    <w:t> </w:t>
                  </w:r>
                </w:p>
              </w:tc>
            </w:tr>
          </w:tbl>
          <w:p>
            <w:pPr>
              <w:spacing w:after="150" w:afterAutospacing="0" w:line="24" w:lineRule="atLeast"/>
              <w:ind w:left="0" w:right="0"/>
              <w:jc w:val="center"/>
              <w:textAlignment w:val="top"/>
              <w:rPr>
                <w:rFonts w:hint="eastAsia" w:ascii="微软雅黑" w:hAnsi="微软雅黑" w:eastAsia="微软雅黑" w:cs="微软雅黑"/>
                <w:color w:val="333333"/>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扣缴义务人报告自然人身份信息流程如下图所示。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4972050" cy="1162050"/>
            <wp:effectExtent l="0" t="0" r="0" b="0"/>
            <wp:docPr id="265" name="图片 1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140" descr="IMG_256"/>
                    <pic:cNvPicPr>
                      <a:picLocks noChangeAspect="1"/>
                    </pic:cNvPicPr>
                  </pic:nvPicPr>
                  <pic:blipFill>
                    <a:blip r:embed="rId4"/>
                    <a:stretch>
                      <a:fillRect/>
                    </a:stretch>
                  </pic:blipFill>
                  <pic:spPr>
                    <a:xfrm>
                      <a:off x="0" y="0"/>
                      <a:ext cx="4972050" cy="11620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上述条件报送资料的报送条件为：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扣缴义务人报告自然人身份信息流程如下图所示。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微软雅黑" w:hAnsi="微软雅黑" w:eastAsia="微软雅黑" w:cs="微软雅黑"/>
          <w:color w:val="333333"/>
          <w:kern w:val="0"/>
          <w:sz w:val="18"/>
          <w:szCs w:val="18"/>
          <w:lang w:val="en-US" w:eastAsia="zh-CN" w:bidi="ar"/>
        </w:rPr>
        <w:drawing>
          <wp:inline distT="0" distB="0" distL="114300" distR="114300">
            <wp:extent cx="5715000" cy="1333500"/>
            <wp:effectExtent l="0" t="0" r="0" b="0"/>
            <wp:docPr id="248" name="图片 1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145" descr="IMG_256"/>
                    <pic:cNvPicPr>
                      <a:picLocks noChangeAspect="1"/>
                    </pic:cNvPicPr>
                  </pic:nvPicPr>
                  <pic:blipFill>
                    <a:blip r:embed="rId4"/>
                    <a:stretch>
                      <a:fillRect/>
                    </a:stretch>
                  </pic:blipFill>
                  <pic:spPr>
                    <a:xfrm>
                      <a:off x="0" y="0"/>
                      <a:ext cx="5715000" cy="1333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1.《个人所得税基础信息表（A表）》的报送条件为扣缴义务人首次向纳税人支付所得，或者纳税人相关基础信息发生变化时。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扣缴义务人报告自然人身份信息流程如下图所示。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微软雅黑" w:hAnsi="微软雅黑" w:eastAsia="微软雅黑" w:cs="微软雅黑"/>
          <w:color w:val="333333"/>
          <w:kern w:val="0"/>
          <w:sz w:val="18"/>
          <w:szCs w:val="18"/>
          <w:lang w:val="en-US" w:eastAsia="zh-CN" w:bidi="ar"/>
        </w:rPr>
        <w:drawing>
          <wp:inline distT="0" distB="0" distL="114300" distR="114300">
            <wp:extent cx="5715000" cy="1333500"/>
            <wp:effectExtent l="0" t="0" r="0" b="0"/>
            <wp:docPr id="250" name="图片 1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147" descr="IMG_256"/>
                    <pic:cNvPicPr>
                      <a:picLocks noChangeAspect="1"/>
                    </pic:cNvPicPr>
                  </pic:nvPicPr>
                  <pic:blipFill>
                    <a:blip r:embed="rId4"/>
                    <a:stretch>
                      <a:fillRect/>
                    </a:stretch>
                  </pic:blipFill>
                  <pic:spPr>
                    <a:xfrm>
                      <a:off x="0" y="0"/>
                      <a:ext cx="5715000" cy="1333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个人所得税专项附加扣除信息表》的报送条件为纳税人选择在扣缴义务人发放工资、薪金所得时享受专项附加扣除的，由纳税人填报《个人所得税专项附加扣除信息表》，扣缴义务人将相关信息报送税务机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扣缴义务人报告自然人身份信息流程如下图所示。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微软雅黑" w:hAnsi="微软雅黑" w:eastAsia="微软雅黑" w:cs="微软雅黑"/>
          <w:color w:val="333333"/>
          <w:kern w:val="0"/>
          <w:sz w:val="18"/>
          <w:szCs w:val="18"/>
          <w:lang w:val="en-US" w:eastAsia="zh-CN" w:bidi="ar"/>
        </w:rPr>
        <w:drawing>
          <wp:inline distT="0" distB="0" distL="114300" distR="114300">
            <wp:extent cx="4582795" cy="1333500"/>
            <wp:effectExtent l="0" t="0" r="8255" b="0"/>
            <wp:docPr id="253" name="图片 1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149" descr="IMG_256"/>
                    <pic:cNvPicPr>
                      <a:picLocks noChangeAspect="1"/>
                    </pic:cNvPicPr>
                  </pic:nvPicPr>
                  <pic:blipFill>
                    <a:blip r:embed="rId4"/>
                    <a:stretch>
                      <a:fillRect/>
                    </a:stretch>
                  </pic:blipFill>
                  <pic:spPr>
                    <a:xfrm>
                      <a:off x="0" y="0"/>
                      <a:ext cx="4582795" cy="1333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3.股东变更情况说明、股东及其股权变化情况、股权交易前原账面记载的盈余积累数额、转增股本数额及扣缴税款情况报告的报送条件为报送个人股东变动情况报告的单位。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扣缴义务人报告自然人身份信息流程如下图所示。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微软雅黑" w:hAnsi="微软雅黑" w:eastAsia="微软雅黑" w:cs="微软雅黑"/>
          <w:color w:val="333333"/>
          <w:kern w:val="0"/>
          <w:sz w:val="18"/>
          <w:szCs w:val="18"/>
          <w:lang w:val="en-US" w:eastAsia="zh-CN" w:bidi="ar"/>
        </w:rPr>
        <w:drawing>
          <wp:inline distT="0" distB="0" distL="114300" distR="114300">
            <wp:extent cx="4519295" cy="1333500"/>
            <wp:effectExtent l="0" t="0" r="14605" b="0"/>
            <wp:docPr id="254" name="图片 1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151" descr="IMG_256"/>
                    <pic:cNvPicPr>
                      <a:picLocks noChangeAspect="1"/>
                    </pic:cNvPicPr>
                  </pic:nvPicPr>
                  <pic:blipFill>
                    <a:blip r:embed="rId4"/>
                    <a:stretch>
                      <a:fillRect/>
                    </a:stretch>
                  </pic:blipFill>
                  <pic:spPr>
                    <a:xfrm>
                      <a:off x="0" y="0"/>
                      <a:ext cx="4519295" cy="1333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扣缴义务人报告自然人身份信息流程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【资料明细】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【办理流程】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微软雅黑" w:hAnsi="微软雅黑" w:eastAsia="微软雅黑" w:cs="微软雅黑"/>
          <w:color w:val="333333"/>
          <w:kern w:val="0"/>
          <w:sz w:val="18"/>
          <w:szCs w:val="18"/>
          <w:lang w:val="en-US" w:eastAsia="zh-CN" w:bidi="ar"/>
        </w:rPr>
        <w:drawing>
          <wp:inline distT="0" distB="0" distL="114300" distR="114300">
            <wp:extent cx="4869180" cy="1333500"/>
            <wp:effectExtent l="0" t="0" r="7620" b="0"/>
            <wp:docPr id="256" name="图片 15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153" descr="IMG_256"/>
                    <pic:cNvPicPr>
                      <a:picLocks noChangeAspect="1"/>
                    </pic:cNvPicPr>
                  </pic:nvPicPr>
                  <pic:blipFill>
                    <a:blip r:embed="rId4"/>
                    <a:stretch>
                      <a:fillRect/>
                    </a:stretch>
                  </pic:blipFill>
                  <pic:spPr>
                    <a:xfrm>
                      <a:off x="0" y="0"/>
                      <a:ext cx="4869180" cy="1333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1.受理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（1）扣缴义务人报送资料齐全、符合法定形式，报送资料内容填写符合规定，受理扣缴义务人申请，并判断是否需转采集或归档。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（2）扣缴义务人报送资料不齐全，告知扣缴义务人补齐补正资料，制作《税务事项通知书》（补正内容通知），通知扣缴义务人需补齐补正资料的内容。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（3）扣缴义务人报送资料不符合条件，制作《税务事项通知书》（不予受理通知），告知扣缴义务人不予受理的理由。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纳税人报送的资料，通过录入或者导入实现数据采集。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3.归档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归档资料为报送资料清单中标注为归档的各项资料。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4.办结时限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本事项即时办结。 </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【行使层级】</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 xml:space="preserve">    区县级</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【进驻部门】</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实施主体：国家税务总局共和县税务局</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实施主体性质：法定机关</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主办科室：第一分局</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【联办机构】</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无</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【权力来源】</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法定本级行使权力</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【前置审批】</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无</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中介服务</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无</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服务范围</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定点办理</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通办范围</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全县</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支持预约办理</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是</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支持物流快递</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否</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【结果送达】</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窗口领取：现场领取方式将结果送达申请人。</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电子税务局：电子送达。</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【咨询电话】</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0974-8517560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【监督投诉渠道】</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投诉电话：0974-8522127</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【预约办理】</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电话预约: 0974-8517560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办理进程和结果查询</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电话咨询：0974-8517560。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办理时间和地点</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办理时间：法定工作日，上午9:00-12:00；下午13:30-17:30。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办理地点：青海省海南藏族自治州共和县贵南东路政务中心一楼A1、A2窗口。</w:t>
      </w:r>
      <w:bookmarkStart w:id="0" w:name="_GoBack"/>
      <w:bookmarkEnd w:id="0"/>
      <w:r>
        <w:rPr>
          <w:rFonts w:hint="eastAsia"/>
          <w:sz w:val="24"/>
          <w:szCs w:val="24"/>
          <w:lang w:eastAsia="zh-CN"/>
        </w:rPr>
        <w:t>【</w:t>
      </w:r>
      <w:r>
        <w:rPr>
          <w:rFonts w:hint="eastAsia"/>
          <w:sz w:val="24"/>
          <w:szCs w:val="24"/>
          <w:lang w:val="en-US" w:eastAsia="zh-CN"/>
        </w:rPr>
        <w:t>交通指引</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乘坐2路公交车在县幼儿园站下车。</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完整版办事指南查询途径和获取方式</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青海政务服务网</w:t>
      </w:r>
      <w:r>
        <w:rPr>
          <w:rFonts w:hint="eastAsia"/>
          <w:sz w:val="24"/>
          <w:szCs w:val="24"/>
          <w:lang w:val="en-US" w:eastAsia="zh-CN"/>
        </w:rPr>
        <w:fldChar w:fldCharType="begin"/>
      </w:r>
      <w:r>
        <w:rPr>
          <w:rFonts w:hint="eastAsia"/>
          <w:sz w:val="24"/>
          <w:szCs w:val="24"/>
          <w:lang w:val="en-US" w:eastAsia="zh-CN"/>
        </w:rPr>
        <w:instrText xml:space="preserve"> HYPERLINK "http://www.qhzwfw.gov.cn/" </w:instrText>
      </w:r>
      <w:r>
        <w:rPr>
          <w:rFonts w:hint="eastAsia"/>
          <w:sz w:val="24"/>
          <w:szCs w:val="24"/>
          <w:lang w:val="en-US" w:eastAsia="zh-CN"/>
        </w:rPr>
        <w:fldChar w:fldCharType="separate"/>
      </w:r>
      <w:r>
        <w:rPr>
          <w:rFonts w:hint="eastAsia"/>
          <w:sz w:val="24"/>
          <w:szCs w:val="24"/>
          <w:lang w:val="en-US" w:eastAsia="zh-CN"/>
        </w:rPr>
        <w:t>http://www.qhzwfw.gov.cn/</w:t>
      </w:r>
      <w:r>
        <w:rPr>
          <w:rFonts w:hint="eastAsia"/>
          <w:sz w:val="24"/>
          <w:szCs w:val="24"/>
          <w:lang w:val="en-US" w:eastAsia="zh-CN"/>
        </w:rPr>
        <w:fldChar w:fldCharType="end"/>
      </w:r>
      <w:r>
        <w:rPr>
          <w:rFonts w:hint="eastAsia"/>
          <w:sz w:val="24"/>
          <w:szCs w:val="24"/>
          <w:lang w:val="en-US" w:eastAsia="zh-CN"/>
        </w:rPr>
        <w:t>查询、下载。</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B6266"/>
    <w:rsid w:val="26BB6266"/>
    <w:rsid w:val="4F97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2022-11-23T03:23:00Z</dcterms:created>
  <dc:creator>李增梅</dc:creator>
  <cp:lastModifiedBy>汤永生</cp:lastModifiedBy>
  <dcterms:modified xsi:type="dcterms:W3CDTF">2022-11-28T02:11:15Z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