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居民企业（查账征收）企业所得税年度申报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居民企业（查账征收）企业所得税年度申报</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实行查账征收方式申报企业所得税的居民企业（包括境外注册中资控股居民企业）在纳税年度终了之日起 5 个月内，在年度中间终止经营活动的在实际终止经营之日起 60 日内，依照税收法律、法规、规章及其他有关规定，自行计算本纳税年度应纳税所得额、应纳所得税额和本纳税年度应补（退）税额，向税务机关填报《中华人民共和国企业所得税年度纳税申报表（A 类，2017 年版）》及其他有关资料，进行年度纳税申报。</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  《中华人民共和国税收征收管理法》第二十五条第一款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  《中华人民共和国企业所得税法》第一条、第五十四条</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【办理材料】</w:t>
      </w:r>
    </w:p>
    <w:tbl>
      <w:tblPr>
        <w:tblStyle w:val="4"/>
        <w:tblW w:w="8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30"/>
        <w:gridCol w:w="240"/>
        <w:gridCol w:w="2460"/>
        <w:gridCol w:w="1171"/>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3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76850" cy="9525"/>
                  <wp:effectExtent l="0" t="0" r="0" b="0"/>
                  <wp:docPr id="83" name="图片 4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6" descr="IMG_259"/>
                          <pic:cNvPicPr>
                            <a:picLocks noChangeAspect="1"/>
                          </pic:cNvPicPr>
                        </pic:nvPicPr>
                        <pic:blipFill>
                          <a:blip r:embed="rId4"/>
                          <a:stretch>
                            <a:fillRect/>
                          </a:stretch>
                        </pic:blipFill>
                        <pic:spPr>
                          <a:xfrm>
                            <a:off x="0" y="0"/>
                            <a:ext cx="5276850" cy="9525"/>
                          </a:xfrm>
                          <a:prstGeom prst="rect">
                            <a:avLst/>
                          </a:prstGeom>
                          <a:noFill/>
                          <a:ln>
                            <a:noFill/>
                          </a:ln>
                        </pic:spPr>
                      </pic:pic>
                    </a:graphicData>
                  </a:graphic>
                </wp:inline>
              </w:drawing>
            </w:r>
            <w:r>
              <w:rPr>
                <w:rFonts w:hint="eastAsia"/>
                <w:sz w:val="24"/>
                <w:szCs w:val="24"/>
                <w:lang w:val="en-US" w:eastAsia="zh-CN"/>
              </w:rPr>
              <w:drawing>
                <wp:inline distT="0" distB="0" distL="114300" distR="114300">
                  <wp:extent cx="5276850" cy="9525"/>
                  <wp:effectExtent l="0" t="0" r="0" b="0"/>
                  <wp:docPr id="84" name="图片 4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7" descr="IMG_258"/>
                          <pic:cNvPicPr>
                            <a:picLocks noChangeAspect="1"/>
                          </pic:cNvPicPr>
                        </pic:nvPicPr>
                        <pic:blipFill>
                          <a:blip r:embed="rId5"/>
                          <a:stretch>
                            <a:fillRect/>
                          </a:stretch>
                        </pic:blipFill>
                        <pic:spPr>
                          <a:xfrm>
                            <a:off x="0" y="0"/>
                            <a:ext cx="5276850" cy="9525"/>
                          </a:xfrm>
                          <a:prstGeom prst="rect">
                            <a:avLst/>
                          </a:prstGeom>
                          <a:noFill/>
                          <a:ln>
                            <a:noFill/>
                          </a:ln>
                        </pic:spPr>
                      </pic:pic>
                    </a:graphicData>
                  </a:graphic>
                </wp:inline>
              </w:drawing>
            </w:r>
            <w:r>
              <w:rPr>
                <w:rFonts w:hint="eastAsia"/>
                <w:sz w:val="24"/>
                <w:szCs w:val="24"/>
                <w:lang w:val="en-US" w:eastAsia="zh-CN"/>
              </w:rPr>
              <w:drawing>
                <wp:inline distT="0" distB="0" distL="114300" distR="114300">
                  <wp:extent cx="5276850" cy="9525"/>
                  <wp:effectExtent l="0" t="0" r="0" b="0"/>
                  <wp:docPr id="85" name="图片 4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8" descr="IMG_259"/>
                          <pic:cNvPicPr>
                            <a:picLocks noChangeAspect="1"/>
                          </pic:cNvPicPr>
                        </pic:nvPicPr>
                        <pic:blipFill>
                          <a:blip r:embed="rId4"/>
                          <a:stretch>
                            <a:fillRect/>
                          </a:stretch>
                        </pic:blipFill>
                        <pic:spPr>
                          <a:xfrm>
                            <a:off x="0" y="0"/>
                            <a:ext cx="5276850" cy="9525"/>
                          </a:xfrm>
                          <a:prstGeom prst="rect">
                            <a:avLst/>
                          </a:prstGeom>
                          <a:noFill/>
                          <a:ln>
                            <a:noFill/>
                          </a:ln>
                        </pic:spPr>
                      </pic:pic>
                    </a:graphicData>
                  </a:graphic>
                </wp:inline>
              </w:drawing>
            </w:r>
            <w:r>
              <w:rPr>
                <w:rFonts w:hint="eastAsia"/>
                <w:sz w:val="24"/>
                <w:szCs w:val="24"/>
                <w:lang w:val="en-US" w:eastAsia="zh-CN"/>
              </w:rPr>
              <w:drawing>
                <wp:inline distT="0" distB="0" distL="114300" distR="114300">
                  <wp:extent cx="5276850" cy="9525"/>
                  <wp:effectExtent l="0" t="0" r="0" b="0"/>
                  <wp:docPr id="86" name="图片 4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9" descr="IMG_260"/>
                          <pic:cNvPicPr>
                            <a:picLocks noChangeAspect="1"/>
                          </pic:cNvPicPr>
                        </pic:nvPicPr>
                        <pic:blipFill>
                          <a:blip r:embed="rId6"/>
                          <a:stretch>
                            <a:fillRect/>
                          </a:stretch>
                        </pic:blipFill>
                        <pic:spPr>
                          <a:xfrm>
                            <a:off x="0" y="0"/>
                            <a:ext cx="5276850" cy="9525"/>
                          </a:xfrm>
                          <a:prstGeom prst="rect">
                            <a:avLst/>
                          </a:prstGeom>
                          <a:noFill/>
                          <a:ln>
                            <a:noFill/>
                          </a:ln>
                        </pic:spPr>
                      </pic:pic>
                    </a:graphicData>
                  </a:graphic>
                </wp:inline>
              </w:drawing>
            </w:r>
            <w:r>
              <w:rPr>
                <w:rFonts w:hint="eastAsia"/>
                <w:sz w:val="24"/>
                <w:szCs w:val="24"/>
                <w:lang w:val="en-US" w:eastAsia="zh-CN"/>
              </w:rPr>
              <w:t>序号</w:t>
            </w:r>
          </w:p>
        </w:tc>
        <w:tc>
          <w:tcPr>
            <w:tcW w:w="24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2460"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733"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73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270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《中华人民共和国企业所得税年度纳税申报表（A 类，2017 年版）》</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73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7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70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8334" w:type="dxa"/>
            <w:gridSpan w:val="5"/>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D8D8D8"/>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460" w:type="dxa"/>
            <w:tcBorders>
              <w:top w:val="single" w:color="000000" w:sz="8" w:space="0"/>
              <w:left w:val="single" w:color="000000" w:sz="8" w:space="0"/>
              <w:bottom w:val="single" w:color="000000" w:sz="8" w:space="0"/>
              <w:right w:val="single" w:color="000000" w:sz="8" w:space="0"/>
            </w:tcBorders>
            <w:shd w:val="clear" w:color="auto" w:fill="D8D8D8"/>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1171" w:type="dxa"/>
            <w:tcBorders>
              <w:top w:val="single" w:color="000000" w:sz="8" w:space="0"/>
              <w:left w:val="single" w:color="000000" w:sz="8" w:space="0"/>
              <w:bottom w:val="single" w:color="auto" w:sz="4" w:space="0"/>
              <w:right w:val="single" w:color="000000" w:sz="8" w:space="0"/>
            </w:tcBorders>
            <w:shd w:val="clear" w:color="auto" w:fill="D8D8D8"/>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733" w:type="dxa"/>
            <w:tcBorders>
              <w:top w:val="single" w:color="000000" w:sz="8" w:space="0"/>
              <w:left w:val="single" w:color="000000" w:sz="8" w:space="0"/>
              <w:bottom w:val="single" w:color="auto" w:sz="4" w:space="0"/>
              <w:right w:val="single" w:color="000000" w:sz="8" w:space="0"/>
            </w:tcBorders>
            <w:shd w:val="clear" w:color="auto" w:fill="D8D8D8"/>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trPr>
        <w:tc>
          <w:tcPr>
            <w:tcW w:w="2970"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房地产开发企业在开发产品</w:t>
            </w:r>
            <w:r>
              <w:rPr>
                <w:rFonts w:hint="eastAsia"/>
                <w:sz w:val="24"/>
                <w:szCs w:val="24"/>
                <w:lang w:val="en-US" w:eastAsia="zh-CN"/>
              </w:rPr>
              <w:br w:type="textWrapping"/>
            </w:r>
            <w:r>
              <w:rPr>
                <w:rFonts w:hint="eastAsia"/>
                <w:sz w:val="24"/>
                <w:szCs w:val="24"/>
                <w:lang w:val="en-US" w:eastAsia="zh-CN"/>
              </w:rPr>
              <w:t>完工当年企业所得税年度纳税申报</w:t>
            </w:r>
          </w:p>
        </w:tc>
        <w:tc>
          <w:tcPr>
            <w:tcW w:w="2460" w:type="dxa"/>
            <w:tcBorders>
              <w:top w:val="single" w:color="000000" w:sz="8" w:space="0"/>
              <w:left w:val="single" w:color="000000" w:sz="8" w:space="0"/>
              <w:bottom w:val="single" w:color="000000" w:sz="8" w:space="0"/>
              <w:right w:val="single" w:color="auto" w:sz="4"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房地产开发企业成本对象管理 专项报告</w:t>
            </w:r>
          </w:p>
        </w:tc>
        <w:tc>
          <w:tcPr>
            <w:tcW w:w="11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trPr>
        <w:tc>
          <w:tcPr>
            <w:tcW w:w="2970"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申请享受中小企业信用担保</w:t>
            </w:r>
            <w:r>
              <w:rPr>
                <w:rFonts w:hint="eastAsia"/>
                <w:sz w:val="24"/>
                <w:szCs w:val="24"/>
                <w:lang w:val="en-US" w:eastAsia="zh-CN"/>
              </w:rPr>
              <w:br w:type="textWrapping"/>
            </w:r>
            <w:r>
              <w:rPr>
                <w:rFonts w:hint="eastAsia"/>
                <w:sz w:val="24"/>
                <w:szCs w:val="24"/>
                <w:lang w:val="en-US" w:eastAsia="zh-CN"/>
              </w:rPr>
              <w:t>机构有关准备金企业所得税</w:t>
            </w:r>
            <w:r>
              <w:rPr>
                <w:rFonts w:hint="eastAsia"/>
                <w:sz w:val="24"/>
                <w:szCs w:val="24"/>
                <w:lang w:val="en-US" w:eastAsia="zh-CN"/>
              </w:rPr>
              <w:br w:type="textWrapping"/>
            </w:r>
            <w:r>
              <w:rPr>
                <w:rFonts w:hint="eastAsia"/>
                <w:sz w:val="24"/>
                <w:szCs w:val="24"/>
                <w:lang w:val="en-US" w:eastAsia="zh-CN"/>
              </w:rPr>
              <w:t>税前扣除政策</w:t>
            </w: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年度会计报表和担保业务情况</w:t>
            </w:r>
          </w:p>
        </w:tc>
        <w:tc>
          <w:tcPr>
            <w:tcW w:w="1171" w:type="dxa"/>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tcBorders>
              <w:top w:val="single" w:color="auto" w:sz="4" w:space="0"/>
              <w:left w:val="single" w:color="000000" w:sz="8" w:space="0"/>
              <w:bottom w:val="single" w:color="auto" w:sz="4" w:space="0"/>
              <w:right w:val="single" w:color="auto" w:sz="4"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申报抵免境外所得税收</w:t>
            </w:r>
            <w:r>
              <w:rPr>
                <w:rFonts w:hint="eastAsia"/>
                <w:sz w:val="24"/>
                <w:szCs w:val="24"/>
                <w:lang w:val="en-US" w:eastAsia="zh-CN"/>
              </w:rPr>
              <w:br w:type="textWrapping"/>
            </w:r>
            <w:r>
              <w:rPr>
                <w:rFonts w:hint="eastAsia"/>
                <w:sz w:val="24"/>
                <w:szCs w:val="24"/>
                <w:lang w:val="en-US" w:eastAsia="zh-CN"/>
              </w:rPr>
              <w:t>（取得境外分支机构的营业利润所得）</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76850" cy="9525"/>
                  <wp:effectExtent l="0" t="0" r="0" b="0"/>
                  <wp:docPr id="87" name="图片 5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50" descr="IMG_262"/>
                          <pic:cNvPicPr>
                            <a:picLocks noChangeAspect="1"/>
                          </pic:cNvPicPr>
                        </pic:nvPicPr>
                        <pic:blipFill>
                          <a:blip r:embed="rId7"/>
                          <a:stretch>
                            <a:fillRect/>
                          </a:stretch>
                        </pic:blipFill>
                        <pic:spPr>
                          <a:xfrm>
                            <a:off x="0" y="0"/>
                            <a:ext cx="5276850" cy="9525"/>
                          </a:xfrm>
                          <a:prstGeom prst="rect">
                            <a:avLst/>
                          </a:prstGeom>
                          <a:noFill/>
                          <a:ln>
                            <a:noFill/>
                          </a:ln>
                        </pic:spPr>
                      </pic:pic>
                    </a:graphicData>
                  </a:graphic>
                </wp:inline>
              </w:drawing>
            </w: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与境外所得相关的完税证明或 纳税凭证（原件或复印件）</w:t>
            </w:r>
          </w:p>
        </w:tc>
        <w:tc>
          <w:tcPr>
            <w:tcW w:w="1171" w:type="dxa"/>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restart"/>
            <w:tcBorders>
              <w:top w:val="single" w:color="auto" w:sz="4" w:space="0"/>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案资料使用非中文的， 企业应同时提交中文译本复印件。上述资料已向税 务机关提供的，可不再提 供；上述资料若有变更的，需重新提供。原件查验后退回纳税人可以自主选择是否对“企业在境外享受税收优惠政策的证明或有关审计报告”适用告知承诺制办理，并对承诺的真实性承担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970" w:type="dxa"/>
            <w:gridSpan w:val="2"/>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境外分支机构会计报表</w:t>
            </w:r>
          </w:p>
        </w:tc>
        <w:tc>
          <w:tcPr>
            <w:tcW w:w="1171"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境外分支机构所得依照中国境</w:t>
            </w:r>
            <w:r>
              <w:rPr>
                <w:rFonts w:hint="eastAsia"/>
                <w:sz w:val="24"/>
                <w:szCs w:val="24"/>
                <w:lang w:val="en-US" w:eastAsia="zh-CN"/>
              </w:rPr>
              <w:br w:type="textWrapping"/>
            </w:r>
            <w:r>
              <w:rPr>
                <w:rFonts w:hint="eastAsia"/>
                <w:sz w:val="24"/>
                <w:szCs w:val="24"/>
                <w:lang w:val="en-US" w:eastAsia="zh-CN"/>
              </w:rPr>
              <w:t>内企业所得税法及实施条例的</w:t>
            </w:r>
            <w:r>
              <w:rPr>
                <w:rFonts w:hint="eastAsia"/>
                <w:sz w:val="24"/>
                <w:szCs w:val="24"/>
                <w:lang w:val="en-US" w:eastAsia="zh-CN"/>
              </w:rPr>
              <w:br w:type="textWrapping"/>
            </w:r>
            <w:r>
              <w:rPr>
                <w:rFonts w:hint="eastAsia"/>
                <w:sz w:val="24"/>
                <w:szCs w:val="24"/>
                <w:lang w:val="en-US" w:eastAsia="zh-CN"/>
              </w:rPr>
              <w:t>规定计算的应纳税额的计算过</w:t>
            </w:r>
            <w:r>
              <w:rPr>
                <w:rFonts w:hint="eastAsia"/>
                <w:sz w:val="24"/>
                <w:szCs w:val="24"/>
                <w:lang w:val="en-US" w:eastAsia="zh-CN"/>
              </w:rPr>
              <w:br w:type="textWrapping"/>
            </w:r>
            <w:r>
              <w:rPr>
                <w:rFonts w:hint="eastAsia"/>
                <w:sz w:val="24"/>
                <w:szCs w:val="24"/>
                <w:lang w:val="en-US" w:eastAsia="zh-CN"/>
              </w:rPr>
              <w:t>程及说明资料</w:t>
            </w:r>
          </w:p>
        </w:tc>
        <w:tc>
          <w:tcPr>
            <w:tcW w:w="117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具有资质的机构出具的有关分 支机构审计报告等或《税务证明</w:t>
            </w:r>
            <w:r>
              <w:rPr>
                <w:rFonts w:hint="eastAsia"/>
                <w:sz w:val="24"/>
                <w:szCs w:val="24"/>
                <w:lang w:val="en-US" w:eastAsia="zh-CN"/>
              </w:rPr>
              <w:br w:type="textWrapping"/>
            </w:r>
            <w:r>
              <w:rPr>
                <w:rFonts w:hint="eastAsia"/>
                <w:sz w:val="24"/>
                <w:szCs w:val="24"/>
                <w:lang w:val="en-US" w:eastAsia="zh-CN"/>
              </w:rPr>
              <w:t>事项告知承诺书》</w:t>
            </w:r>
          </w:p>
        </w:tc>
        <w:tc>
          <w:tcPr>
            <w:tcW w:w="117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2970" w:type="dxa"/>
            <w:gridSpan w:val="2"/>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76850" cy="9525"/>
                  <wp:effectExtent l="0" t="0" r="0" b="0"/>
                  <wp:docPr id="88" name="图片 5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1" descr="IMG_262"/>
                          <pic:cNvPicPr>
                            <a:picLocks noChangeAspect="1"/>
                          </pic:cNvPicPr>
                        </pic:nvPicPr>
                        <pic:blipFill>
                          <a:blip r:embed="rId7"/>
                          <a:stretch>
                            <a:fillRect/>
                          </a:stretch>
                        </pic:blipFill>
                        <pic:spPr>
                          <a:xfrm>
                            <a:off x="0" y="0"/>
                            <a:ext cx="5276850" cy="9525"/>
                          </a:xfrm>
                          <a:prstGeom prst="rect">
                            <a:avLst/>
                          </a:prstGeom>
                          <a:noFill/>
                          <a:ln>
                            <a:noFill/>
                          </a:ln>
                        </pic:spPr>
                      </pic:pic>
                    </a:graphicData>
                  </a:graphic>
                </wp:inline>
              </w:drawing>
            </w:r>
            <w:r>
              <w:rPr>
                <w:rFonts w:hint="eastAsia"/>
                <w:sz w:val="24"/>
                <w:szCs w:val="24"/>
                <w:lang w:val="en-US" w:eastAsia="zh-CN"/>
              </w:rPr>
              <w:t>申报抵免境外所得税收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（取得境外股息、红利所得）</w:t>
            </w: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与境外所得相关的完税证明或 纳税凭证（原件或复印件）</w:t>
            </w:r>
          </w:p>
        </w:tc>
        <w:tc>
          <w:tcPr>
            <w:tcW w:w="117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70" w:type="dxa"/>
            <w:gridSpan w:val="2"/>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集团组织架构图</w:t>
            </w:r>
          </w:p>
        </w:tc>
        <w:tc>
          <w:tcPr>
            <w:tcW w:w="117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70" w:type="dxa"/>
            <w:gridSpan w:val="2"/>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被投资公司章程复印件</w:t>
            </w:r>
          </w:p>
        </w:tc>
        <w:tc>
          <w:tcPr>
            <w:tcW w:w="117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2970" w:type="dxa"/>
            <w:gridSpan w:val="2"/>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境外企业有权决定利润分配的 机构作出的决定书等</w:t>
            </w:r>
          </w:p>
        </w:tc>
        <w:tc>
          <w:tcPr>
            <w:tcW w:w="117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297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申报抵免境外所得税收  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（取得境外利息、租金、特许权使用费、转让财产等所得）</w:t>
            </w: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与境外所得相关的完税证明或 纳税凭证（原件或复印件）</w:t>
            </w:r>
          </w:p>
        </w:tc>
        <w:tc>
          <w:tcPr>
            <w:tcW w:w="117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依照中国境内企业所得税法及</w:t>
            </w:r>
            <w:r>
              <w:rPr>
                <w:rFonts w:hint="eastAsia"/>
                <w:sz w:val="24"/>
                <w:szCs w:val="24"/>
                <w:lang w:val="en-US" w:eastAsia="zh-CN"/>
              </w:rPr>
              <w:br w:type="textWrapping"/>
            </w:r>
            <w:r>
              <w:rPr>
                <w:rFonts w:hint="eastAsia"/>
                <w:sz w:val="24"/>
                <w:szCs w:val="24"/>
                <w:lang w:val="en-US" w:eastAsia="zh-CN"/>
              </w:rPr>
              <w:t>实施条例规定计算的应纳税额</w:t>
            </w:r>
            <w:r>
              <w:rPr>
                <w:rFonts w:hint="eastAsia"/>
                <w:sz w:val="24"/>
                <w:szCs w:val="24"/>
                <w:lang w:val="en-US" w:eastAsia="zh-CN"/>
              </w:rPr>
              <w:br w:type="textWrapping"/>
            </w:r>
            <w:r>
              <w:rPr>
                <w:rFonts w:hint="eastAsia"/>
                <w:sz w:val="24"/>
                <w:szCs w:val="24"/>
                <w:lang w:val="en-US" w:eastAsia="zh-CN"/>
              </w:rPr>
              <w:t>的资料及计算过程</w:t>
            </w:r>
          </w:p>
        </w:tc>
        <w:tc>
          <w:tcPr>
            <w:tcW w:w="117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项目合同复印件等</w:t>
            </w:r>
          </w:p>
        </w:tc>
        <w:tc>
          <w:tcPr>
            <w:tcW w:w="117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申报抵免境外所得税收 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（申请享受税收饶让抵免）</w:t>
            </w: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与境外所得相关的完税证明或 纳税凭证（原件或复印件）</w:t>
            </w:r>
          </w:p>
        </w:tc>
        <w:tc>
          <w:tcPr>
            <w:tcW w:w="117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本企业及其直接或间接控制的</w:t>
            </w:r>
            <w:r>
              <w:rPr>
                <w:rFonts w:hint="eastAsia"/>
                <w:sz w:val="24"/>
                <w:szCs w:val="24"/>
                <w:lang w:val="en-US" w:eastAsia="zh-CN"/>
              </w:rPr>
              <w:br w:type="textWrapping"/>
            </w:r>
            <w:r>
              <w:rPr>
                <w:rFonts w:hint="eastAsia"/>
                <w:sz w:val="24"/>
                <w:szCs w:val="24"/>
                <w:lang w:val="en-US" w:eastAsia="zh-CN"/>
              </w:rPr>
              <w:t>外国企业在境外所获免税及减</w:t>
            </w:r>
            <w:r>
              <w:rPr>
                <w:rFonts w:hint="eastAsia"/>
                <w:sz w:val="24"/>
                <w:szCs w:val="24"/>
                <w:lang w:val="en-US" w:eastAsia="zh-CN"/>
              </w:rPr>
              <w:br w:type="textWrapping"/>
            </w:r>
            <w:r>
              <w:rPr>
                <w:rFonts w:hint="eastAsia"/>
                <w:sz w:val="24"/>
                <w:szCs w:val="24"/>
                <w:lang w:val="en-US" w:eastAsia="zh-CN"/>
              </w:rPr>
              <w:t>税的依据及证明或有关审计报</w:t>
            </w:r>
            <w:r>
              <w:rPr>
                <w:rFonts w:hint="eastAsia"/>
                <w:sz w:val="24"/>
                <w:szCs w:val="24"/>
                <w:lang w:val="en-US" w:eastAsia="zh-CN"/>
              </w:rPr>
              <w:br w:type="textWrapping"/>
            </w:r>
            <w:r>
              <w:rPr>
                <w:rFonts w:hint="eastAsia"/>
                <w:sz w:val="24"/>
                <w:szCs w:val="24"/>
                <w:lang w:val="en-US" w:eastAsia="zh-CN"/>
              </w:rPr>
              <w:t>告披露该企业享受的优惠政策</w:t>
            </w:r>
            <w:r>
              <w:rPr>
                <w:rFonts w:hint="eastAsia"/>
                <w:sz w:val="24"/>
                <w:szCs w:val="24"/>
                <w:lang w:val="en-US" w:eastAsia="zh-CN"/>
              </w:rPr>
              <w:br w:type="textWrapping"/>
            </w:r>
            <w:r>
              <w:rPr>
                <w:rFonts w:hint="eastAsia"/>
                <w:sz w:val="24"/>
                <w:szCs w:val="24"/>
                <w:lang w:val="en-US" w:eastAsia="zh-CN"/>
              </w:rPr>
              <w:t>的复印件或《税务证明事项告知</w:t>
            </w:r>
            <w:r>
              <w:rPr>
                <w:rFonts w:hint="eastAsia"/>
                <w:sz w:val="24"/>
                <w:szCs w:val="24"/>
                <w:lang w:val="en-US" w:eastAsia="zh-CN"/>
              </w:rPr>
              <w:br w:type="textWrapping"/>
            </w:r>
            <w:r>
              <w:rPr>
                <w:rFonts w:hint="eastAsia"/>
                <w:sz w:val="24"/>
                <w:szCs w:val="24"/>
                <w:lang w:val="en-US" w:eastAsia="zh-CN"/>
              </w:rPr>
              <w:t>承诺书》</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企业在其直接或间接控制的外</w:t>
            </w:r>
            <w:r>
              <w:rPr>
                <w:rFonts w:hint="eastAsia"/>
                <w:sz w:val="24"/>
                <w:szCs w:val="24"/>
                <w:lang w:val="en-US" w:eastAsia="zh-CN"/>
              </w:rPr>
              <w:br w:type="textWrapping"/>
            </w:r>
            <w:r>
              <w:rPr>
                <w:rFonts w:hint="eastAsia"/>
                <w:sz w:val="24"/>
                <w:szCs w:val="24"/>
                <w:lang w:val="en-US" w:eastAsia="zh-CN"/>
              </w:rPr>
              <w:t>国企业的参股比例等情况的证</w:t>
            </w:r>
            <w:r>
              <w:rPr>
                <w:rFonts w:hint="eastAsia"/>
                <w:sz w:val="24"/>
                <w:szCs w:val="24"/>
                <w:lang w:val="en-US" w:eastAsia="zh-CN"/>
              </w:rPr>
              <w:br w:type="textWrapping"/>
            </w:r>
            <w:r>
              <w:rPr>
                <w:rFonts w:hint="eastAsia"/>
                <w:sz w:val="24"/>
                <w:szCs w:val="24"/>
                <w:lang w:val="en-US" w:eastAsia="zh-CN"/>
              </w:rPr>
              <w:t>明复印件</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间接抵免税额或者饶让抵免税额的计算过程</w:t>
            </w:r>
          </w:p>
        </w:tc>
        <w:tc>
          <w:tcPr>
            <w:tcW w:w="117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由本企业直接或间接控制的外国企业的财务会计资料</w:t>
            </w:r>
          </w:p>
        </w:tc>
        <w:tc>
          <w:tcPr>
            <w:tcW w:w="117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申报抵免境外所得税收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（采用简易办法计算抵免限额）</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与境外所得相关的完税证明或纳税凭证（原件或复印件）</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取得境外分支机构的营业利润</w:t>
            </w:r>
            <w:r>
              <w:rPr>
                <w:rFonts w:hint="eastAsia"/>
                <w:sz w:val="24"/>
                <w:szCs w:val="24"/>
                <w:lang w:val="en-US" w:eastAsia="zh-CN"/>
              </w:rPr>
              <w:br w:type="textWrapping"/>
            </w:r>
            <w:r>
              <w:rPr>
                <w:rFonts w:hint="eastAsia"/>
                <w:sz w:val="24"/>
                <w:szCs w:val="24"/>
                <w:lang w:val="en-US" w:eastAsia="zh-CN"/>
              </w:rPr>
              <w:t>所得需提供企业申请及有关情</w:t>
            </w:r>
            <w:r>
              <w:rPr>
                <w:rFonts w:hint="eastAsia"/>
                <w:sz w:val="24"/>
                <w:szCs w:val="24"/>
                <w:lang w:val="en-US" w:eastAsia="zh-CN"/>
              </w:rPr>
              <w:br w:type="textWrapping"/>
            </w:r>
            <w:r>
              <w:rPr>
                <w:rFonts w:hint="eastAsia"/>
                <w:sz w:val="24"/>
                <w:szCs w:val="24"/>
                <w:lang w:val="en-US" w:eastAsia="zh-CN"/>
              </w:rPr>
              <w:t>况说明</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left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来源国（地区）政府机关核发的</w:t>
            </w:r>
            <w:r>
              <w:rPr>
                <w:rFonts w:hint="eastAsia"/>
                <w:sz w:val="24"/>
                <w:szCs w:val="24"/>
                <w:lang w:val="en-US" w:eastAsia="zh-CN"/>
              </w:rPr>
              <w:br w:type="textWrapping"/>
            </w:r>
            <w:r>
              <w:rPr>
                <w:rFonts w:hint="eastAsia"/>
                <w:sz w:val="24"/>
                <w:szCs w:val="24"/>
                <w:lang w:val="en-US" w:eastAsia="zh-CN"/>
              </w:rPr>
              <w:t>具有纳税性质的凭证和证明复</w:t>
            </w:r>
            <w:r>
              <w:rPr>
                <w:rFonts w:hint="eastAsia"/>
                <w:sz w:val="24"/>
                <w:szCs w:val="24"/>
                <w:lang w:val="en-US" w:eastAsia="zh-CN"/>
              </w:rPr>
              <w:br w:type="textWrapping"/>
            </w:r>
            <w:r>
              <w:rPr>
                <w:rFonts w:hint="eastAsia"/>
                <w:sz w:val="24"/>
                <w:szCs w:val="24"/>
                <w:lang w:val="en-US" w:eastAsia="zh-CN"/>
              </w:rPr>
              <w:t>印件</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取得符合境外税额间接抵免条</w:t>
            </w:r>
            <w:r>
              <w:rPr>
                <w:rFonts w:hint="eastAsia"/>
                <w:sz w:val="24"/>
                <w:szCs w:val="24"/>
                <w:lang w:val="en-US" w:eastAsia="zh-CN"/>
              </w:rPr>
              <w:br w:type="textWrapping"/>
            </w:r>
            <w:r>
              <w:rPr>
                <w:rFonts w:hint="eastAsia"/>
                <w:sz w:val="24"/>
                <w:szCs w:val="24"/>
                <w:lang w:val="en-US" w:eastAsia="zh-CN"/>
              </w:rPr>
              <w:t>件的股息所得需提供企业申请</w:t>
            </w:r>
            <w:r>
              <w:rPr>
                <w:rFonts w:hint="eastAsia"/>
                <w:sz w:val="24"/>
                <w:szCs w:val="24"/>
                <w:lang w:val="en-US" w:eastAsia="zh-CN"/>
              </w:rPr>
              <w:br w:type="textWrapping"/>
            </w:r>
            <w:r>
              <w:rPr>
                <w:rFonts w:hint="eastAsia"/>
                <w:sz w:val="24"/>
                <w:szCs w:val="24"/>
                <w:lang w:val="en-US" w:eastAsia="zh-CN"/>
              </w:rPr>
              <w:t>及有关情况说明</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符合企业所得税法第二十四条</w:t>
            </w:r>
            <w:r>
              <w:rPr>
                <w:rFonts w:hint="eastAsia"/>
                <w:sz w:val="24"/>
                <w:szCs w:val="24"/>
                <w:lang w:val="en-US" w:eastAsia="zh-CN"/>
              </w:rPr>
              <w:br w:type="textWrapping"/>
            </w:r>
            <w:r>
              <w:rPr>
                <w:rFonts w:hint="eastAsia"/>
                <w:sz w:val="24"/>
                <w:szCs w:val="24"/>
                <w:lang w:val="en-US" w:eastAsia="zh-CN"/>
              </w:rPr>
              <w:t>条件的有关股权证明的文件或</w:t>
            </w:r>
            <w:r>
              <w:rPr>
                <w:rFonts w:hint="eastAsia"/>
                <w:sz w:val="24"/>
                <w:szCs w:val="24"/>
                <w:lang w:val="en-US" w:eastAsia="zh-CN"/>
              </w:rPr>
              <w:br w:type="textWrapping"/>
            </w:r>
            <w:r>
              <w:rPr>
                <w:rFonts w:hint="eastAsia"/>
                <w:sz w:val="24"/>
                <w:szCs w:val="24"/>
                <w:lang w:val="en-US" w:eastAsia="zh-CN"/>
              </w:rPr>
              <w:t>凭证复印件</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97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跨省、自治区、直辖市和计划 单列市设立的，实行汇总纳税 办法的居民企业（分支机构）</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《汇总纳税企业分支机构所得 税分配表》复印件</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经总机构所在地主管税务机关受理的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《中华人民共和国企业所得税 月（季）度预缴纳税申报表（A</w:t>
            </w:r>
            <w:r>
              <w:rPr>
                <w:rFonts w:hint="eastAsia"/>
                <w:sz w:val="24"/>
                <w:szCs w:val="24"/>
                <w:lang w:val="en-US" w:eastAsia="zh-CN"/>
              </w:rPr>
              <w:br w:type="textWrapping"/>
            </w:r>
            <w:r>
              <w:rPr>
                <w:rFonts w:hint="eastAsia"/>
                <w:sz w:val="24"/>
                <w:szCs w:val="24"/>
                <w:lang w:val="en-US" w:eastAsia="zh-CN"/>
              </w:rPr>
              <w:t>类）》</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不需要报送《中华人民共和国企业所得税年度纳税申报表（A 类，2017 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297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适用《企业所得税法》第 45 条情形或者需要适用《特别纳税调整实施办法（试行）》第 84 条规定的居民企业</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《受控外国企业信息报告表》</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居民企业在办理企业所得税年度申报时，与境外所得相关的纳入企业所得税法第二十四条规定抵免范围的外国企业或符合企业所得税法第四十五条规定的受控外国企业</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《财务报表主表及相关附表》</w:t>
            </w:r>
            <w:r>
              <w:rPr>
                <w:rFonts w:hint="eastAsia"/>
                <w:sz w:val="24"/>
                <w:szCs w:val="24"/>
                <w:lang w:val="en-US" w:eastAsia="zh-CN"/>
              </w:rPr>
              <w:br w:type="textWrapping"/>
            </w:r>
            <w:r>
              <w:rPr>
                <w:rFonts w:hint="eastAsia"/>
                <w:sz w:val="24"/>
                <w:szCs w:val="24"/>
                <w:lang w:val="en-US" w:eastAsia="zh-CN"/>
              </w:rPr>
              <w:t>《会计报表附注》</w:t>
            </w:r>
            <w:r>
              <w:rPr>
                <w:rFonts w:hint="eastAsia"/>
                <w:sz w:val="24"/>
                <w:szCs w:val="24"/>
                <w:lang w:val="en-US" w:eastAsia="zh-CN"/>
              </w:rPr>
              <w:br w:type="textWrapping"/>
            </w:r>
            <w:r>
              <w:rPr>
                <w:rFonts w:hint="eastAsia"/>
                <w:sz w:val="24"/>
                <w:szCs w:val="24"/>
                <w:lang w:val="en-US" w:eastAsia="zh-CN"/>
              </w:rPr>
              <w:t>《财务情况说明书》</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5" w:hRule="atLeast"/>
        </w:trPr>
        <w:tc>
          <w:tcPr>
            <w:tcW w:w="297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居民企业以非货币性资产对外投资确认的非货币性资产 转让所得，在自确认非货币性 资产转让收入年度起不超过 连续 5 个纳税年度的期间内，分期均匀计入相应年度的应纳税所得额的，在非货币性资产转让所得递延确认期间每年企业所得税汇算清缴</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《非货币性资产投资递延纳税 调整明细表》</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97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企业重组业务适用特殊性税务处理申报</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《企业重组所得税特殊性税务 处理报告表及附表》</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为参与开采海上油气资源的中国企业和外国企业在申报当年度企业所得税汇算清缴资料</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《海上油气生产设施弃置费情 况表》</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97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进行特殊性税务处理的股权</w:t>
            </w:r>
            <w:r>
              <w:rPr>
                <w:rFonts w:hint="eastAsia"/>
                <w:sz w:val="24"/>
                <w:szCs w:val="24"/>
                <w:lang w:val="en-US" w:eastAsia="zh-CN"/>
              </w:rPr>
              <w:br w:type="textWrapping"/>
            </w:r>
            <w:r>
              <w:rPr>
                <w:rFonts w:hint="eastAsia"/>
                <w:sz w:val="24"/>
                <w:szCs w:val="24"/>
                <w:lang w:val="en-US" w:eastAsia="zh-CN"/>
              </w:rPr>
              <w:t>或资产划转的交易双方在</w:t>
            </w:r>
            <w:r>
              <w:rPr>
                <w:rFonts w:hint="eastAsia"/>
                <w:sz w:val="24"/>
                <w:szCs w:val="24"/>
                <w:lang w:val="en-US" w:eastAsia="zh-CN"/>
              </w:rPr>
              <w:br w:type="textWrapping"/>
            </w:r>
            <w:r>
              <w:rPr>
                <w:rFonts w:hint="eastAsia"/>
                <w:sz w:val="24"/>
                <w:szCs w:val="24"/>
                <w:lang w:val="en-US" w:eastAsia="zh-CN"/>
              </w:rPr>
              <w:t>年度汇算清缴</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《居民企业资产（股权）划转特 殊性税务处理申报表》</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970"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企业税前扣除手续费及佣金支出</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依法取得合法真实凭证的当年</w:t>
            </w:r>
            <w:r>
              <w:rPr>
                <w:rFonts w:hint="eastAsia"/>
                <w:sz w:val="24"/>
                <w:szCs w:val="24"/>
                <w:lang w:val="en-US" w:eastAsia="zh-CN"/>
              </w:rPr>
              <w:br w:type="textWrapping"/>
            </w:r>
            <w:r>
              <w:rPr>
                <w:rFonts w:hint="eastAsia"/>
                <w:sz w:val="24"/>
                <w:szCs w:val="24"/>
                <w:lang w:val="en-US" w:eastAsia="zh-CN"/>
              </w:rPr>
              <w:t>手续费及佣金计算分配表和其</w:t>
            </w:r>
            <w:r>
              <w:rPr>
                <w:rFonts w:hint="eastAsia"/>
                <w:sz w:val="24"/>
                <w:szCs w:val="24"/>
                <w:lang w:val="en-US" w:eastAsia="zh-CN"/>
              </w:rPr>
              <w:br w:type="textWrapping"/>
            </w:r>
            <w:r>
              <w:rPr>
                <w:rFonts w:hint="eastAsia"/>
                <w:sz w:val="24"/>
                <w:szCs w:val="24"/>
                <w:lang w:val="en-US" w:eastAsia="zh-CN"/>
              </w:rPr>
              <w:t>他相关资料</w:t>
            </w:r>
          </w:p>
        </w:tc>
        <w:tc>
          <w:tcPr>
            <w:tcW w:w="117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33" w:type="dxa"/>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17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733" w:type="dxa"/>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【办理渠道】</w:t>
      </w:r>
      <w:r>
        <w:rPr>
          <w:rFonts w:hint="eastAsia"/>
          <w:sz w:val="24"/>
          <w:szCs w:val="24"/>
          <w:lang w:val="en-US" w:eastAsia="zh-CN"/>
        </w:rPr>
        <w:br w:type="textWrapping"/>
      </w:r>
      <w:r>
        <w:rPr>
          <w:rFonts w:hint="eastAsia"/>
          <w:sz w:val="24"/>
          <w:szCs w:val="24"/>
          <w:lang w:val="en-US" w:eastAsia="zh-CN"/>
        </w:rPr>
        <w:t>    1.办税服务厅(场所)</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default"/>
          <w:sz w:val="24"/>
          <w:szCs w:val="24"/>
          <w:lang w:val="en-US" w:eastAsia="zh-CN"/>
        </w:rPr>
        <w:drawing>
          <wp:inline distT="0" distB="0" distL="114300" distR="114300">
            <wp:extent cx="5276850" cy="1752600"/>
            <wp:effectExtent l="0" t="0" r="0" b="0"/>
            <wp:docPr id="89" name="图片 5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2" descr="IMG_265"/>
                    <pic:cNvPicPr>
                      <a:picLocks noChangeAspect="1"/>
                    </pic:cNvPicPr>
                  </pic:nvPicPr>
                  <pic:blipFill>
                    <a:blip r:embed="rId8"/>
                    <a:stretch>
                      <a:fillRect/>
                    </a:stretch>
                  </pic:blipFill>
                  <pic:spPr>
                    <a:xfrm>
                      <a:off x="0" y="0"/>
                      <a:ext cx="5276850" cy="1752600"/>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3.税务机关提供“最多跑一次”服务。纳税人在资料完整且符合法定受理条 件的前提下，最多只需要到税务机关跑一次。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4.纳税人使用符合电子签名法规定条件的电子签名，与手写签名或者盖章具 有同等法律效力。</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5.纳税人提供的各项资料为复印件的，均需注明“与原件一致”并签章。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6.纳税人未按照规定的期限办理纳税申报和报送纳税资料的，将影响纳税信 用评价结果，并依照《中华人民共和国税收征收管理法》有关规定承担相应法律 责任。</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7.小型微利企业办理 2018 年度及以后年度企业所得税汇算清缴纳税申报时，《中华人民共和国企业所得税年度纳税申报表（A 类）》（A100000）为小型微利企业必填表单。《企业所得税年度纳税申报基础信息表》（A000000）中的“基本经营情况”为小型微利企业必填项目；“有关涉税事项情况”为选填项目，存在或者发生相关事项时小型微利企业必需填报；“主要股东及分红情况”为小型微利企业免填项目。免于填报《一般企业收入明细表》（A101010）、《金融企业收入明细表》（A101020）、《一般企业成本支出明细表》（A102010）、《金融企业支出明细表》（A102020）、《事业单位、民间非营利组织收入、支出明细表》（A103000）、 《期间费用明细表》（A104000）。除前述规定的表单、项目外，小型微利企业可结合自身经营情况，选择表单填报。未发生表单中规定的事项，无需填报。</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8.实行查账征收的居民企业和在中国境内设立机构、场所并据实申报缴纳企 业所得税的非居民企业，向税务机关报送年度企业所得税纳税申报表时，应当就其与关联方之间的业务往来进行关联申报。</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9.居民企业（查账征收）在办理年度申报时在纳税年度内预缴企业所得税税 款少于应缴企业所得税税款的，应在汇算清缴期内结清应补缴的企业所得税税款； 预缴税款超过应纳税款的，及时向主管税务机关按有关规定办理抵缴或退税。</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10.一般企业纳税年度发生的亏损，准予向以后年度结转，用以后年度的所 得弥补，但结转年限最长不得超过 5 年。自 2018 年 1 月 1 日起，当年具备高新 技术企业或科技型中小企业资格的企业，其具备资格年度之前 5 个年度发生的尚未弥补完的亏损，准予结转以后年度弥补，最长结转年限由5 年延长至 10 年。受疫情影响较大的困难行业企业（包括交通运输、餐饮、住宿、旅游行业企业）和电影行业企业 2020 年度发生的亏损，最长结转年限由 5 年延长至 8 年。自 2020 年 1 月 1 日起，国家鼓励的线宽小于 130 纳米(含)的集成电路生产企业，属于国家鼓励的集成电路生产企业清单年度之前 5 个纳税年度发生的尚未弥补完的亏损，准予向以后年度结转，总结转年限最长不得超过 10 年。</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11.纳税人享受减税、免税待遇的，在减税、免税期间应当按照规定办理纳税申报，填写申报表及其附表上的优惠栏目。</w:t>
      </w:r>
    </w:p>
    <w:p>
      <w:pPr>
        <w:pStyle w:val="3"/>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12.对重大税收违法失信案件当事人不适用告知承诺制，重大税收违法失信案件当事人履行相关法定义务，经实施检查的税务机关确认，在公布期届满后可 以适用告知承诺制；其他纳税人存在曾作出虚假承诺情形的，在纠正违法违规行为或者履行相关法定义务之前不适用告知承诺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871EE"/>
    <w:rsid w:val="112F7220"/>
    <w:rsid w:val="3E200E1B"/>
    <w:rsid w:val="6558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2022-11-23T06:25:00Z</dcterms:created>
  <dc:creator>李增梅</dc:creator>
  <cp:lastModifiedBy>汤永生</cp:lastModifiedBy>
  <dcterms:modified xsi:type="dcterms:W3CDTF">2022-11-28T02:08:47Z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