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房地产税收一体化信息报告</w:t>
      </w: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【事项类别】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发起方式：人工发起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适用层级：区县级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【业务概述】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房地产税收一体化相关资料是指房地产税收一体化管理过程中涉及的报送资料，范围有：土地出（转）让信息采集、税源申报明细报告、增量房销售信息采集、存量房销售信息采集等。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1.房地产税收一体化管理，是以涉及房地产各税种日常管理为基础，通过各级税务与自然资源、住房建设、发改委、监察等部门协作，涉税信息共享，先税后证、以票控税、源泉控管，提高房地产税收管理的科学化、精细化、规范化水平的重要举措。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2.房地产税收包括土地使用权取得和房地产开发、交易、保有等环节涉及的增值税、城市维护建设税、教育费附加、企业所得税、个人所得税、土地增值税、城镇土地使用税、房产税、印花税、耕地占用税、契税等税种。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3.范围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（1）土地出（转）让信息采集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在土地出（转）让环节，土地出（转）让方进行相关税种申报时，出让或转让的土地在税务机关没有基础资料的，税务机关应根据纳税人提供的土地出让（转让）合同信息，采集土地出（转）让信息，赋予其土地税源编号；已在税务机关登记过基础资料的土地进行分拆转让的（体现为土地面积发生变化），分拆后的土地重新采集土地出（转）让信息，赋予其新的土地税源编号，同时记录分拆前后土地税源编号的对应关系。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在受理契税纳税申报后，需对该土地税源编号对应的土地出让（转让）合同信息进行检测，若土地出（转）让信息相关合同信息为空时，进行信息补录；未补录的，直接将契税的合同相关信息反写土地出（转）让信息中。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（2）税源申报明细报告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房地产税收一体化管理的土地使用权取得环节、房地产开发环节、房地产交易环节、房地产保有环节四大环节中，在纳税人进行相关税收申报后，对于申报时不能以每宗土地或每个项目或每套房产等进行单独申报的，可进行申报明细信息的补充报告，涉及的税种有印花税、增值税、教育费附加、城市维护建设税、个人所得税、企业所得税、房产税、土地增值税、城镇土地使用税；不论纳税人采用的是分税种申报表还是通用申报表，或者是通过缴款开票直接进行预缴税款，都可以向主管税务机关填报《税源申报明细报告表》，进行税源申报明细报告。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（3）增量房销售信息采集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房地产开发商进行项目税收申报时，应当向税务机关报送房屋销售合同和《增量房销售信息表》，采集相关报送信息后，产生房源编号，同时记录与不动产项目编号关联关系；纳税人已销售房产发生退回的，当期应收房款栏目以负数形式体现。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（4）存量房销售信息采集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纳税人在房产交易相关税收申报时，如果交易的房产之前没有相关信息时，纳税人应向主管税务机关提供交易的房产合同复印件或房产证复印件，记录存量房交易信息，并赋予其房源编号，如同时记录该房屋的土地坐落位置，则赋予其土地税源编号，建立房屋与土地的关联关系。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【资料明细】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房地产税收一体化信息报告报送资料清单  </w:t>
      </w:r>
    </w:p>
    <w:p>
      <w:pPr>
        <w:rPr>
          <w:rFonts w:hint="eastAsia" w:ascii="Calibri" w:hAnsi="Calibri" w:eastAsia="宋体" w:cs="Times New Roman"/>
          <w:kern w:val="0"/>
          <w:sz w:val="24"/>
          <w:szCs w:val="24"/>
          <w:lang w:val="en-US" w:eastAsia="zh-CN" w:bidi="ar"/>
        </w:rPr>
      </w:pP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w:t>
      </w:r>
    </w:p>
    <w:tbl>
      <w:tblPr>
        <w:tblStyle w:val="3"/>
        <w:tblW w:w="4388" w:type="pct"/>
        <w:tblInd w:w="7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55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c>
          <w:tcPr>
            <w:tcW w:w="7553" w:type="dxa"/>
            <w:shd w:val="clear" w:color="auto" w:fill="auto"/>
            <w:tcMar>
              <w:top w:w="75" w:type="dxa"/>
              <w:left w:w="150" w:type="dxa"/>
              <w:bottom w:w="75" w:type="dxa"/>
              <w:right w:w="150" w:type="dxa"/>
            </w:tcMar>
            <w:vAlign w:val="top"/>
          </w:tcPr>
          <w:p>
            <w:pPr>
              <w:keepNext w:val="0"/>
              <w:keepLines w:val="0"/>
              <w:widowControl/>
              <w:suppressLineNumbers w:val="0"/>
              <w:spacing w:before="0" w:beforeAutospacing="0" w:after="15" w:afterAutospacing="0" w:line="24" w:lineRule="atLeast"/>
              <w:ind w:left="0" w:right="0" w:firstLine="420"/>
              <w:jc w:val="left"/>
              <w:textAlignment w:val="auto"/>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房地产税收一体化信息报告报送资料清单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c>
          <w:tcPr>
            <w:tcW w:w="7553" w:type="dxa"/>
            <w:shd w:val="clear" w:color="auto" w:fill="auto"/>
            <w:tcMar>
              <w:top w:w="0" w:type="dxa"/>
              <w:left w:w="0" w:type="dxa"/>
              <w:bottom w:w="0" w:type="dxa"/>
              <w:right w:w="0" w:type="dxa"/>
            </w:tcMar>
            <w:vAlign w:val="top"/>
          </w:tcPr>
          <w:tbl>
            <w:tblPr>
              <w:tblStyle w:val="3"/>
              <w:tblW w:w="5000" w:type="pct"/>
              <w:tblInd w:w="-15"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2"/>
              <w:gridCol w:w="3152"/>
              <w:gridCol w:w="635"/>
              <w:gridCol w:w="635"/>
              <w:gridCol w:w="635"/>
              <w:gridCol w:w="636"/>
              <w:gridCol w:w="636"/>
              <w:gridCol w:w="6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PrEx>
              <w:trPr>
                <w:tblHeader/>
              </w:trPr>
              <w:tc>
                <w:tcPr>
                  <w:tcW w:w="606" w:type="dxa"/>
                  <w:tcBorders>
                    <w:top w:val="single" w:color="auto" w:sz="12" w:space="0"/>
                    <w:left w:val="single" w:color="auto" w:sz="12"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序号</w:t>
                  </w:r>
                </w:p>
              </w:tc>
              <w:tc>
                <w:tcPr>
                  <w:tcW w:w="3561" w:type="dxa"/>
                  <w:tcBorders>
                    <w:top w:val="single" w:color="auto" w:sz="12"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报送资料名称</w:t>
                  </w:r>
                </w:p>
              </w:tc>
              <w:tc>
                <w:tcPr>
                  <w:tcW w:w="669" w:type="dxa"/>
                  <w:tcBorders>
                    <w:top w:val="single" w:color="auto" w:sz="12"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必报</w:t>
                  </w:r>
                </w:p>
              </w:tc>
              <w:tc>
                <w:tcPr>
                  <w:tcW w:w="669" w:type="dxa"/>
                  <w:tcBorders>
                    <w:top w:val="single" w:color="auto" w:sz="12"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条件报送</w:t>
                  </w:r>
                </w:p>
              </w:tc>
              <w:tc>
                <w:tcPr>
                  <w:tcW w:w="669" w:type="dxa"/>
                  <w:tcBorders>
                    <w:top w:val="single" w:color="auto" w:sz="12"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归档</w:t>
                  </w:r>
                </w:p>
              </w:tc>
              <w:tc>
                <w:tcPr>
                  <w:tcW w:w="669" w:type="dxa"/>
                  <w:tcBorders>
                    <w:top w:val="single" w:color="auto" w:sz="12"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查验</w:t>
                  </w:r>
                </w:p>
              </w:tc>
              <w:tc>
                <w:tcPr>
                  <w:tcW w:w="669" w:type="dxa"/>
                  <w:tcBorders>
                    <w:top w:val="single" w:color="auto" w:sz="12"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代保管</w:t>
                  </w:r>
                </w:p>
              </w:tc>
              <w:tc>
                <w:tcPr>
                  <w:tcW w:w="669" w:type="dxa"/>
                  <w:tcBorders>
                    <w:top w:val="single" w:color="auto" w:sz="12" w:space="0"/>
                    <w:left w:val="nil"/>
                    <w:bottom w:val="single" w:color="auto" w:sz="8" w:space="0"/>
                    <w:right w:val="single" w:color="auto" w:sz="12"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核销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PrEx>
              <w:tc>
                <w:tcPr>
                  <w:tcW w:w="606" w:type="dxa"/>
                  <w:tcBorders>
                    <w:top w:val="nil"/>
                    <w:left w:val="single" w:color="auto" w:sz="12"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1</w:t>
                  </w:r>
                </w:p>
              </w:tc>
              <w:tc>
                <w:tcPr>
                  <w:tcW w:w="356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0" w:after="0" w:afterAutospacing="0" w:line="24" w:lineRule="atLeast"/>
                    <w:ind w:left="0" w:right="0"/>
                    <w:jc w:val="left"/>
                    <w:textAlignment w:val="top"/>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fldChar w:fldCharType="begin"/>
                  </w:r>
                  <w:r>
                    <w:rPr>
                      <w:rFonts w:hint="eastAsia" w:ascii="Calibri" w:hAnsi="Calibri" w:eastAsia="宋体" w:cs="Times New Roman"/>
                      <w:kern w:val="0"/>
                      <w:sz w:val="24"/>
                      <w:szCs w:val="24"/>
                      <w:lang w:val="en-US" w:eastAsia="zh-CN" w:bidi="ar"/>
                    </w:rPr>
                    <w:instrText xml:space="preserve"> HYPERLINK "http://100.12.73.26/javascript:method_modal('A06347','zzbdPdf')" </w:instrText>
                  </w:r>
                  <w:r>
                    <w:rPr>
                      <w:rFonts w:hint="eastAsia" w:ascii="Calibri" w:hAnsi="Calibri" w:eastAsia="宋体" w:cs="Times New Roman"/>
                      <w:kern w:val="0"/>
                      <w:sz w:val="24"/>
                      <w:szCs w:val="24"/>
                      <w:lang w:val="en-US" w:eastAsia="zh-CN" w:bidi="ar"/>
                    </w:rPr>
                    <w:fldChar w:fldCharType="separate"/>
                  </w:r>
                  <w:r>
                    <w:rPr>
                      <w:rFonts w:hint="eastAsia" w:ascii="Calibri" w:hAnsi="Calibri" w:eastAsia="宋体" w:cs="Times New Roman"/>
                      <w:kern w:val="0"/>
                      <w:sz w:val="24"/>
                      <w:szCs w:val="24"/>
                      <w:lang w:val="en-US" w:eastAsia="zh-CN" w:bidi="ar"/>
                    </w:rPr>
                    <w:t>A06347《税源申报明细报告表》</w:t>
                  </w:r>
                  <w:r>
                    <w:rPr>
                      <w:rFonts w:hint="eastAsia" w:ascii="Calibri" w:hAnsi="Calibri" w:eastAsia="宋体" w:cs="Times New Roman"/>
                      <w:kern w:val="0"/>
                      <w:sz w:val="24"/>
                      <w:szCs w:val="24"/>
                      <w:lang w:val="en-US" w:eastAsia="zh-CN" w:bidi="ar"/>
                    </w:rPr>
                    <w:fldChar w:fldCharType="end"/>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c>
                <w:tcPr>
                  <w:tcW w:w="669" w:type="dxa"/>
                  <w:tcBorders>
                    <w:top w:val="nil"/>
                    <w:left w:val="nil"/>
                    <w:bottom w:val="single" w:color="auto" w:sz="8" w:space="0"/>
                    <w:right w:val="single" w:color="auto" w:sz="12"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c>
                <w:tcPr>
                  <w:tcW w:w="606" w:type="dxa"/>
                  <w:tcBorders>
                    <w:top w:val="nil"/>
                    <w:left w:val="single" w:color="auto" w:sz="12"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2</w:t>
                  </w:r>
                </w:p>
              </w:tc>
              <w:tc>
                <w:tcPr>
                  <w:tcW w:w="356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0" w:after="0" w:afterAutospacing="0" w:line="24" w:lineRule="atLeast"/>
                    <w:ind w:left="0" w:right="0"/>
                    <w:jc w:val="left"/>
                    <w:textAlignment w:val="top"/>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fldChar w:fldCharType="begin"/>
                  </w:r>
                  <w:r>
                    <w:rPr>
                      <w:rFonts w:hint="eastAsia" w:ascii="Calibri" w:hAnsi="Calibri" w:eastAsia="宋体" w:cs="Times New Roman"/>
                      <w:kern w:val="0"/>
                      <w:sz w:val="24"/>
                      <w:szCs w:val="24"/>
                      <w:lang w:val="en-US" w:eastAsia="zh-CN" w:bidi="ar"/>
                    </w:rPr>
                    <w:instrText xml:space="preserve"> HYPERLINK "http://100.12.73.26/javascript:method_modal('A06539','zzbdPdf')" </w:instrText>
                  </w:r>
                  <w:r>
                    <w:rPr>
                      <w:rFonts w:hint="eastAsia" w:ascii="Calibri" w:hAnsi="Calibri" w:eastAsia="宋体" w:cs="Times New Roman"/>
                      <w:kern w:val="0"/>
                      <w:sz w:val="24"/>
                      <w:szCs w:val="24"/>
                      <w:lang w:val="en-US" w:eastAsia="zh-CN" w:bidi="ar"/>
                    </w:rPr>
                    <w:fldChar w:fldCharType="separate"/>
                  </w:r>
                  <w:r>
                    <w:rPr>
                      <w:rFonts w:hint="eastAsia" w:ascii="Calibri" w:hAnsi="Calibri" w:eastAsia="宋体" w:cs="Times New Roman"/>
                      <w:kern w:val="0"/>
                      <w:sz w:val="24"/>
                      <w:szCs w:val="24"/>
                      <w:lang w:val="en-US" w:eastAsia="zh-CN" w:bidi="ar"/>
                    </w:rPr>
                    <w:t>A06539《增量房销售信息表》</w:t>
                  </w:r>
                  <w:r>
                    <w:rPr>
                      <w:rFonts w:hint="eastAsia" w:ascii="Calibri" w:hAnsi="Calibri" w:eastAsia="宋体" w:cs="Times New Roman"/>
                      <w:kern w:val="0"/>
                      <w:sz w:val="24"/>
                      <w:szCs w:val="24"/>
                      <w:lang w:val="en-US" w:eastAsia="zh-CN" w:bidi="ar"/>
                    </w:rPr>
                    <w:fldChar w:fldCharType="end"/>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c>
                <w:tcPr>
                  <w:tcW w:w="669" w:type="dxa"/>
                  <w:tcBorders>
                    <w:top w:val="nil"/>
                    <w:left w:val="nil"/>
                    <w:bottom w:val="single" w:color="auto" w:sz="8" w:space="0"/>
                    <w:right w:val="single" w:color="auto" w:sz="12"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c>
                <w:tcPr>
                  <w:tcW w:w="606" w:type="dxa"/>
                  <w:tcBorders>
                    <w:top w:val="nil"/>
                    <w:left w:val="single" w:color="auto" w:sz="12"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3</w:t>
                  </w:r>
                </w:p>
              </w:tc>
              <w:tc>
                <w:tcPr>
                  <w:tcW w:w="356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0" w:after="0" w:afterAutospacing="0" w:line="24" w:lineRule="atLeast"/>
                    <w:ind w:left="0" w:right="0"/>
                    <w:jc w:val="left"/>
                    <w:textAlignment w:val="top"/>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fldChar w:fldCharType="begin"/>
                  </w:r>
                  <w:r>
                    <w:rPr>
                      <w:rFonts w:hint="eastAsia" w:ascii="Calibri" w:hAnsi="Calibri" w:eastAsia="宋体" w:cs="Times New Roman"/>
                      <w:kern w:val="0"/>
                      <w:sz w:val="24"/>
                      <w:szCs w:val="24"/>
                      <w:lang w:val="en-US" w:eastAsia="zh-CN" w:bidi="ar"/>
                    </w:rPr>
                    <w:instrText xml:space="preserve"> HYPERLINK "http://100.12.73.26/javascript:method_modal('A06540','zzbdPdf')" </w:instrText>
                  </w:r>
                  <w:r>
                    <w:rPr>
                      <w:rFonts w:hint="eastAsia" w:ascii="Calibri" w:hAnsi="Calibri" w:eastAsia="宋体" w:cs="Times New Roman"/>
                      <w:kern w:val="0"/>
                      <w:sz w:val="24"/>
                      <w:szCs w:val="24"/>
                      <w:lang w:val="en-US" w:eastAsia="zh-CN" w:bidi="ar"/>
                    </w:rPr>
                    <w:fldChar w:fldCharType="separate"/>
                  </w:r>
                  <w:r>
                    <w:rPr>
                      <w:rFonts w:hint="eastAsia" w:ascii="Calibri" w:hAnsi="Calibri" w:eastAsia="宋体" w:cs="Times New Roman"/>
                      <w:kern w:val="0"/>
                      <w:sz w:val="24"/>
                      <w:szCs w:val="24"/>
                      <w:lang w:val="en-US" w:eastAsia="zh-CN" w:bidi="ar"/>
                    </w:rPr>
                    <w:t>A06540《存量房销售信息表》</w:t>
                  </w:r>
                  <w:r>
                    <w:rPr>
                      <w:rFonts w:hint="eastAsia" w:ascii="Calibri" w:hAnsi="Calibri" w:eastAsia="宋体" w:cs="Times New Roman"/>
                      <w:kern w:val="0"/>
                      <w:sz w:val="24"/>
                      <w:szCs w:val="24"/>
                      <w:lang w:val="en-US" w:eastAsia="zh-CN" w:bidi="ar"/>
                    </w:rPr>
                    <w:fldChar w:fldCharType="end"/>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c>
                <w:tcPr>
                  <w:tcW w:w="669" w:type="dxa"/>
                  <w:tcBorders>
                    <w:top w:val="nil"/>
                    <w:left w:val="nil"/>
                    <w:bottom w:val="single" w:color="auto" w:sz="8" w:space="0"/>
                    <w:right w:val="single" w:color="auto" w:sz="12"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c>
                <w:tcPr>
                  <w:tcW w:w="606" w:type="dxa"/>
                  <w:tcBorders>
                    <w:top w:val="nil"/>
                    <w:left w:val="single" w:color="auto" w:sz="12"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4</w:t>
                  </w:r>
                </w:p>
              </w:tc>
              <w:tc>
                <w:tcPr>
                  <w:tcW w:w="356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left"/>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房屋销售合同</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c>
                <w:tcPr>
                  <w:tcW w:w="669" w:type="dxa"/>
                  <w:tcBorders>
                    <w:top w:val="nil"/>
                    <w:left w:val="nil"/>
                    <w:bottom w:val="single" w:color="auto" w:sz="8" w:space="0"/>
                    <w:right w:val="single" w:color="auto" w:sz="12"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c>
                <w:tcPr>
                  <w:tcW w:w="606" w:type="dxa"/>
                  <w:tcBorders>
                    <w:top w:val="nil"/>
                    <w:left w:val="single" w:color="auto" w:sz="12"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5</w:t>
                  </w:r>
                </w:p>
              </w:tc>
              <w:tc>
                <w:tcPr>
                  <w:tcW w:w="356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left"/>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土地出让（转让）合同</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c>
                <w:tcPr>
                  <w:tcW w:w="669" w:type="dxa"/>
                  <w:tcBorders>
                    <w:top w:val="nil"/>
                    <w:left w:val="nil"/>
                    <w:bottom w:val="single" w:color="auto" w:sz="8" w:space="0"/>
                    <w:right w:val="single" w:color="auto" w:sz="12"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c>
                <w:tcPr>
                  <w:tcW w:w="606" w:type="dxa"/>
                  <w:tcBorders>
                    <w:top w:val="nil"/>
                    <w:left w:val="single" w:color="auto" w:sz="12"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6</w:t>
                  </w:r>
                </w:p>
              </w:tc>
              <w:tc>
                <w:tcPr>
                  <w:tcW w:w="356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left"/>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土地出让（转让）合同复印件</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c>
                <w:tcPr>
                  <w:tcW w:w="669" w:type="dxa"/>
                  <w:tcBorders>
                    <w:top w:val="nil"/>
                    <w:left w:val="nil"/>
                    <w:bottom w:val="single" w:color="auto" w:sz="8" w:space="0"/>
                    <w:right w:val="single" w:color="auto" w:sz="12"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c>
                <w:tcPr>
                  <w:tcW w:w="606" w:type="dxa"/>
                  <w:tcBorders>
                    <w:top w:val="nil"/>
                    <w:left w:val="single" w:color="auto" w:sz="12"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7</w:t>
                  </w:r>
                </w:p>
              </w:tc>
              <w:tc>
                <w:tcPr>
                  <w:tcW w:w="356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left"/>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土地使用证复印件</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c>
                <w:tcPr>
                  <w:tcW w:w="669" w:type="dxa"/>
                  <w:tcBorders>
                    <w:top w:val="nil"/>
                    <w:left w:val="nil"/>
                    <w:bottom w:val="single" w:color="auto" w:sz="8" w:space="0"/>
                    <w:right w:val="single" w:color="auto" w:sz="12"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c>
                <w:tcPr>
                  <w:tcW w:w="606" w:type="dxa"/>
                  <w:tcBorders>
                    <w:top w:val="nil"/>
                    <w:left w:val="single" w:color="auto" w:sz="12"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8</w:t>
                  </w:r>
                </w:p>
              </w:tc>
              <w:tc>
                <w:tcPr>
                  <w:tcW w:w="356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left"/>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房屋转让合同复印件</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c>
                <w:tcPr>
                  <w:tcW w:w="669" w:type="dxa"/>
                  <w:tcBorders>
                    <w:top w:val="nil"/>
                    <w:left w:val="nil"/>
                    <w:bottom w:val="single" w:color="auto" w:sz="8" w:space="0"/>
                    <w:right w:val="single" w:color="auto" w:sz="12"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c>
                <w:tcPr>
                  <w:tcW w:w="606" w:type="dxa"/>
                  <w:tcBorders>
                    <w:top w:val="nil"/>
                    <w:left w:val="single" w:color="auto" w:sz="12" w:space="0"/>
                    <w:bottom w:val="single" w:color="auto" w:sz="12"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9</w:t>
                  </w:r>
                </w:p>
              </w:tc>
              <w:tc>
                <w:tcPr>
                  <w:tcW w:w="3561" w:type="dxa"/>
                  <w:tcBorders>
                    <w:top w:val="nil"/>
                    <w:left w:val="nil"/>
                    <w:bottom w:val="single" w:color="auto" w:sz="12"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left"/>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房产证复印件</w:t>
                  </w:r>
                </w:p>
              </w:tc>
              <w:tc>
                <w:tcPr>
                  <w:tcW w:w="669" w:type="dxa"/>
                  <w:tcBorders>
                    <w:top w:val="nil"/>
                    <w:left w:val="nil"/>
                    <w:bottom w:val="single" w:color="auto" w:sz="12"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c>
                <w:tcPr>
                  <w:tcW w:w="669" w:type="dxa"/>
                  <w:tcBorders>
                    <w:top w:val="nil"/>
                    <w:left w:val="nil"/>
                    <w:bottom w:val="single" w:color="auto" w:sz="12"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w:t>
                  </w:r>
                </w:p>
              </w:tc>
              <w:tc>
                <w:tcPr>
                  <w:tcW w:w="669" w:type="dxa"/>
                  <w:tcBorders>
                    <w:top w:val="nil"/>
                    <w:left w:val="nil"/>
                    <w:bottom w:val="single" w:color="auto" w:sz="12"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w:t>
                  </w:r>
                </w:p>
              </w:tc>
              <w:tc>
                <w:tcPr>
                  <w:tcW w:w="669" w:type="dxa"/>
                  <w:tcBorders>
                    <w:top w:val="nil"/>
                    <w:left w:val="nil"/>
                    <w:bottom w:val="single" w:color="auto" w:sz="12"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c>
                <w:tcPr>
                  <w:tcW w:w="669" w:type="dxa"/>
                  <w:tcBorders>
                    <w:top w:val="nil"/>
                    <w:left w:val="nil"/>
                    <w:bottom w:val="single" w:color="auto" w:sz="12"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c>
                <w:tcPr>
                  <w:tcW w:w="669" w:type="dxa"/>
                  <w:tcBorders>
                    <w:top w:val="nil"/>
                    <w:left w:val="nil"/>
                    <w:bottom w:val="single" w:color="auto" w:sz="12" w:space="0"/>
                    <w:right w:val="single" w:color="auto" w:sz="12"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150" w:afterAutospacing="0" w:line="24" w:lineRule="atLeast"/>
                    <w:ind w:left="0" w:right="0"/>
                    <w:jc w:val="cente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w:t>
                  </w:r>
                </w:p>
              </w:tc>
            </w:tr>
          </w:tbl>
          <w:p>
            <w:pPr>
              <w:spacing w:after="150" w:afterAutospacing="0" w:line="24" w:lineRule="atLeast"/>
              <w:ind w:left="0" w:right="0"/>
              <w:jc w:val="center"/>
              <w:textAlignment w:val="top"/>
              <w:rPr>
                <w:rFonts w:hint="eastAsia" w:ascii="Calibri" w:hAnsi="Calibri" w:eastAsia="宋体" w:cs="Times New Roman"/>
                <w:kern w:val="0"/>
                <w:sz w:val="24"/>
                <w:szCs w:val="24"/>
                <w:lang w:val="en-US" w:eastAsia="zh-CN" w:bidi="ar"/>
              </w:rPr>
            </w:pPr>
          </w:p>
        </w:tc>
      </w:tr>
    </w:tbl>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上述条件报送资料的报送条件为：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1．《税源申报明细报告表》的报送条件为报送税源申报明细报告的企业。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2．《增量房销售信息表》、《房屋销售合同》的报送条件为报送增量房销售信息的企业。其中房屋销售合同的报送条件为开发商与购房者初次签订购房合同时。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3．《土地出让（转让）合同》及其复印件、《土地使用证》复印件的报送条件为报送土地出（转）让信息的企业。其中相关资料的报送条件为纳税人进行交易的土地之前未登记的。对于税务机关能够获取相关信息的可取消报送《土地使用证》复印件。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4．《存量房销售信息表》、《房屋转让合同》复印件、《房产证》复印件的报送条件为报送存量房销售信息的企业。其中复印件的报送条件为纳税人进行交易的存量房房产之前未进行过登记的，纳税人需提供房屋合同复印件或房产证复印件。对于税务机关能够获取相关信息的可取消报送复印件。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【办理流程】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房地产税收一体化相关资料流程如下图所示。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drawing>
          <wp:inline distT="0" distB="0" distL="114300" distR="114300">
            <wp:extent cx="5715000" cy="1485900"/>
            <wp:effectExtent l="0" t="0" r="0" b="0"/>
            <wp:docPr id="242" name="图片 13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138" descr="IMG_256"/>
                    <pic:cNvPicPr>
                      <a:picLocks noChangeAspect="1"/>
                    </pic:cNvPicPr>
                  </pic:nvPicPr>
                  <pic:blipFill>
                    <a:blip r:embed="rId4"/>
                    <a:stretch>
                      <a:fillRect/>
                    </a:stretch>
                  </pic:blipFill>
                  <pic:spPr>
                    <a:xfrm>
                      <a:off x="0" y="0"/>
                      <a:ext cx="5715000" cy="1485900"/>
                    </a:xfrm>
                    <a:prstGeom prst="rect">
                      <a:avLst/>
                    </a:prstGeom>
                    <a:noFill/>
                    <a:ln w="9525">
                      <a:noFill/>
                    </a:ln>
                  </pic:spPr>
                </pic:pic>
              </a:graphicData>
            </a:graphic>
          </wp:inline>
        </w:drawing>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w:t>
      </w:r>
    </w:p>
    <w:p>
      <w:pPr>
        <w:rPr>
          <w:rFonts w:hint="eastAsia" w:ascii="Calibri" w:hAnsi="Calibri" w:eastAsia="宋体" w:cs="Times New Roman"/>
          <w:kern w:val="0"/>
          <w:sz w:val="24"/>
          <w:szCs w:val="24"/>
          <w:lang w:val="en-US" w:eastAsia="zh-CN" w:bidi="ar"/>
        </w:rPr>
      </w:pP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房地产税收一体化信息报告流程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【办理规范】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1.受理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（1）纳税人报送资料齐全、符合法定形式，报送资料内容填写符合规定的，受理纳税人申请采集信息。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（2）纳税人提交资料不齐全的，制作《税务事项通知书》（补正内容通知），一次性告知纳税人需补齐补正资料的内容。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（3）纳税人提交资料不符合条件，或纳税人不属于本税务机关管辖范围的，制作《税务事项通知书》（不予受理通知），告知纳税人不予受理的理由。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2.采集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采集房地产税收一体化信息内容，进行异常指标监控，对纳税人发现或税务机关审核发现的错误信息进行修改更正。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3.归档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归档资料为报送资料清单中标注为归档的各项资料。     </w:t>
      </w:r>
    </w:p>
    <w:p>
      <w:pPr>
        <w:rPr>
          <w:rFonts w:hint="eastAsia" w:ascii="Calibri" w:hAnsi="Calibri" w:eastAsia="宋体" w:cs="Times New Roman"/>
          <w:kern w:val="0"/>
          <w:sz w:val="24"/>
          <w:szCs w:val="24"/>
          <w:lang w:val="en-US" w:eastAsia="zh-CN" w:bidi="ar"/>
        </w:rPr>
      </w:pPr>
      <w:r>
        <w:rPr>
          <w:rFonts w:hint="eastAsia" w:ascii="Calibri" w:hAnsi="Calibri" w:eastAsia="宋体" w:cs="Times New Roman"/>
          <w:kern w:val="0"/>
          <w:sz w:val="24"/>
          <w:szCs w:val="24"/>
          <w:lang w:val="en-US" w:eastAsia="zh-CN" w:bidi="ar"/>
        </w:rPr>
        <w:t xml:space="preserve">  4.办结时限  </w:t>
      </w:r>
    </w:p>
    <w:p>
      <w:pPr>
        <w:rPr>
          <w:rFonts w:hint="eastAsia"/>
          <w:sz w:val="24"/>
          <w:szCs w:val="24"/>
          <w:lang w:eastAsia="zh-CN"/>
        </w:rPr>
      </w:pPr>
      <w:r>
        <w:rPr>
          <w:rFonts w:hint="eastAsia" w:ascii="Calibri" w:hAnsi="Calibri" w:eastAsia="宋体" w:cs="Times New Roman"/>
          <w:kern w:val="0"/>
          <w:sz w:val="24"/>
          <w:szCs w:val="24"/>
          <w:lang w:val="en-US" w:eastAsia="zh-CN" w:bidi="ar"/>
        </w:rPr>
        <w:t xml:space="preserve">  本事项即时办结。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办理地点：青海省海南藏族自治州共和县贵南东路政务中心一楼A1、A2窗口。</w:t>
      </w:r>
      <w:bookmarkStart w:id="0" w:name="_GoBack"/>
      <w:bookmarkEnd w:id="0"/>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A0723"/>
    <w:rsid w:val="3547058C"/>
    <w:rsid w:val="5BDA0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2022-11-23T03:27:00Z</dcterms:created>
  <dc:creator>李增梅</dc:creator>
  <cp:lastModifiedBy>汤永生</cp:lastModifiedBy>
  <dcterms:modified xsi:type="dcterms:W3CDTF">2022-11-28T02:01:38Z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