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定期定额户自行申报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定期定额户自行申报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实行定期定额征税的个体工商户依照税收法律法规及相关规定确定的申报期限、申报内容，填报《定期定额纳税申报表》及其他相关资料，向主管税务机关进行纳税申报。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2. 《个体工商户税收定期定额征收管理办法》（国家税务总局令第 16 号公布，国家税务总局令第 44 号修改）第九条第一款、第十二条、第十七条第二款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69"/>
        <w:gridCol w:w="1665"/>
        <w:gridCol w:w="2780"/>
        <w:gridCol w:w="675"/>
        <w:gridCol w:w="2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trPr>
        <w:tc>
          <w:tcPr>
            <w:tcW w:w="67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trPr>
        <w:tc>
          <w:tcPr>
            <w:tcW w:w="67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《定期定额纳税申报表》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trPr>
        <w:tc>
          <w:tcPr>
            <w:tcW w:w="8162"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44" w:hRule="atLeast"/>
        </w:trPr>
        <w:tc>
          <w:tcPr>
            <w:tcW w:w="2380"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83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trPr>
        <w:tc>
          <w:tcPr>
            <w:tcW w:w="2380"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税控收款机的纳税人</w:t>
            </w:r>
          </w:p>
        </w:tc>
        <w:tc>
          <w:tcPr>
            <w:tcW w:w="28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税控收款机用户卡</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jc w:val="center"/>
        </w:trPr>
        <w:tc>
          <w:tcPr>
            <w:tcW w:w="1815"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10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定期定额户出现不适用简易申报、因未签署三方协议不能简易申报、简易申报失败后由纳税人自行申报、未达起征点双定户达到起征点后申报、超定额申报等情形时，应按照税收法律法规及相关规定，向税务机关办理申报纳税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6. 定期定额户应当自行申报经营情况，对未按照规定期限自行申报的，税务机关可以不经过自行申报程序，按照《个体工商户税收定期定额征收管理办法》（国家税务总局令第 </w:t>
      </w:r>
      <w:r>
        <w:rPr>
          <w:rFonts w:hint="default"/>
          <w:sz w:val="24"/>
          <w:szCs w:val="24"/>
          <w:lang w:val="en-US" w:eastAsia="zh-CN"/>
        </w:rPr>
        <w:t>16 </w:t>
      </w:r>
      <w:r>
        <w:rPr>
          <w:rFonts w:hint="eastAsia"/>
          <w:sz w:val="24"/>
          <w:szCs w:val="24"/>
          <w:lang w:val="en-US" w:eastAsia="zh-CN"/>
        </w:rPr>
        <w:t>号公布，国家税务总局令第 </w:t>
      </w:r>
      <w:r>
        <w:rPr>
          <w:rFonts w:hint="default"/>
          <w:sz w:val="24"/>
          <w:szCs w:val="24"/>
          <w:lang w:val="en-US" w:eastAsia="zh-CN"/>
        </w:rPr>
        <w:t>44 </w:t>
      </w:r>
      <w:r>
        <w:rPr>
          <w:rFonts w:hint="eastAsia"/>
          <w:sz w:val="24"/>
          <w:szCs w:val="24"/>
          <w:lang w:val="en-US" w:eastAsia="zh-CN"/>
        </w:rPr>
        <w:t>号修改）第七条规定的方法核定其定额。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定期定额个体工商户的定额与发票开具金额或税控收款机记录数据比对后，超过定额的经营额、所得额所应缴纳的税款；在税务机关核定定额的经营地点以外从事经营活动所应缴纳的税款，应当向税务机关办理相关纳税事宜。</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8. 对实行简并征期的定期定额户，其按照定额所应缴纳的税款在规定的期限内申报纳税不加收滞纳金。</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9. 定期定额户当期发生的经营额、所得额超过定额一定幅度的，应当在法律、行政法规规定的申报期限内向税务机关进行申报并缴清税款。具体幅度由省税务机关确定。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F0791"/>
    <w:rsid w:val="13CC7C79"/>
    <w:rsid w:val="32AF0791"/>
    <w:rsid w:val="6C63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2022-11-23T06:38:00Z</dcterms:created>
  <dc:creator>李增梅</dc:creator>
  <cp:lastModifiedBy>汤永生</cp:lastModifiedBy>
  <dcterms:modified xsi:type="dcterms:W3CDTF">2022-11-28T01:59:59Z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