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r>
        <w:rPr>
          <w:rFonts w:hint="eastAsia"/>
          <w:lang w:eastAsia="zh-CN"/>
        </w:rPr>
        <w:t>事项编码：</w:t>
      </w:r>
    </w:p>
    <w:p>
      <w:pPr>
        <w:rPr>
          <w:rFonts w:hint="eastAsia"/>
        </w:rPr>
      </w:pPr>
      <w:r>
        <w:rPr>
          <w:rFonts w:hint="eastAsia"/>
        </w:rPr>
        <w:t>事项类别：</w:t>
      </w:r>
    </w:p>
    <w:p>
      <w:pPr>
        <w:rPr>
          <w:rFonts w:hint="eastAsia"/>
        </w:rPr>
      </w:pPr>
    </w:p>
    <w:p>
      <w:pPr>
        <w:rPr>
          <w:rFonts w:hint="eastAsia"/>
        </w:rPr>
      </w:pPr>
    </w:p>
    <w:p>
      <w:pPr>
        <w:rPr>
          <w:rFonts w:hint="eastAsia"/>
        </w:rPr>
      </w:pPr>
    </w:p>
    <w:p>
      <w:pPr>
        <w:spacing w:line="800" w:lineRule="exact"/>
        <w:jc w:val="center"/>
        <w:rPr>
          <w:rFonts w:hint="eastAsia"/>
          <w:b/>
          <w:bCs/>
          <w:sz w:val="52"/>
          <w:szCs w:val="52"/>
        </w:rPr>
      </w:pPr>
      <w:r>
        <w:rPr>
          <w:rFonts w:hint="eastAsia"/>
          <w:b/>
          <w:bCs/>
          <w:sz w:val="52"/>
          <w:szCs w:val="52"/>
          <w:lang w:eastAsia="zh-CN"/>
        </w:rPr>
        <w:t>存款账户账号报告</w:t>
      </w:r>
    </w:p>
    <w:p>
      <w:pPr>
        <w:spacing w:line="800" w:lineRule="exact"/>
        <w:jc w:val="center"/>
        <w:rPr>
          <w:rFonts w:hint="eastAsia" w:ascii="宋体" w:hAnsi="宋体"/>
          <w:b/>
          <w:bCs/>
          <w:sz w:val="52"/>
          <w:szCs w:val="52"/>
        </w:rPr>
      </w:pPr>
    </w:p>
    <w:p>
      <w:pPr>
        <w:spacing w:line="800" w:lineRule="exact"/>
        <w:jc w:val="center"/>
        <w:rPr>
          <w:rFonts w:hint="eastAsia"/>
          <w:b/>
          <w:bCs/>
          <w:sz w:val="52"/>
          <w:szCs w:val="52"/>
        </w:rPr>
      </w:pPr>
    </w:p>
    <w:p>
      <w:pPr>
        <w:spacing w:line="800" w:lineRule="exact"/>
        <w:jc w:val="center"/>
        <w:rPr>
          <w:rFonts w:hint="eastAsia"/>
          <w:b/>
          <w:bCs/>
          <w:sz w:val="52"/>
          <w:szCs w:val="52"/>
        </w:rPr>
      </w:pPr>
    </w:p>
    <w:p>
      <w:pPr>
        <w:spacing w:line="800" w:lineRule="exact"/>
        <w:jc w:val="center"/>
        <w:rPr>
          <w:rFonts w:hint="eastAsia"/>
          <w:b/>
          <w:bCs/>
          <w:sz w:val="52"/>
          <w:szCs w:val="52"/>
        </w:rPr>
      </w:pPr>
      <w:r>
        <w:rPr>
          <w:rFonts w:hint="eastAsia"/>
          <w:b/>
          <w:bCs/>
          <w:sz w:val="52"/>
          <w:szCs w:val="52"/>
        </w:rPr>
        <w:t>办</w:t>
      </w:r>
    </w:p>
    <w:p>
      <w:pPr>
        <w:spacing w:line="800" w:lineRule="exact"/>
        <w:jc w:val="center"/>
        <w:rPr>
          <w:rFonts w:hint="eastAsia"/>
          <w:b/>
          <w:bCs/>
          <w:sz w:val="52"/>
          <w:szCs w:val="52"/>
        </w:rPr>
      </w:pPr>
      <w:r>
        <w:rPr>
          <w:rFonts w:hint="eastAsia"/>
          <w:b/>
          <w:bCs/>
          <w:sz w:val="52"/>
          <w:szCs w:val="52"/>
        </w:rPr>
        <w:t>事</w:t>
      </w:r>
    </w:p>
    <w:p>
      <w:pPr>
        <w:spacing w:line="800" w:lineRule="exact"/>
        <w:jc w:val="center"/>
        <w:rPr>
          <w:rFonts w:hint="eastAsia"/>
          <w:b/>
          <w:bCs/>
          <w:sz w:val="52"/>
          <w:szCs w:val="52"/>
        </w:rPr>
      </w:pPr>
      <w:r>
        <w:rPr>
          <w:rFonts w:hint="eastAsia"/>
          <w:b/>
          <w:bCs/>
          <w:sz w:val="52"/>
          <w:szCs w:val="52"/>
        </w:rPr>
        <w:t>指</w:t>
      </w:r>
    </w:p>
    <w:p>
      <w:pPr>
        <w:spacing w:line="800" w:lineRule="exact"/>
        <w:jc w:val="center"/>
        <w:rPr>
          <w:rFonts w:hint="eastAsia"/>
          <w:b/>
          <w:bCs/>
          <w:sz w:val="52"/>
          <w:szCs w:val="52"/>
        </w:rPr>
      </w:pPr>
      <w:r>
        <w:rPr>
          <w:rFonts w:hint="eastAsia"/>
          <w:b/>
          <w:bCs/>
          <w:sz w:val="52"/>
          <w:szCs w:val="52"/>
        </w:rPr>
        <w:t>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center"/>
        <w:rPr>
          <w:rFonts w:hint="eastAsia"/>
        </w:rPr>
      </w:pPr>
    </w:p>
    <w:p>
      <w:pPr>
        <w:widowControl/>
        <w:jc w:val="center"/>
        <w:rPr>
          <w:rFonts w:hint="eastAsia" w:ascii="黑体" w:hAnsi="黑体" w:eastAsia="黑体" w:cs="黑体"/>
          <w:b/>
          <w:bCs/>
          <w:color w:val="333333"/>
          <w:sz w:val="36"/>
          <w:szCs w:val="36"/>
          <w:shd w:val="clear" w:color="auto" w:fill="FFFFFF"/>
        </w:rPr>
      </w:pPr>
    </w:p>
    <w:p>
      <w:pPr>
        <w:widowControl/>
        <w:jc w:val="center"/>
        <w:rPr>
          <w:rFonts w:hint="eastAsia" w:ascii="黑体" w:hAnsi="黑体" w:eastAsia="黑体" w:cs="黑体"/>
          <w:b/>
          <w:bCs/>
          <w:color w:val="333333"/>
          <w:sz w:val="36"/>
          <w:szCs w:val="36"/>
          <w:shd w:val="clear" w:color="auto" w:fill="FFFFFF"/>
        </w:rPr>
      </w:pPr>
    </w:p>
    <w:p>
      <w:pPr>
        <w:widowControl/>
        <w:jc w:val="center"/>
        <w:rPr>
          <w:rFonts w:hint="eastAsia" w:ascii="黑体" w:hAnsi="黑体" w:eastAsia="黑体" w:cs="黑体"/>
          <w:b/>
          <w:bCs/>
          <w:sz w:val="36"/>
          <w:szCs w:val="36"/>
        </w:rPr>
      </w:pPr>
      <w:r>
        <w:rPr>
          <w:rFonts w:hint="eastAsia" w:ascii="黑体" w:hAnsi="黑体" w:eastAsia="黑体" w:cs="黑体"/>
          <w:b/>
          <w:bCs/>
          <w:color w:val="333333"/>
          <w:sz w:val="36"/>
          <w:szCs w:val="36"/>
          <w:shd w:val="clear" w:color="auto" w:fill="FFFFFF"/>
          <w:lang w:eastAsia="zh-CN"/>
        </w:rPr>
        <w:t>国家税务总局共和县税务</w:t>
      </w:r>
      <w:r>
        <w:rPr>
          <w:rFonts w:hint="eastAsia" w:ascii="黑体" w:hAnsi="黑体" w:eastAsia="黑体" w:cs="黑体"/>
          <w:b/>
          <w:bCs/>
          <w:color w:val="333333"/>
          <w:sz w:val="36"/>
          <w:szCs w:val="36"/>
          <w:shd w:val="clear" w:color="auto" w:fill="FFFFFF"/>
        </w:rPr>
        <w:t>局  发布</w:t>
      </w:r>
    </w:p>
    <w:p>
      <w:pPr>
        <w:rPr>
          <w:rFonts w:hint="eastAsia"/>
        </w:rPr>
      </w:pPr>
    </w:p>
    <w:p>
      <w:pPr>
        <w:rPr>
          <w:rFonts w:hint="eastAsia"/>
        </w:rPr>
      </w:pPr>
    </w:p>
    <w:p>
      <w:pPr>
        <w:rPr>
          <w:rFonts w:hint="eastAsia"/>
        </w:rPr>
      </w:pPr>
    </w:p>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【事项类别】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发起方式：人工发起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适用层级：区县级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【业务概述】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纳税人完成信息确认或税务登记后，按照法律法规的规定，及时将存款账户账号信息向主管税务机关报告：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1.从事生产、经营的纳税人应当自开立基本存款账户或者其他存款账户之日起15日内，向主管税务机关书面报告其全部账号；发生变化的，应当自发生变化之日起15日内，向主管税务机关书面报告。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2.本业务也适用于存款账户账号的变更。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【资料明细】【事项类别】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发起方式：人工发起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适用层级：区县级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【业务概述】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纳税人完成信息确认或税务登记后，按照法律法规的规定，及时将存款账户账号信息向主管税务机关报告：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1.从事生产、经营的纳税人应当自开立基本存款账户或者其他存款账户之日起15日内，向主管税务机关书面报告其全部账号；发生变化的，应当自发生变化之日起15日内，向主管税务机关书面报告。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2.本业务也适用于存款账户账号的变更。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【资料明细】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存款账户账号报告报送资料清单</w:t>
      </w:r>
    </w:p>
    <w:tbl>
      <w:tblPr>
        <w:tblStyle w:val="3"/>
        <w:tblW w:w="8387" w:type="dxa"/>
        <w:tblInd w:w="7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8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c>
          <w:tcPr>
            <w:tcW w:w="8387" w:type="dxa"/>
            <w:shd w:val="clear" w:color="auto" w:fill="auto"/>
            <w:tcMar>
              <w:top w:w="75" w:type="dxa"/>
              <w:left w:w="150" w:type="dxa"/>
              <w:bottom w:w="75" w:type="dxa"/>
              <w:right w:w="150" w:type="dxa"/>
            </w:tcMar>
            <w:vAlign w:val="top"/>
          </w:tcPr>
          <w:p>
            <w:pPr>
              <w:keepNext w:val="0"/>
              <w:keepLines w:val="0"/>
              <w:widowControl/>
              <w:suppressLineNumbers w:val="0"/>
              <w:spacing w:before="0" w:beforeAutospacing="0" w:after="15" w:afterAutospacing="0"/>
              <w:ind w:left="0" w:right="0" w:firstLine="420"/>
              <w:jc w:val="left"/>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lang w:val="en-US" w:eastAsia="zh-CN" w:bidi="ar"/>
              </w:rPr>
              <w:t>存款账户账号报告报送资料清单</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8387" w:type="dxa"/>
            <w:shd w:val="clear" w:color="auto" w:fill="auto"/>
            <w:tcMar>
              <w:top w:w="0" w:type="dxa"/>
              <w:left w:w="0" w:type="dxa"/>
              <w:bottom w:w="0" w:type="dxa"/>
              <w:right w:w="0" w:type="dxa"/>
            </w:tcMar>
            <w:vAlign w:val="center"/>
          </w:tcPr>
          <w:tbl>
            <w:tblPr>
              <w:tblStyle w:val="3"/>
              <w:tblW w:w="11760" w:type="dxa"/>
              <w:tblInd w:w="-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79"/>
              <w:gridCol w:w="3365"/>
              <w:gridCol w:w="516"/>
              <w:gridCol w:w="1084"/>
              <w:gridCol w:w="566"/>
              <w:gridCol w:w="617"/>
              <w:gridCol w:w="700"/>
              <w:gridCol w:w="40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79" w:type="dxa"/>
                  <w:tcBorders>
                    <w:top w:val="single" w:color="auto" w:sz="12" w:space="0"/>
                    <w:left w:val="single" w:color="auto" w:sz="12"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Fonts w:hint="eastAsia" w:ascii="宋体" w:hAnsi="宋体" w:eastAsia="宋体" w:cs="宋体"/>
                      <w:b/>
                      <w:bCs/>
                      <w:color w:val="333333"/>
                      <w:kern w:val="0"/>
                      <w:sz w:val="18"/>
                      <w:szCs w:val="18"/>
                      <w:lang w:val="en-US" w:eastAsia="zh-CN" w:bidi="ar"/>
                    </w:rPr>
                    <w:t>序号</w:t>
                  </w:r>
                </w:p>
              </w:tc>
              <w:tc>
                <w:tcPr>
                  <w:tcW w:w="3365" w:type="dxa"/>
                  <w:tcBorders>
                    <w:top w:val="single" w:color="auto" w:sz="12"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402"/>
                    <w:jc w:val="left"/>
                  </w:pPr>
                  <w:r>
                    <w:rPr>
                      <w:rFonts w:hint="eastAsia" w:ascii="宋体" w:hAnsi="宋体" w:eastAsia="宋体" w:cs="宋体"/>
                      <w:b/>
                      <w:bCs/>
                      <w:color w:val="333333"/>
                      <w:kern w:val="0"/>
                      <w:sz w:val="18"/>
                      <w:szCs w:val="18"/>
                      <w:lang w:val="en-US" w:eastAsia="zh-CN" w:bidi="ar"/>
                    </w:rPr>
                    <w:t>报送资料名称</w:t>
                  </w:r>
                </w:p>
              </w:tc>
              <w:tc>
                <w:tcPr>
                  <w:tcW w:w="516" w:type="dxa"/>
                  <w:tcBorders>
                    <w:top w:val="single" w:color="auto" w:sz="12"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Fonts w:hint="eastAsia" w:ascii="宋体" w:hAnsi="宋体" w:eastAsia="宋体" w:cs="宋体"/>
                      <w:b/>
                      <w:bCs/>
                      <w:color w:val="333333"/>
                      <w:kern w:val="0"/>
                      <w:sz w:val="18"/>
                      <w:szCs w:val="18"/>
                      <w:lang w:val="en-US" w:eastAsia="zh-CN" w:bidi="ar"/>
                    </w:rPr>
                    <w:t>必报</w:t>
                  </w:r>
                </w:p>
              </w:tc>
              <w:tc>
                <w:tcPr>
                  <w:tcW w:w="1084" w:type="dxa"/>
                  <w:tcBorders>
                    <w:top w:val="single" w:color="auto" w:sz="12"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Fonts w:hint="eastAsia" w:ascii="宋体" w:hAnsi="宋体" w:eastAsia="宋体" w:cs="宋体"/>
                      <w:b/>
                      <w:bCs/>
                      <w:color w:val="333333"/>
                      <w:kern w:val="0"/>
                      <w:sz w:val="18"/>
                      <w:szCs w:val="18"/>
                      <w:lang w:val="en-US" w:eastAsia="zh-CN" w:bidi="ar"/>
                    </w:rPr>
                    <w:t>条件报送</w:t>
                  </w:r>
                </w:p>
              </w:tc>
              <w:tc>
                <w:tcPr>
                  <w:tcW w:w="566" w:type="dxa"/>
                  <w:tcBorders>
                    <w:top w:val="single" w:color="auto" w:sz="12"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Fonts w:hint="eastAsia" w:ascii="宋体" w:hAnsi="宋体" w:eastAsia="宋体" w:cs="宋体"/>
                      <w:b/>
                      <w:bCs/>
                      <w:color w:val="333333"/>
                      <w:kern w:val="0"/>
                      <w:sz w:val="18"/>
                      <w:szCs w:val="18"/>
                      <w:lang w:val="en-US" w:eastAsia="zh-CN" w:bidi="ar"/>
                    </w:rPr>
                    <w:t>归档</w:t>
                  </w:r>
                </w:p>
              </w:tc>
              <w:tc>
                <w:tcPr>
                  <w:tcW w:w="617" w:type="dxa"/>
                  <w:tcBorders>
                    <w:top w:val="single" w:color="auto" w:sz="12"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Fonts w:hint="eastAsia" w:ascii="宋体" w:hAnsi="宋体" w:eastAsia="宋体" w:cs="宋体"/>
                      <w:b/>
                      <w:bCs/>
                      <w:color w:val="333333"/>
                      <w:kern w:val="0"/>
                      <w:sz w:val="18"/>
                      <w:szCs w:val="18"/>
                      <w:lang w:val="en-US" w:eastAsia="zh-CN" w:bidi="ar"/>
                    </w:rPr>
                    <w:t>查验</w:t>
                  </w:r>
                </w:p>
              </w:tc>
              <w:tc>
                <w:tcPr>
                  <w:tcW w:w="700" w:type="dxa"/>
                  <w:tcBorders>
                    <w:top w:val="single" w:color="auto" w:sz="12"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Fonts w:hint="eastAsia" w:ascii="宋体" w:hAnsi="宋体" w:eastAsia="宋体" w:cs="宋体"/>
                      <w:b/>
                      <w:bCs/>
                      <w:color w:val="333333"/>
                      <w:kern w:val="0"/>
                      <w:sz w:val="18"/>
                      <w:szCs w:val="18"/>
                      <w:lang w:val="en-US" w:eastAsia="zh-CN" w:bidi="ar"/>
                    </w:rPr>
                    <w:t>代保管</w:t>
                  </w:r>
                </w:p>
              </w:tc>
              <w:tc>
                <w:tcPr>
                  <w:tcW w:w="4033" w:type="dxa"/>
                  <w:tcBorders>
                    <w:top w:val="single" w:color="auto" w:sz="12" w:space="0"/>
                    <w:left w:val="nil"/>
                    <w:bottom w:val="single" w:color="auto" w:sz="8" w:space="0"/>
                    <w:right w:val="single" w:color="auto"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Fonts w:hint="eastAsia" w:ascii="宋体" w:hAnsi="宋体" w:eastAsia="宋体" w:cs="宋体"/>
                      <w:b/>
                      <w:bCs/>
                      <w:color w:val="333333"/>
                      <w:kern w:val="0"/>
                      <w:sz w:val="18"/>
                      <w:szCs w:val="18"/>
                      <w:lang w:val="en-US" w:eastAsia="zh-CN" w:bidi="ar"/>
                    </w:rPr>
                    <w:t>核销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879" w:type="dxa"/>
                  <w:tcBorders>
                    <w:top w:val="nil"/>
                    <w:left w:val="single" w:color="auto" w:sz="12"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1</w:t>
                  </w:r>
                </w:p>
              </w:tc>
              <w:tc>
                <w:tcPr>
                  <w:tcW w:w="33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b w:val="0"/>
                      <w:bCs w:val="0"/>
                      <w:color w:val="0066CC"/>
                      <w:kern w:val="0"/>
                      <w:sz w:val="18"/>
                      <w:szCs w:val="18"/>
                      <w:u w:val="none"/>
                      <w:lang w:val="en-US" w:eastAsia="zh-CN" w:bidi="ar"/>
                    </w:rPr>
                    <w:fldChar w:fldCharType="begin"/>
                  </w:r>
                  <w:r>
                    <w:rPr>
                      <w:rFonts w:hint="eastAsia" w:ascii="微软雅黑" w:hAnsi="微软雅黑" w:eastAsia="微软雅黑" w:cs="微软雅黑"/>
                      <w:b w:val="0"/>
                      <w:bCs w:val="0"/>
                      <w:color w:val="0066CC"/>
                      <w:kern w:val="0"/>
                      <w:sz w:val="18"/>
                      <w:szCs w:val="18"/>
                      <w:u w:val="none"/>
                      <w:lang w:val="en-US" w:eastAsia="zh-CN" w:bidi="ar"/>
                    </w:rPr>
                    <w:instrText xml:space="preserve"> HYPERLINK "http://100.12.73.26/javascript:method_modal('A01037','zzbdPdf')" </w:instrText>
                  </w:r>
                  <w:r>
                    <w:rPr>
                      <w:rFonts w:hint="eastAsia" w:ascii="微软雅黑" w:hAnsi="微软雅黑" w:eastAsia="微软雅黑" w:cs="微软雅黑"/>
                      <w:b w:val="0"/>
                      <w:bCs w:val="0"/>
                      <w:color w:val="0066CC"/>
                      <w:kern w:val="0"/>
                      <w:sz w:val="18"/>
                      <w:szCs w:val="18"/>
                      <w:u w:val="none"/>
                      <w:lang w:val="en-US" w:eastAsia="zh-CN" w:bidi="ar"/>
                    </w:rPr>
                    <w:fldChar w:fldCharType="separate"/>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Style w:val="5"/>
                      <w:rFonts w:hint="eastAsia" w:ascii="宋体" w:hAnsi="宋体" w:eastAsia="宋体" w:cs="宋体"/>
                      <w:b w:val="0"/>
                      <w:bCs w:val="0"/>
                      <w:color w:val="0066CC"/>
                      <w:sz w:val="18"/>
                      <w:szCs w:val="18"/>
                      <w:u w:val="none"/>
                      <w:lang w:val="en-US"/>
                    </w:rPr>
                    <w:t>A01037</w:t>
                  </w:r>
                  <w:r>
                    <w:rPr>
                      <w:rStyle w:val="5"/>
                      <w:rFonts w:hint="eastAsia" w:ascii="宋体" w:hAnsi="宋体" w:eastAsia="宋体" w:cs="宋体"/>
                      <w:b w:val="0"/>
                      <w:bCs w:val="0"/>
                      <w:color w:val="0066CC"/>
                      <w:sz w:val="18"/>
                      <w:szCs w:val="18"/>
                      <w:u w:val="none"/>
                    </w:rPr>
                    <w:t>《纳税人存款账户账号报告表》</w:t>
                  </w:r>
                </w:p>
                <w:p>
                  <w:pPr>
                    <w:keepNext w:val="0"/>
                    <w:keepLines w:val="0"/>
                    <w:widowControl/>
                    <w:suppressLineNumbers w:val="0"/>
                    <w:jc w:val="left"/>
                  </w:pPr>
                  <w:r>
                    <w:rPr>
                      <w:rFonts w:hint="eastAsia" w:ascii="微软雅黑" w:hAnsi="微软雅黑" w:eastAsia="微软雅黑" w:cs="微软雅黑"/>
                      <w:b w:val="0"/>
                      <w:bCs w:val="0"/>
                      <w:color w:val="0066CC"/>
                      <w:kern w:val="0"/>
                      <w:sz w:val="18"/>
                      <w:szCs w:val="18"/>
                      <w:u w:val="none"/>
                      <w:lang w:val="en-US" w:eastAsia="zh-CN" w:bidi="ar"/>
                    </w:rPr>
                    <w:fldChar w:fldCharType="end"/>
                  </w:r>
                </w:p>
              </w:tc>
              <w:tc>
                <w:tcPr>
                  <w:tcW w:w="5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c>
                <w:tcPr>
                  <w:tcW w:w="5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w:t>
                  </w: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c>
                <w:tcPr>
                  <w:tcW w:w="4033" w:type="dxa"/>
                  <w:tcBorders>
                    <w:top w:val="nil"/>
                    <w:left w:val="nil"/>
                    <w:bottom w:val="single" w:color="auto" w:sz="8" w:space="0"/>
                    <w:right w:val="single" w:color="auto"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trPr>
              <w:tc>
                <w:tcPr>
                  <w:tcW w:w="879" w:type="dxa"/>
                  <w:tcBorders>
                    <w:top w:val="nil"/>
                    <w:left w:val="single" w:color="auto" w:sz="12"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2</w:t>
                  </w:r>
                </w:p>
              </w:tc>
              <w:tc>
                <w:tcPr>
                  <w:tcW w:w="33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Fonts w:hint="eastAsia" w:ascii="宋体" w:hAnsi="宋体" w:eastAsia="宋体" w:cs="宋体"/>
                      <w:color w:val="333333"/>
                      <w:kern w:val="0"/>
                      <w:sz w:val="18"/>
                      <w:szCs w:val="18"/>
                      <w:lang w:val="en-US" w:eastAsia="zh-CN" w:bidi="ar"/>
                    </w:rPr>
                    <w:t>账户、账号开立证明复印件</w:t>
                  </w:r>
                </w:p>
              </w:tc>
              <w:tc>
                <w:tcPr>
                  <w:tcW w:w="5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w:t>
                  </w:r>
                </w:p>
              </w:tc>
              <w:tc>
                <w:tcPr>
                  <w:tcW w:w="5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w:t>
                  </w: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c>
                <w:tcPr>
                  <w:tcW w:w="4033" w:type="dxa"/>
                  <w:tcBorders>
                    <w:top w:val="nil"/>
                    <w:left w:val="nil"/>
                    <w:bottom w:val="single" w:color="auto" w:sz="8" w:space="0"/>
                    <w:right w:val="single" w:color="auto"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trPr>
              <w:tc>
                <w:tcPr>
                  <w:tcW w:w="879" w:type="dxa"/>
                  <w:tcBorders>
                    <w:top w:val="nil"/>
                    <w:left w:val="single" w:color="auto" w:sz="12" w:space="0"/>
                    <w:bottom w:val="single" w:color="auto" w:sz="12"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3</w:t>
                  </w:r>
                </w:p>
              </w:tc>
              <w:tc>
                <w:tcPr>
                  <w:tcW w:w="3365" w:type="dxa"/>
                  <w:tcBorders>
                    <w:top w:val="nil"/>
                    <w:left w:val="nil"/>
                    <w:bottom w:val="single" w:color="auto" w:sz="12"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pPr>
                  <w:r>
                    <w:rPr>
                      <w:rFonts w:hint="eastAsia" w:ascii="宋体" w:hAnsi="宋体" w:eastAsia="宋体" w:cs="宋体"/>
                      <w:color w:val="333333"/>
                      <w:kern w:val="0"/>
                      <w:sz w:val="18"/>
                      <w:szCs w:val="18"/>
                      <w:lang w:val="en-US" w:eastAsia="zh-CN" w:bidi="ar"/>
                    </w:rPr>
                    <w:t>《社会保险费缴费人存款账户账号报告表》</w:t>
                  </w:r>
                </w:p>
              </w:tc>
              <w:tc>
                <w:tcPr>
                  <w:tcW w:w="516" w:type="dxa"/>
                  <w:tcBorders>
                    <w:top w:val="nil"/>
                    <w:left w:val="nil"/>
                    <w:bottom w:val="single" w:color="auto" w:sz="12"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c>
                <w:tcPr>
                  <w:tcW w:w="1084" w:type="dxa"/>
                  <w:tcBorders>
                    <w:top w:val="nil"/>
                    <w:left w:val="nil"/>
                    <w:bottom w:val="single" w:color="auto" w:sz="12"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w:t>
                  </w:r>
                </w:p>
              </w:tc>
              <w:tc>
                <w:tcPr>
                  <w:tcW w:w="566" w:type="dxa"/>
                  <w:tcBorders>
                    <w:top w:val="nil"/>
                    <w:left w:val="nil"/>
                    <w:bottom w:val="single" w:color="auto" w:sz="12"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w:t>
                  </w:r>
                </w:p>
              </w:tc>
              <w:tc>
                <w:tcPr>
                  <w:tcW w:w="617" w:type="dxa"/>
                  <w:tcBorders>
                    <w:top w:val="nil"/>
                    <w:left w:val="nil"/>
                    <w:bottom w:val="single" w:color="auto" w:sz="12"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c>
                <w:tcPr>
                  <w:tcW w:w="700" w:type="dxa"/>
                  <w:tcBorders>
                    <w:top w:val="nil"/>
                    <w:left w:val="nil"/>
                    <w:bottom w:val="single" w:color="auto" w:sz="12"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c>
                <w:tcPr>
                  <w:tcW w:w="4033" w:type="dxa"/>
                  <w:tcBorders>
                    <w:top w:val="nil"/>
                    <w:left w:val="nil"/>
                    <w:bottom w:val="single" w:color="auto" w:sz="12" w:space="0"/>
                    <w:right w:val="single" w:color="auto"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eastAsia" w:ascii="宋体" w:hAnsi="宋体" w:eastAsia="宋体" w:cs="宋体"/>
                      <w:color w:val="333333"/>
                      <w:kern w:val="0"/>
                      <w:sz w:val="18"/>
                      <w:szCs w:val="18"/>
                      <w:lang w:val="en-US" w:eastAsia="zh-CN" w:bidi="ar"/>
                    </w:rPr>
                    <w:t> </w:t>
                  </w:r>
                </w:p>
              </w:tc>
            </w:tr>
          </w:tbl>
          <w:p>
            <w:pPr>
              <w:jc w:val="left"/>
              <w:rPr>
                <w:rFonts w:hint="eastAsia" w:ascii="微软雅黑" w:hAnsi="微软雅黑" w:eastAsia="微软雅黑" w:cs="微软雅黑"/>
                <w:i w:val="0"/>
                <w:iCs w:val="0"/>
                <w:caps w:val="0"/>
                <w:color w:val="333333"/>
                <w:spacing w:val="0"/>
                <w:sz w:val="18"/>
                <w:szCs w:val="18"/>
              </w:rPr>
            </w:pP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c>
          <w:tcPr>
            <w:tcW w:w="8387" w:type="dxa"/>
            <w:shd w:val="clear" w:color="auto" w:fill="auto"/>
            <w:tcMar>
              <w:top w:w="75" w:type="dxa"/>
              <w:left w:w="150" w:type="dxa"/>
              <w:bottom w:w="75" w:type="dxa"/>
              <w:right w:w="150" w:type="dxa"/>
            </w:tcMar>
            <w:vAlign w:val="top"/>
          </w:tcPr>
          <w:p>
            <w:pPr>
              <w:keepNext w:val="0"/>
              <w:keepLines w:val="0"/>
              <w:widowControl/>
              <w:suppressLineNumbers w:val="0"/>
              <w:spacing w:before="0" w:beforeAutospacing="0" w:after="15" w:afterAutospacing="0"/>
              <w:ind w:left="0" w:right="0" w:firstLine="420"/>
              <w:jc w:val="left"/>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lang w:val="en-US" w:eastAsia="zh-CN" w:bidi="ar"/>
              </w:rPr>
              <w:t>上述条件报送资料的报送条件为：</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1.账户、账号开立证明复印件的报送条件为对于税务机关能够获取相关信息的可取消报送复印件；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2.《社会保险费缴费人存款账户账号报告表》的报送条件为社保费缴费人。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【办理流程】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存款账户账号报告流程如下图所示。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ascii="宋体" w:hAnsi="宋体" w:eastAsia="宋体" w:cs="宋体"/>
          <w:sz w:val="24"/>
          <w:szCs w:val="24"/>
        </w:rPr>
        <w:drawing>
          <wp:inline distT="0" distB="0" distL="114300" distR="114300">
            <wp:extent cx="5362575" cy="1304925"/>
            <wp:effectExtent l="0" t="0" r="9525" b="9525"/>
            <wp:docPr id="47" name="图片 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IMG_256"/>
                    <pic:cNvPicPr>
                      <a:picLocks noChangeAspect="1"/>
                    </pic:cNvPicPr>
                  </pic:nvPicPr>
                  <pic:blipFill>
                    <a:blip r:embed="rId4"/>
                    <a:stretch>
                      <a:fillRect/>
                    </a:stretch>
                  </pic:blipFill>
                  <pic:spPr>
                    <a:xfrm>
                      <a:off x="0" y="0"/>
                      <a:ext cx="5362575" cy="13049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存款账户账号报告流程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 xml:space="preserve">【办理规范】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1.受理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税务人员按照以下情况分别办理：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（1）对纳税人提交资料齐全、符合法定形式的，予以受理。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（2）纳税人提交资料不齐全或不符合法定形式的，制作《税务事项通知书》（补正通知），一次性告知纳税人需补正的内容。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（3）依法不属于本机关职权或本业务受理范围的，制作《税务事项通知书》（不予受理通知），告知纳税人不予受理的原因。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2.归档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归档资料为报送资料清单中标注为归档的各项资料。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3.办结时限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本事项即时办结。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【后续业务】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eastAsia="zh-CN"/>
        </w:rPr>
        <w:t>纳税人将存款账户账号信息向主管税务机关报告后，提醒纳税人签订三方协议，便于后续申报纳税的顺利进行。同时，当纳税人存款账户变更内容涉及三方协议信息的，提示纳税人是否变更三方协议。</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【行使层级】</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 xml:space="preserve">    区县级</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【进驻部门】</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实施主体：国家税务总局共和县税务局</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实施主体性质：法定机关</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主办科室：第一分局</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【联办机构】</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无</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【权力来源】</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法定本级行使权力</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【前置审批】</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无</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中介服务</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val="en-US" w:eastAsia="zh-CN"/>
        </w:rPr>
        <w:t>无</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服务范围</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定点办理</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通办范围</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全县</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eastAsia="zh-CN"/>
        </w:rPr>
        <w:t>【</w:t>
      </w:r>
      <w:r>
        <w:rPr>
          <w:rFonts w:hint="eastAsia"/>
          <w:sz w:val="24"/>
          <w:szCs w:val="24"/>
          <w:lang w:val="en-US" w:eastAsia="zh-CN"/>
        </w:rPr>
        <w:t>支持预约办理</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是</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支持物流快递</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否</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【结果送达】</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窗口领取：现场领取方式将结果送达申请人。</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电子税务局：电子送达。</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【咨询电话】</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0974-8517560</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【监督投诉渠道】</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投诉电话：0974-8522127</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【预约办理】</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电话预约: 0974-8517560</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办理进程和结果查询</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电话咨询：0974-8517560。</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办理时间和地点</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办理时间：法定工作日，上午9:00-12:00；下午13:30-17:30。</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val="en-US" w:eastAsia="zh-CN"/>
        </w:rPr>
        <w:t>办理地点：青海省海南藏族自治州共和县贵南东路政务中心一楼A1、A2窗口。</w:t>
      </w:r>
      <w:bookmarkStart w:id="0" w:name="_GoBack"/>
      <w:bookmarkEnd w:id="0"/>
      <w:r>
        <w:rPr>
          <w:rFonts w:hint="eastAsia"/>
          <w:sz w:val="24"/>
          <w:szCs w:val="24"/>
          <w:lang w:eastAsia="zh-CN"/>
        </w:rPr>
        <w:t>【</w:t>
      </w:r>
      <w:r>
        <w:rPr>
          <w:rFonts w:hint="eastAsia"/>
          <w:sz w:val="24"/>
          <w:szCs w:val="24"/>
          <w:lang w:val="en-US" w:eastAsia="zh-CN"/>
        </w:rPr>
        <w:t>交通指引</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乘坐2路公交车在县幼儿园站下车。</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完整版办事指南查询途径和获取方式</w:t>
      </w:r>
      <w:r>
        <w:rPr>
          <w:rFonts w:hint="eastAsia"/>
          <w:sz w:val="24"/>
          <w:szCs w:val="24"/>
          <w:lang w:eastAsia="zh-CN"/>
        </w:rPr>
        <w:t>】</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val="en-US" w:eastAsia="zh-CN"/>
        </w:rPr>
        <w:t>青海政务服务网</w:t>
      </w:r>
      <w:r>
        <w:rPr>
          <w:rFonts w:hint="eastAsia"/>
          <w:sz w:val="24"/>
          <w:szCs w:val="24"/>
          <w:lang w:val="en-US" w:eastAsia="zh-CN"/>
        </w:rPr>
        <w:fldChar w:fldCharType="begin"/>
      </w:r>
      <w:r>
        <w:rPr>
          <w:rFonts w:hint="eastAsia"/>
          <w:sz w:val="24"/>
          <w:szCs w:val="24"/>
          <w:lang w:val="en-US" w:eastAsia="zh-CN"/>
        </w:rPr>
        <w:instrText xml:space="preserve"> HYPERLINK "http://www.qhzwfw.gov.cn/" </w:instrText>
      </w:r>
      <w:r>
        <w:rPr>
          <w:rFonts w:hint="eastAsia"/>
          <w:sz w:val="24"/>
          <w:szCs w:val="24"/>
          <w:lang w:val="en-US" w:eastAsia="zh-CN"/>
        </w:rPr>
        <w:fldChar w:fldCharType="separate"/>
      </w:r>
      <w:r>
        <w:rPr>
          <w:rFonts w:hint="eastAsia"/>
          <w:sz w:val="24"/>
          <w:szCs w:val="24"/>
          <w:lang w:val="en-US" w:eastAsia="zh-CN"/>
        </w:rPr>
        <w:t>http://www.qhzwfw.gov.cn/</w:t>
      </w:r>
      <w:r>
        <w:rPr>
          <w:rFonts w:hint="eastAsia"/>
          <w:sz w:val="24"/>
          <w:szCs w:val="24"/>
          <w:lang w:val="en-US" w:eastAsia="zh-CN"/>
        </w:rPr>
        <w:fldChar w:fldCharType="end"/>
      </w:r>
      <w:r>
        <w:rPr>
          <w:rFonts w:hint="eastAsia"/>
          <w:sz w:val="24"/>
          <w:szCs w:val="24"/>
          <w:lang w:val="en-US" w:eastAsia="zh-CN"/>
        </w:rPr>
        <w:t>查询、下载。</w:t>
      </w: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pPr>
        <w:pStyle w:val="2"/>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33809"/>
    <w:rsid w:val="56133809"/>
    <w:rsid w:val="5C92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2022-11-23T03:24:00Z</dcterms:created>
  <dc:creator>李增梅</dc:creator>
  <cp:lastModifiedBy>汤永生</cp:lastModifiedBy>
  <dcterms:modified xsi:type="dcterms:W3CDTF">2022-11-28T01:56:27Z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