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lang w:val="en-US" w:eastAsia="zh-CN"/>
        </w:rPr>
      </w:pPr>
      <w:r>
        <w:rPr>
          <w:rFonts w:hint="eastAsia"/>
          <w:b/>
          <w:bCs/>
          <w:sz w:val="52"/>
          <w:szCs w:val="52"/>
          <w:lang w:val="en-US" w:eastAsia="zh-CN"/>
        </w:rPr>
        <w:t>残疾人就业保障金申报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残疾人就业保障金申报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未按规定比例安排残疾人就业的机关、团体、企业、事业单位和民办非企业等用人单位，应依照法律、行政法规规定或者税务机关依照法律、行政法规规定确定的申报期限、申报内容，向税务机关申报缴纳残疾人就业保障金。</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1.《中华人民共和国残疾人保障法》第三十三条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2.《残疾人就业条例》第九条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tbl>
      <w:tblPr>
        <w:tblStyle w:val="4"/>
        <w:tblW w:w="79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05"/>
        <w:gridCol w:w="4260"/>
        <w:gridCol w:w="70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2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0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26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《残疾人就业保障金缴费申报表》</w:t>
            </w:r>
          </w:p>
        </w:tc>
        <w:tc>
          <w:tcPr>
            <w:tcW w:w="7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226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mc:AlternateContent>
          <mc:Choice Requires="wps">
            <w:drawing>
              <wp:inline distT="0" distB="0" distL="114300" distR="114300">
                <wp:extent cx="304800" cy="304800"/>
                <wp:effectExtent l="0" t="0" r="0" b="0"/>
                <wp:docPr id="91" name="矩形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fMlnTSAAAAAwEA&#10;AA8AAAAAAAAAAQAgAAAAIgAAAGRycy9kb3ducmV2LnhtbFBLAQIUABQAAAAIAIdO4kBM7mXErgEA&#10;AGMDAAAOAAAAAAAAAAEAIAAAACEBAABkcnMvZTJvRG9jLnhtbFBLBQYAAAAABgAGAFkBAABBBQAA&#10;AAA=&#10;">
                <v:fill on="f" focussize="0,0"/>
                <v:stroke on="f"/>
                <v:imagedata o:title=""/>
                <o:lock v:ext="edit" aspectratio="t"/>
                <w10:wrap type="none"/>
                <w10:anchorlock/>
              </v:rect>
            </w:pict>
          </mc:Fallback>
        </mc:AlternateContent>
      </w:r>
      <w:r>
        <w:rPr>
          <w:rFonts w:hint="eastAsia"/>
          <w:sz w:val="24"/>
          <w:szCs w:val="24"/>
          <w:lang w:val="en-US" w:eastAsia="zh-CN"/>
        </w:rPr>
        <w:drawing>
          <wp:inline distT="0" distB="0" distL="114300" distR="114300">
            <wp:extent cx="5273675" cy="1915160"/>
            <wp:effectExtent l="0" t="0" r="3175" b="8890"/>
            <wp:docPr id="9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5"/>
                    <pic:cNvPicPr>
                      <a:picLocks noChangeAspect="1"/>
                    </pic:cNvPicPr>
                  </pic:nvPicPr>
                  <pic:blipFill>
                    <a:blip r:embed="rId4"/>
                    <a:stretch>
                      <a:fillRect/>
                    </a:stretch>
                  </pic:blipFill>
                  <pic:spPr>
                    <a:xfrm>
                      <a:off x="0" y="0"/>
                      <a:ext cx="5273675" cy="1915160"/>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【缴费人注意事项】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1.缴费人对报送资料的真实性和合法性承担责任。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3.缴费人使用符合电子签名法规定条件的电子签名，与手写签名或者盖章具有同等法律效力。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4.如果税务机关信息系统可以按期接收残疾人就业服务机构提供的缴费人残疾人就业保障金应征数据，缴费人依据该数据直接缴纳的，免于提供《残疾人就业保障金缴费申报表》。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5.缴费人自行申报残疾人就业保障金时，应提供本单位在职职工人数、实际安排残疾人就业人数、在职职工年平均工资等信息。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6.自 2020 年 1 月 1 日起至 2022 年 12 月 31 日，在职职工人数在 30 人（含） 以下的企业，暂免征收残疾人就业保障金。</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7.自 2018 年 4 月 1 日起，残疾人就业保障金征收标准上限，由当地社会平均工资的 3 倍降低至 2 倍。</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8.自 2020 年 1 月 1 日起至 2022 年 12 月 31 日，对残疾人就业保障金实行分档减缴政策。其中：用人单位安排残疾人就业比例达到 1%（含）以上，但未达到所在地省、自治区、直辖市人民政府规定比例的，按规定应缴费额的 50%缴纳残疾人就业保障金；用人单位安排残疾人就业比例在1%以下的，按规定应缴费额的 90%缴纳残疾人就业保障金。</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9.缴费人自行申报享受减免优惠，无需额外提交资料。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339FB"/>
    <w:rsid w:val="44186EB4"/>
    <w:rsid w:val="5C9D683C"/>
    <w:rsid w:val="7D43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2022-11-23T09:07:00Z</dcterms:created>
  <dc:creator>李增梅</dc:creator>
  <cp:lastModifiedBy>汤永生</cp:lastModifiedBy>
  <dcterms:modified xsi:type="dcterms:W3CDTF">2022-11-28T01:53:20Z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